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spacing w:after="0"/>
        <w:rPr>
          <w:sz w:val="20"/>
          <w:szCs w:val="20"/>
          <w:color w:val="auto"/>
        </w:rPr>
      </w:pPr>
      <w:r>
        <w:rPr>
          <w:rFonts w:ascii="Times New Roman" w:cs="Times New Roman" w:eastAsia="Times New Roman" w:hAnsi="Times New Roman"/>
          <w:sz w:val="25"/>
          <w:szCs w:val="25"/>
          <w:b w:val="1"/>
          <w:bCs w:val="1"/>
          <w:color w:val="auto"/>
        </w:rPr>
        <w:drawing>
          <wp:anchor simplePos="0" relativeHeight="251657728" behindDoc="1" locked="0" layoutInCell="0" allowOverlap="1">
            <wp:simplePos x="0" y="0"/>
            <wp:positionH relativeFrom="page">
              <wp:posOffset>208280</wp:posOffset>
            </wp:positionH>
            <wp:positionV relativeFrom="page">
              <wp:posOffset>654685</wp:posOffset>
            </wp:positionV>
            <wp:extent cx="713232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7132320" cy="8255"/>
                    </a:xfrm>
                    <a:prstGeom prst="rect">
                      <a:avLst/>
                    </a:prstGeom>
                    <a:noFill/>
                  </pic:spPr>
                </pic:pic>
              </a:graphicData>
            </a:graphic>
          </wp:anchor>
        </w:drawing>
        <w:t>UNITED STATES</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5080</wp:posOffset>
            </wp:positionH>
            <wp:positionV relativeFrom="paragraph">
              <wp:posOffset>-172085</wp:posOffset>
            </wp:positionV>
            <wp:extent cx="713232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7132320" cy="8255"/>
                    </a:xfrm>
                    <a:prstGeom prst="rect">
                      <a:avLst/>
                    </a:prstGeom>
                    <a:noFill/>
                  </pic:spPr>
                </pic:pic>
              </a:graphicData>
            </a:graphic>
          </wp:anchor>
        </w:drawing>
      </w:r>
    </w:p>
    <w:p>
      <w:pPr>
        <w:spacing w:after="0" w:line="2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5"/>
          <w:szCs w:val="25"/>
          <w:b w:val="1"/>
          <w:bCs w:val="1"/>
          <w:color w:val="auto"/>
        </w:rPr>
        <w:t>SECURITIES AND EXCHANGE COMMISSION</w:t>
      </w:r>
    </w:p>
    <w:p>
      <w:pPr>
        <w:spacing w:after="0" w:line="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0"/>
          <w:szCs w:val="20"/>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2379345</wp:posOffset>
            </wp:positionH>
            <wp:positionV relativeFrom="paragraph">
              <wp:posOffset>77470</wp:posOffset>
            </wp:positionV>
            <wp:extent cx="2383155"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2383155" cy="8255"/>
                    </a:xfrm>
                    <a:prstGeom prst="rect">
                      <a:avLst/>
                    </a:prstGeom>
                    <a:noFill/>
                  </pic:spPr>
                </pic:pic>
              </a:graphicData>
            </a:graphic>
          </wp:anchor>
        </w:drawing>
      </w:r>
    </w:p>
    <w:p>
      <w:pPr>
        <w:spacing w:after="0" w:line="16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5"/>
          <w:szCs w:val="25"/>
          <w:b w:val="1"/>
          <w:bCs w:val="1"/>
          <w:color w:val="auto"/>
        </w:rPr>
        <w:t>FORM 10-K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2379345</wp:posOffset>
            </wp:positionH>
            <wp:positionV relativeFrom="paragraph">
              <wp:posOffset>101600</wp:posOffset>
            </wp:positionV>
            <wp:extent cx="2383155"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2383155" cy="8255"/>
                    </a:xfrm>
                    <a:prstGeom prst="rect">
                      <a:avLst/>
                    </a:prstGeom>
                    <a:noFill/>
                  </pic:spPr>
                </pic:pic>
              </a:graphicData>
            </a:graphic>
          </wp:anchor>
        </w:drawing>
      </w:r>
    </w:p>
    <w:p>
      <w:pPr>
        <w:spacing w:after="0" w:line="221" w:lineRule="exact"/>
        <w:rPr>
          <w:sz w:val="24"/>
          <w:szCs w:val="24"/>
          <w:color w:val="auto"/>
        </w:rPr>
      </w:pPr>
    </w:p>
    <w:p>
      <w:pPr>
        <w:ind w:left="400" w:hanging="392"/>
        <w:spacing w:after="0"/>
        <w:tabs>
          <w:tab w:leader="none" w:pos="400" w:val="left"/>
        </w:tabs>
        <w:numPr>
          <w:ilvl w:val="0"/>
          <w:numId w:val="1"/>
        </w:numPr>
        <w:rPr>
          <w:rFonts w:ascii="MS PGothic" w:cs="MS PGothic" w:eastAsia="MS PGothic" w:hAnsi="MS PGothic"/>
          <w:sz w:val="20"/>
          <w:szCs w:val="20"/>
          <w:color w:val="auto"/>
          <w:highlight w:val="black"/>
        </w:rPr>
      </w:pPr>
      <w:r>
        <w:rPr>
          <w:rFonts w:ascii="Times New Roman" w:cs="Times New Roman" w:eastAsia="Times New Roman" w:hAnsi="Times New Roman"/>
          <w:sz w:val="20"/>
          <w:szCs w:val="20"/>
          <w:b w:val="1"/>
          <w:bCs w:val="1"/>
          <w:color w:val="auto"/>
        </w:rPr>
        <w:t>ANNUAL REPORT PURSUANT TO SECTION 13 OR 15(d) OF THE SECURITIES EXCHANGE ACT OF 1934</w:t>
      </w:r>
    </w:p>
    <w:p>
      <w:pPr>
        <w:spacing w:after="0" w:line="10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3"/>
          <w:szCs w:val="13"/>
          <w:b w:val="1"/>
          <w:bCs w:val="1"/>
          <w:color w:val="auto"/>
        </w:rPr>
        <w:t>For the fiscal year ended December 31, 2024</w:t>
      </w:r>
    </w:p>
    <w:p>
      <w:pPr>
        <w:spacing w:after="0" w:line="9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3"/>
          <w:szCs w:val="13"/>
          <w:b w:val="1"/>
          <w:bCs w:val="1"/>
          <w:color w:val="auto"/>
        </w:rPr>
        <w:t>OR</w:t>
      </w:r>
    </w:p>
    <w:p>
      <w:pPr>
        <w:spacing w:after="0" w:line="83" w:lineRule="exact"/>
        <w:rPr>
          <w:sz w:val="24"/>
          <w:szCs w:val="24"/>
          <w:color w:val="auto"/>
        </w:rPr>
      </w:pPr>
    </w:p>
    <w:p>
      <w:pPr>
        <w:ind w:left="400" w:hanging="392"/>
        <w:spacing w:after="0"/>
        <w:tabs>
          <w:tab w:leader="none" w:pos="400" w:val="left"/>
        </w:tabs>
        <w:numPr>
          <w:ilvl w:val="0"/>
          <w:numId w:val="2"/>
        </w:numPr>
        <w:rPr>
          <w:rFonts w:ascii="MS PGothic" w:cs="MS PGothic" w:eastAsia="MS PGothic" w:hAnsi="MS PGothic"/>
          <w:sz w:val="20"/>
          <w:szCs w:val="20"/>
          <w:color w:val="auto"/>
          <w:highlight w:val="black"/>
        </w:rPr>
      </w:pPr>
      <w:r>
        <w:rPr>
          <w:rFonts w:ascii="Times New Roman" w:cs="Times New Roman" w:eastAsia="Times New Roman" w:hAnsi="Times New Roman"/>
          <w:sz w:val="20"/>
          <w:szCs w:val="20"/>
          <w:b w:val="1"/>
          <w:bCs w:val="1"/>
          <w:color w:val="auto"/>
        </w:rPr>
        <w:t>TRANSITION REPORT PURSUANT TO SECTION 13 OR 15(d) OF THE SECURITIES EXCHANGE ACT OF 1934</w:t>
      </w:r>
    </w:p>
    <w:p>
      <w:pPr>
        <w:spacing w:after="0" w:line="158" w:lineRule="exact"/>
        <w:rPr>
          <w:sz w:val="24"/>
          <w:szCs w:val="24"/>
          <w:color w:val="auto"/>
        </w:rPr>
      </w:pPr>
    </w:p>
    <w:p>
      <w:pPr>
        <w:ind w:left="3860"/>
        <w:spacing w:after="0"/>
        <w:tabs>
          <w:tab w:leader="none" w:pos="6440" w:val="left"/>
        </w:tabs>
        <w:rPr>
          <w:sz w:val="20"/>
          <w:szCs w:val="20"/>
          <w:color w:val="auto"/>
        </w:rPr>
      </w:pPr>
      <w:r>
        <w:rPr>
          <w:rFonts w:ascii="Times New Roman" w:cs="Times New Roman" w:eastAsia="Times New Roman" w:hAnsi="Times New Roman"/>
          <w:sz w:val="13"/>
          <w:szCs w:val="13"/>
          <w:b w:val="1"/>
          <w:bCs w:val="1"/>
          <w:color w:val="auto"/>
        </w:rPr>
        <w:t>For the transition period from</w:t>
      </w:r>
      <w:r>
        <w:rPr>
          <w:sz w:val="20"/>
          <w:szCs w:val="20"/>
          <w:color w:val="auto"/>
        </w:rPr>
        <w:tab/>
      </w:r>
      <w:r>
        <w:rPr>
          <w:rFonts w:ascii="Times New Roman" w:cs="Times New Roman" w:eastAsia="Times New Roman" w:hAnsi="Times New Roman"/>
          <w:sz w:val="13"/>
          <w:szCs w:val="13"/>
          <w:b w:val="1"/>
          <w:bCs w:val="1"/>
          <w:color w:val="auto"/>
        </w:rPr>
        <w:t>to</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3565525</wp:posOffset>
            </wp:positionH>
            <wp:positionV relativeFrom="paragraph">
              <wp:posOffset>1270</wp:posOffset>
            </wp:positionV>
            <wp:extent cx="53594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535940" cy="8255"/>
                    </a:xfrm>
                    <a:prstGeom prst="rect">
                      <a:avLst/>
                    </a:prstGeom>
                    <a:noFill/>
                  </pic:spPr>
                </pic:pic>
              </a:graphicData>
            </a:graphic>
          </wp:anchor>
        </w:drawing>
      </w:r>
    </w:p>
    <w:p>
      <w:pPr>
        <w:spacing w:after="0" w:line="7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3"/>
          <w:szCs w:val="13"/>
          <w:b w:val="1"/>
          <w:bCs w:val="1"/>
          <w:color w:val="auto"/>
        </w:rPr>
        <w:t>Commission File Number 001-42509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2379345</wp:posOffset>
            </wp:positionH>
            <wp:positionV relativeFrom="paragraph">
              <wp:posOffset>78740</wp:posOffset>
            </wp:positionV>
            <wp:extent cx="2383155"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2383155" cy="8255"/>
                    </a:xfrm>
                    <a:prstGeom prst="rect">
                      <a:avLst/>
                    </a:prstGeom>
                    <a:noFill/>
                  </pic:spPr>
                </pic:pic>
              </a:graphicData>
            </a:graphic>
          </wp:anchor>
        </w:drawing>
        <w:drawing>
          <wp:anchor simplePos="0" relativeHeight="251657728" behindDoc="1" locked="0" layoutInCell="0" allowOverlap="1">
            <wp:simplePos x="0" y="0"/>
            <wp:positionH relativeFrom="column">
              <wp:posOffset>2927985</wp:posOffset>
            </wp:positionH>
            <wp:positionV relativeFrom="paragraph">
              <wp:posOffset>147320</wp:posOffset>
            </wp:positionV>
            <wp:extent cx="1285875" cy="3517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285875" cy="351790"/>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31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MICROSTRATEGY INCORPORATED</w:t>
      </w:r>
    </w:p>
    <w:p>
      <w:pPr>
        <w:spacing w:after="0" w:line="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3"/>
          <w:szCs w:val="13"/>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2379345</wp:posOffset>
            </wp:positionH>
            <wp:positionV relativeFrom="paragraph">
              <wp:posOffset>67310</wp:posOffset>
            </wp:positionV>
            <wp:extent cx="2383155"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2383155" cy="8255"/>
                    </a:xfrm>
                    <a:prstGeom prst="rect">
                      <a:avLst/>
                    </a:prstGeom>
                    <a:noFill/>
                  </pic:spPr>
                </pic:pic>
              </a:graphicData>
            </a:graphic>
          </wp:anchor>
        </w:drawing>
      </w:r>
    </w:p>
    <w:p>
      <w:pPr>
        <w:spacing w:after="0" w:line="171" w:lineRule="exact"/>
        <w:rPr>
          <w:sz w:val="24"/>
          <w:szCs w:val="24"/>
          <w:color w:val="auto"/>
        </w:rPr>
      </w:pPr>
    </w:p>
    <w:tbl>
      <w:tblPr>
        <w:tblLayout w:type="fixed"/>
        <w:tblInd w:w="10" w:type="dxa"/>
        <w:tblCellMar>
          <w:top w:w="0" w:type="dxa"/>
          <w:left w:w="0" w:type="dxa"/>
          <w:bottom w:w="0" w:type="dxa"/>
          <w:right w:w="0" w:type="dxa"/>
        </w:tblCellMar>
      </w:tblPr>
      <w:tr>
        <w:trPr>
          <w:trHeight w:val="182"/>
        </w:trPr>
        <w:tc>
          <w:tcPr>
            <w:tcW w:w="2280" w:type="dxa"/>
            <w:vAlign w:val="bottom"/>
            <w:tcBorders>
              <w:top w:val="single" w:sz="8" w:color="auto"/>
              <w:left w:val="single" w:sz="8" w:color="auto"/>
              <w:bottom w:val="single" w:sz="8" w:color="auto"/>
              <w:right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Delaware</w:t>
            </w:r>
          </w:p>
        </w:tc>
        <w:tc>
          <w:tcPr>
            <w:tcW w:w="1180" w:type="dxa"/>
            <w:vAlign w:val="bottom"/>
            <w:tcBorders>
              <w:top w:val="single" w:sz="8" w:color="auto"/>
              <w:bottom w:val="single" w:sz="8" w:color="auto"/>
            </w:tcBorders>
          </w:tcPr>
          <w:p>
            <w:pPr>
              <w:spacing w:after="0"/>
              <w:rPr>
                <w:sz w:val="15"/>
                <w:szCs w:val="15"/>
                <w:color w:val="auto"/>
              </w:rPr>
            </w:pPr>
          </w:p>
        </w:tc>
        <w:tc>
          <w:tcPr>
            <w:tcW w:w="280" w:type="dxa"/>
            <w:vAlign w:val="bottom"/>
            <w:tcBorders>
              <w:top w:val="single" w:sz="8" w:color="auto"/>
              <w:bottom w:val="single" w:sz="8" w:color="auto"/>
            </w:tcBorders>
          </w:tcPr>
          <w:p>
            <w:pPr>
              <w:spacing w:after="0"/>
              <w:rPr>
                <w:sz w:val="15"/>
                <w:szCs w:val="15"/>
                <w:color w:val="auto"/>
              </w:rPr>
            </w:pPr>
          </w:p>
        </w:tc>
        <w:tc>
          <w:tcPr>
            <w:tcW w:w="320" w:type="dxa"/>
            <w:vAlign w:val="bottom"/>
            <w:tcBorders>
              <w:top w:val="single" w:sz="8" w:color="auto"/>
              <w:bottom w:val="single" w:sz="8" w:color="auto"/>
            </w:tcBorders>
          </w:tcPr>
          <w:p>
            <w:pPr>
              <w:spacing w:after="0"/>
              <w:rPr>
                <w:sz w:val="15"/>
                <w:szCs w:val="15"/>
                <w:color w:val="auto"/>
              </w:rPr>
            </w:pPr>
          </w:p>
        </w:tc>
        <w:tc>
          <w:tcPr>
            <w:tcW w:w="3740" w:type="dxa"/>
            <w:vAlign w:val="bottom"/>
            <w:tcBorders>
              <w:top w:val="single" w:sz="8" w:color="auto"/>
              <w:bottom w:val="single" w:sz="8" w:color="auto"/>
            </w:tcBorders>
            <w:gridSpan w:val="7"/>
          </w:tcPr>
          <w:p>
            <w:pPr>
              <w:spacing w:after="0"/>
              <w:rPr>
                <w:sz w:val="20"/>
                <w:szCs w:val="20"/>
                <w:color w:val="auto"/>
              </w:rPr>
            </w:pPr>
            <w:r>
              <w:rPr>
                <w:rFonts w:ascii="Times New Roman" w:cs="Times New Roman" w:eastAsia="Times New Roman" w:hAnsi="Times New Roman"/>
                <w:sz w:val="14"/>
                <w:szCs w:val="14"/>
                <w:b w:val="1"/>
                <w:bCs w:val="1"/>
                <w:color w:val="auto"/>
              </w:rPr>
              <w:t>1850 Towers Crescent Plaza, Tysons Corner, VA 22182</w:t>
            </w:r>
          </w:p>
        </w:tc>
        <w:tc>
          <w:tcPr>
            <w:tcW w:w="1480" w:type="dxa"/>
            <w:vAlign w:val="bottom"/>
            <w:tcBorders>
              <w:top w:val="single" w:sz="8" w:color="auto"/>
              <w:bottom w:val="single" w:sz="8" w:color="auto"/>
              <w:right w:val="single" w:sz="8" w:color="auto"/>
            </w:tcBorders>
          </w:tcPr>
          <w:p>
            <w:pPr>
              <w:spacing w:after="0"/>
              <w:rPr>
                <w:sz w:val="15"/>
                <w:szCs w:val="15"/>
                <w:color w:val="auto"/>
              </w:rPr>
            </w:pPr>
          </w:p>
        </w:tc>
        <w:tc>
          <w:tcPr>
            <w:tcW w:w="1960" w:type="dxa"/>
            <w:vAlign w:val="bottom"/>
            <w:tcBorders>
              <w:top w:val="single" w:sz="8" w:color="auto"/>
              <w:bottom w:val="single" w:sz="8" w:color="auto"/>
              <w:right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51-0323571</w:t>
            </w:r>
          </w:p>
        </w:tc>
      </w:tr>
      <w:tr>
        <w:trPr>
          <w:trHeight w:val="108"/>
        </w:trPr>
        <w:tc>
          <w:tcPr>
            <w:tcW w:w="2280" w:type="dxa"/>
            <w:vAlign w:val="bottom"/>
            <w:tcBorders>
              <w:left w:val="single" w:sz="8" w:color="auto"/>
              <w:right w:val="single" w:sz="8" w:color="auto"/>
            </w:tcBorders>
          </w:tcPr>
          <w:p>
            <w:pPr>
              <w:jc w:val="center"/>
              <w:spacing w:after="0" w:line="109" w:lineRule="exact"/>
              <w:rPr>
                <w:sz w:val="20"/>
                <w:szCs w:val="20"/>
                <w:color w:val="auto"/>
              </w:rPr>
            </w:pPr>
            <w:r>
              <w:rPr>
                <w:rFonts w:ascii="Times New Roman" w:cs="Times New Roman" w:eastAsia="Times New Roman" w:hAnsi="Times New Roman"/>
                <w:sz w:val="12"/>
                <w:szCs w:val="12"/>
                <w:b w:val="1"/>
                <w:bCs w:val="1"/>
                <w:color w:val="auto"/>
              </w:rPr>
              <w:t>(State of Incorporation)</w:t>
            </w:r>
          </w:p>
        </w:tc>
        <w:tc>
          <w:tcPr>
            <w:tcW w:w="1180" w:type="dxa"/>
            <w:vAlign w:val="bottom"/>
          </w:tcPr>
          <w:p>
            <w:pPr>
              <w:spacing w:after="0"/>
              <w:rPr>
                <w:sz w:val="9"/>
                <w:szCs w:val="9"/>
                <w:color w:val="auto"/>
              </w:rPr>
            </w:pPr>
          </w:p>
        </w:tc>
        <w:tc>
          <w:tcPr>
            <w:tcW w:w="280" w:type="dxa"/>
            <w:vAlign w:val="bottom"/>
          </w:tcPr>
          <w:p>
            <w:pPr>
              <w:spacing w:after="0"/>
              <w:rPr>
                <w:sz w:val="9"/>
                <w:szCs w:val="9"/>
                <w:color w:val="auto"/>
              </w:rPr>
            </w:pPr>
          </w:p>
        </w:tc>
        <w:tc>
          <w:tcPr>
            <w:tcW w:w="320" w:type="dxa"/>
            <w:vAlign w:val="bottom"/>
          </w:tcPr>
          <w:p>
            <w:pPr>
              <w:spacing w:after="0"/>
              <w:rPr>
                <w:sz w:val="9"/>
                <w:szCs w:val="9"/>
                <w:color w:val="auto"/>
              </w:rPr>
            </w:pPr>
          </w:p>
        </w:tc>
        <w:tc>
          <w:tcPr>
            <w:tcW w:w="2560" w:type="dxa"/>
            <w:vAlign w:val="bottom"/>
            <w:gridSpan w:val="2"/>
          </w:tcPr>
          <w:p>
            <w:pPr>
              <w:ind w:left="80"/>
              <w:spacing w:after="0" w:line="109" w:lineRule="exact"/>
              <w:rPr>
                <w:sz w:val="20"/>
                <w:szCs w:val="20"/>
                <w:color w:val="auto"/>
              </w:rPr>
            </w:pPr>
            <w:r>
              <w:rPr>
                <w:rFonts w:ascii="Times New Roman" w:cs="Times New Roman" w:eastAsia="Times New Roman" w:hAnsi="Times New Roman"/>
                <w:sz w:val="12"/>
                <w:szCs w:val="12"/>
                <w:b w:val="1"/>
                <w:bCs w:val="1"/>
                <w:color w:val="auto"/>
              </w:rPr>
              <w:t>(Address of Principal Executive Offices)</w:t>
            </w:r>
          </w:p>
        </w:tc>
        <w:tc>
          <w:tcPr>
            <w:tcW w:w="1180" w:type="dxa"/>
            <w:vAlign w:val="bottom"/>
            <w:gridSpan w:val="5"/>
          </w:tcPr>
          <w:p>
            <w:pPr>
              <w:jc w:val="center"/>
              <w:ind w:right="240"/>
              <w:spacing w:after="0" w:line="109" w:lineRule="exact"/>
              <w:rPr>
                <w:sz w:val="20"/>
                <w:szCs w:val="20"/>
                <w:color w:val="auto"/>
              </w:rPr>
            </w:pPr>
            <w:r>
              <w:rPr>
                <w:rFonts w:ascii="Times New Roman" w:cs="Times New Roman" w:eastAsia="Times New Roman" w:hAnsi="Times New Roman"/>
                <w:sz w:val="12"/>
                <w:szCs w:val="12"/>
                <w:b w:val="1"/>
                <w:bCs w:val="1"/>
                <w:color w:val="auto"/>
              </w:rPr>
              <w:t>(Zip Code)</w:t>
            </w:r>
          </w:p>
        </w:tc>
        <w:tc>
          <w:tcPr>
            <w:tcW w:w="1480" w:type="dxa"/>
            <w:vAlign w:val="bottom"/>
            <w:tcBorders>
              <w:right w:val="single" w:sz="8" w:color="auto"/>
            </w:tcBorders>
          </w:tcPr>
          <w:p>
            <w:pPr>
              <w:spacing w:after="0"/>
              <w:rPr>
                <w:sz w:val="9"/>
                <w:szCs w:val="9"/>
                <w:color w:val="auto"/>
              </w:rPr>
            </w:pPr>
          </w:p>
        </w:tc>
        <w:tc>
          <w:tcPr>
            <w:tcW w:w="1960" w:type="dxa"/>
            <w:vAlign w:val="bottom"/>
            <w:tcBorders>
              <w:right w:val="single" w:sz="8" w:color="auto"/>
            </w:tcBorders>
          </w:tcPr>
          <w:p>
            <w:pPr>
              <w:jc w:val="center"/>
              <w:spacing w:after="0" w:line="109" w:lineRule="exact"/>
              <w:rPr>
                <w:sz w:val="20"/>
                <w:szCs w:val="20"/>
                <w:color w:val="auto"/>
              </w:rPr>
            </w:pPr>
            <w:r>
              <w:rPr>
                <w:rFonts w:ascii="Times New Roman" w:cs="Times New Roman" w:eastAsia="Times New Roman" w:hAnsi="Times New Roman"/>
                <w:sz w:val="12"/>
                <w:szCs w:val="12"/>
                <w:b w:val="1"/>
                <w:bCs w:val="1"/>
                <w:color w:val="auto"/>
              </w:rPr>
              <w:t>(I.R.S. Employer</w:t>
            </w:r>
          </w:p>
        </w:tc>
      </w:tr>
      <w:tr>
        <w:trPr>
          <w:trHeight w:val="165"/>
        </w:trPr>
        <w:tc>
          <w:tcPr>
            <w:tcW w:w="2280" w:type="dxa"/>
            <w:vAlign w:val="bottom"/>
            <w:tcBorders>
              <w:left w:val="single" w:sz="8" w:color="auto"/>
              <w:bottom w:val="single" w:sz="8" w:color="auto"/>
              <w:right w:val="single" w:sz="8" w:color="auto"/>
            </w:tcBorders>
          </w:tcPr>
          <w:p>
            <w:pPr>
              <w:spacing w:after="0"/>
              <w:rPr>
                <w:sz w:val="14"/>
                <w:szCs w:val="14"/>
                <w:color w:val="auto"/>
              </w:rPr>
            </w:pPr>
          </w:p>
        </w:tc>
        <w:tc>
          <w:tcPr>
            <w:tcW w:w="1180" w:type="dxa"/>
            <w:vAlign w:val="bottom"/>
            <w:tcBorders>
              <w:bottom w:val="single" w:sz="8" w:color="auto"/>
            </w:tcBorders>
          </w:tcPr>
          <w:p>
            <w:pPr>
              <w:spacing w:after="0"/>
              <w:rPr>
                <w:sz w:val="14"/>
                <w:szCs w:val="14"/>
                <w:color w:val="auto"/>
              </w:rPr>
            </w:pPr>
          </w:p>
        </w:tc>
        <w:tc>
          <w:tcPr>
            <w:tcW w:w="280" w:type="dxa"/>
            <w:vAlign w:val="bottom"/>
            <w:tcBorders>
              <w:bottom w:val="single" w:sz="8" w:color="auto"/>
            </w:tcBorders>
          </w:tcPr>
          <w:p>
            <w:pPr>
              <w:spacing w:after="0"/>
              <w:rPr>
                <w:sz w:val="14"/>
                <w:szCs w:val="14"/>
                <w:color w:val="auto"/>
              </w:rPr>
            </w:pPr>
          </w:p>
        </w:tc>
        <w:tc>
          <w:tcPr>
            <w:tcW w:w="320" w:type="dxa"/>
            <w:vAlign w:val="bottom"/>
            <w:tcBorders>
              <w:bottom w:val="single" w:sz="8" w:color="auto"/>
            </w:tcBorders>
          </w:tcPr>
          <w:p>
            <w:pPr>
              <w:spacing w:after="0"/>
              <w:rPr>
                <w:sz w:val="14"/>
                <w:szCs w:val="14"/>
                <w:color w:val="auto"/>
              </w:rPr>
            </w:pPr>
          </w:p>
        </w:tc>
        <w:tc>
          <w:tcPr>
            <w:tcW w:w="120" w:type="dxa"/>
            <w:vAlign w:val="bottom"/>
            <w:tcBorders>
              <w:bottom w:val="single" w:sz="8" w:color="auto"/>
            </w:tcBorders>
          </w:tcPr>
          <w:p>
            <w:pPr>
              <w:spacing w:after="0"/>
              <w:rPr>
                <w:sz w:val="14"/>
                <w:szCs w:val="14"/>
                <w:color w:val="auto"/>
              </w:rPr>
            </w:pPr>
          </w:p>
        </w:tc>
        <w:tc>
          <w:tcPr>
            <w:tcW w:w="2440" w:type="dxa"/>
            <w:vAlign w:val="bottom"/>
            <w:tcBorders>
              <w:bottom w:val="single" w:sz="8" w:color="auto"/>
            </w:tcBorders>
          </w:tcPr>
          <w:p>
            <w:pPr>
              <w:spacing w:after="0"/>
              <w:rPr>
                <w:sz w:val="14"/>
                <w:szCs w:val="14"/>
                <w:color w:val="auto"/>
              </w:rPr>
            </w:pPr>
          </w:p>
        </w:tc>
        <w:tc>
          <w:tcPr>
            <w:tcW w:w="280" w:type="dxa"/>
            <w:vAlign w:val="bottom"/>
            <w:tcBorders>
              <w:bottom w:val="single" w:sz="8" w:color="auto"/>
            </w:tcBorders>
          </w:tcPr>
          <w:p>
            <w:pPr>
              <w:spacing w:after="0"/>
              <w:rPr>
                <w:sz w:val="14"/>
                <w:szCs w:val="14"/>
                <w:color w:val="auto"/>
              </w:rPr>
            </w:pPr>
          </w:p>
        </w:tc>
        <w:tc>
          <w:tcPr>
            <w:tcW w:w="80" w:type="dxa"/>
            <w:vAlign w:val="bottom"/>
            <w:tcBorders>
              <w:bottom w:val="single" w:sz="8" w:color="auto"/>
            </w:tcBorders>
          </w:tcPr>
          <w:p>
            <w:pPr>
              <w:spacing w:after="0"/>
              <w:rPr>
                <w:sz w:val="14"/>
                <w:szCs w:val="14"/>
                <w:color w:val="auto"/>
              </w:rPr>
            </w:pPr>
          </w:p>
        </w:tc>
        <w:tc>
          <w:tcPr>
            <w:tcW w:w="120" w:type="dxa"/>
            <w:vAlign w:val="bottom"/>
            <w:tcBorders>
              <w:bottom w:val="single" w:sz="8" w:color="auto"/>
            </w:tcBorders>
          </w:tcPr>
          <w:p>
            <w:pPr>
              <w:spacing w:after="0"/>
              <w:rPr>
                <w:sz w:val="14"/>
                <w:szCs w:val="14"/>
                <w:color w:val="auto"/>
              </w:rPr>
            </w:pPr>
          </w:p>
        </w:tc>
        <w:tc>
          <w:tcPr>
            <w:tcW w:w="400" w:type="dxa"/>
            <w:vAlign w:val="bottom"/>
            <w:tcBorders>
              <w:bottom w:val="single" w:sz="8" w:color="auto"/>
            </w:tcBorders>
          </w:tcPr>
          <w:p>
            <w:pPr>
              <w:spacing w:after="0"/>
              <w:rPr>
                <w:sz w:val="14"/>
                <w:szCs w:val="14"/>
                <w:color w:val="auto"/>
              </w:rPr>
            </w:pPr>
          </w:p>
        </w:tc>
        <w:tc>
          <w:tcPr>
            <w:tcW w:w="300" w:type="dxa"/>
            <w:vAlign w:val="bottom"/>
            <w:tcBorders>
              <w:bottom w:val="single" w:sz="8" w:color="auto"/>
            </w:tcBorders>
          </w:tcPr>
          <w:p>
            <w:pPr>
              <w:spacing w:after="0"/>
              <w:rPr>
                <w:sz w:val="14"/>
                <w:szCs w:val="14"/>
                <w:color w:val="auto"/>
              </w:rPr>
            </w:pPr>
          </w:p>
        </w:tc>
        <w:tc>
          <w:tcPr>
            <w:tcW w:w="1480" w:type="dxa"/>
            <w:vAlign w:val="bottom"/>
            <w:tcBorders>
              <w:bottom w:val="single" w:sz="8" w:color="auto"/>
              <w:right w:val="single" w:sz="8" w:color="auto"/>
            </w:tcBorders>
          </w:tcPr>
          <w:p>
            <w:pPr>
              <w:spacing w:after="0"/>
              <w:rPr>
                <w:sz w:val="14"/>
                <w:szCs w:val="14"/>
                <w:color w:val="auto"/>
              </w:rPr>
            </w:pPr>
          </w:p>
        </w:tc>
        <w:tc>
          <w:tcPr>
            <w:tcW w:w="1960" w:type="dxa"/>
            <w:vAlign w:val="bottom"/>
            <w:tcBorders>
              <w:bottom w:val="single" w:sz="8" w:color="auto"/>
              <w:right w:val="single" w:sz="8" w:color="auto"/>
            </w:tcBorders>
          </w:tcPr>
          <w:p>
            <w:pPr>
              <w:jc w:val="center"/>
              <w:spacing w:after="0"/>
              <w:rPr>
                <w:sz w:val="20"/>
                <w:szCs w:val="20"/>
                <w:color w:val="auto"/>
              </w:rPr>
            </w:pPr>
            <w:r>
              <w:rPr>
                <w:rFonts w:ascii="Times New Roman" w:cs="Times New Roman" w:eastAsia="Times New Roman" w:hAnsi="Times New Roman"/>
                <w:sz w:val="13"/>
                <w:szCs w:val="13"/>
                <w:b w:val="1"/>
                <w:bCs w:val="1"/>
                <w:color w:val="auto"/>
              </w:rPr>
              <w:t>Identification No.)</w:t>
            </w:r>
          </w:p>
        </w:tc>
      </w:tr>
      <w:tr>
        <w:trPr>
          <w:trHeight w:val="236"/>
        </w:trPr>
        <w:tc>
          <w:tcPr>
            <w:tcW w:w="2280" w:type="dxa"/>
            <w:vAlign w:val="bottom"/>
          </w:tcPr>
          <w:p>
            <w:pPr>
              <w:spacing w:after="0"/>
              <w:rPr>
                <w:sz w:val="20"/>
                <w:szCs w:val="20"/>
                <w:color w:val="auto"/>
              </w:rPr>
            </w:pPr>
          </w:p>
        </w:tc>
        <w:tc>
          <w:tcPr>
            <w:tcW w:w="1180" w:type="dxa"/>
            <w:vAlign w:val="bottom"/>
          </w:tcPr>
          <w:p>
            <w:pPr>
              <w:spacing w:after="0"/>
              <w:rPr>
                <w:sz w:val="20"/>
                <w:szCs w:val="20"/>
                <w:color w:val="auto"/>
              </w:rPr>
            </w:pPr>
          </w:p>
        </w:tc>
        <w:tc>
          <w:tcPr>
            <w:tcW w:w="4340" w:type="dxa"/>
            <w:vAlign w:val="bottom"/>
            <w:gridSpan w:val="9"/>
          </w:tcPr>
          <w:p>
            <w:pPr>
              <w:jc w:val="center"/>
              <w:ind w:right="20"/>
              <w:spacing w:after="0"/>
              <w:rPr>
                <w:sz w:val="20"/>
                <w:szCs w:val="20"/>
                <w:color w:val="auto"/>
              </w:rPr>
            </w:pPr>
            <w:r>
              <w:rPr>
                <w:rFonts w:ascii="Times New Roman" w:cs="Times New Roman" w:eastAsia="Times New Roman" w:hAnsi="Times New Roman"/>
                <w:sz w:val="13"/>
                <w:szCs w:val="13"/>
                <w:b w:val="1"/>
                <w:bCs w:val="1"/>
                <w:color w:val="auto"/>
              </w:rPr>
              <w:t>Registrant’s Telephone Number, Including Area Code: (703) 848-8600</w:t>
            </w:r>
          </w:p>
        </w:tc>
        <w:tc>
          <w:tcPr>
            <w:tcW w:w="1480" w:type="dxa"/>
            <w:vAlign w:val="bottom"/>
          </w:tcPr>
          <w:p>
            <w:pPr>
              <w:spacing w:after="0"/>
              <w:rPr>
                <w:sz w:val="20"/>
                <w:szCs w:val="20"/>
                <w:color w:val="auto"/>
              </w:rPr>
            </w:pPr>
          </w:p>
        </w:tc>
        <w:tc>
          <w:tcPr>
            <w:tcW w:w="1960" w:type="dxa"/>
            <w:vAlign w:val="bottom"/>
          </w:tcPr>
          <w:p>
            <w:pPr>
              <w:spacing w:after="0"/>
              <w:rPr>
                <w:sz w:val="20"/>
                <w:szCs w:val="20"/>
                <w:color w:val="auto"/>
              </w:rPr>
            </w:pPr>
          </w:p>
        </w:tc>
      </w:tr>
      <w:tr>
        <w:trPr>
          <w:trHeight w:val="243"/>
        </w:trPr>
        <w:tc>
          <w:tcPr>
            <w:tcW w:w="2280" w:type="dxa"/>
            <w:vAlign w:val="bottom"/>
          </w:tcPr>
          <w:p>
            <w:pPr>
              <w:spacing w:after="0"/>
              <w:rPr>
                <w:sz w:val="21"/>
                <w:szCs w:val="21"/>
                <w:color w:val="auto"/>
              </w:rPr>
            </w:pPr>
          </w:p>
        </w:tc>
        <w:tc>
          <w:tcPr>
            <w:tcW w:w="1180" w:type="dxa"/>
            <w:vAlign w:val="bottom"/>
          </w:tcPr>
          <w:p>
            <w:pPr>
              <w:spacing w:after="0"/>
              <w:rPr>
                <w:sz w:val="21"/>
                <w:szCs w:val="21"/>
                <w:color w:val="auto"/>
              </w:rPr>
            </w:pPr>
          </w:p>
        </w:tc>
        <w:tc>
          <w:tcPr>
            <w:tcW w:w="280" w:type="dxa"/>
            <w:vAlign w:val="bottom"/>
          </w:tcPr>
          <w:p>
            <w:pPr>
              <w:spacing w:after="0"/>
              <w:rPr>
                <w:sz w:val="21"/>
                <w:szCs w:val="21"/>
                <w:color w:val="auto"/>
              </w:rPr>
            </w:pPr>
          </w:p>
        </w:tc>
        <w:tc>
          <w:tcPr>
            <w:tcW w:w="4060" w:type="dxa"/>
            <w:vAlign w:val="bottom"/>
            <w:gridSpan w:val="8"/>
          </w:tcPr>
          <w:p>
            <w:pPr>
              <w:jc w:val="center"/>
              <w:ind w:right="280"/>
              <w:spacing w:after="0"/>
              <w:rPr>
                <w:sz w:val="20"/>
                <w:szCs w:val="20"/>
                <w:color w:val="auto"/>
              </w:rPr>
            </w:pPr>
            <w:r>
              <w:rPr>
                <w:rFonts w:ascii="Times New Roman" w:cs="Times New Roman" w:eastAsia="Times New Roman" w:hAnsi="Times New Roman"/>
                <w:sz w:val="13"/>
                <w:szCs w:val="13"/>
                <w:b w:val="1"/>
                <w:bCs w:val="1"/>
                <w:color w:val="auto"/>
              </w:rPr>
              <w:t>Securities registered pursuant to Section 12(b) of the Act:</w:t>
            </w:r>
          </w:p>
        </w:tc>
        <w:tc>
          <w:tcPr>
            <w:tcW w:w="1480" w:type="dxa"/>
            <w:vAlign w:val="bottom"/>
          </w:tcPr>
          <w:p>
            <w:pPr>
              <w:spacing w:after="0"/>
              <w:rPr>
                <w:sz w:val="21"/>
                <w:szCs w:val="21"/>
                <w:color w:val="auto"/>
              </w:rPr>
            </w:pPr>
          </w:p>
        </w:tc>
        <w:tc>
          <w:tcPr>
            <w:tcW w:w="1960" w:type="dxa"/>
            <w:vAlign w:val="bottom"/>
          </w:tcPr>
          <w:p>
            <w:pPr>
              <w:spacing w:after="0"/>
              <w:rPr>
                <w:sz w:val="21"/>
                <w:szCs w:val="21"/>
                <w:color w:val="auto"/>
              </w:rPr>
            </w:pPr>
          </w:p>
        </w:tc>
      </w:tr>
      <w:tr>
        <w:trPr>
          <w:trHeight w:val="257"/>
        </w:trPr>
        <w:tc>
          <w:tcPr>
            <w:tcW w:w="3460" w:type="dxa"/>
            <w:vAlign w:val="bottom"/>
            <w:tcBorders>
              <w:bottom w:val="single" w:sz="8" w:color="auto"/>
            </w:tcBorders>
            <w:gridSpan w:val="2"/>
          </w:tcPr>
          <w:p>
            <w:pPr>
              <w:jc w:val="center"/>
              <w:ind w:left="553"/>
              <w:spacing w:after="0"/>
              <w:rPr>
                <w:sz w:val="20"/>
                <w:szCs w:val="20"/>
                <w:color w:val="auto"/>
              </w:rPr>
            </w:pPr>
            <w:r>
              <w:rPr>
                <w:rFonts w:ascii="Times New Roman" w:cs="Times New Roman" w:eastAsia="Times New Roman" w:hAnsi="Times New Roman"/>
                <w:sz w:val="13"/>
                <w:szCs w:val="13"/>
                <w:b w:val="1"/>
                <w:bCs w:val="1"/>
                <w:color w:val="auto"/>
              </w:rPr>
              <w:t>Title of Each Class</w:t>
            </w:r>
          </w:p>
        </w:tc>
        <w:tc>
          <w:tcPr>
            <w:tcW w:w="280" w:type="dxa"/>
            <w:vAlign w:val="bottom"/>
            <w:tcBorders>
              <w:bottom w:val="single" w:sz="8" w:color="auto"/>
            </w:tcBorders>
          </w:tcPr>
          <w:p>
            <w:pPr>
              <w:spacing w:after="0"/>
              <w:rPr>
                <w:sz w:val="22"/>
                <w:szCs w:val="22"/>
                <w:color w:val="auto"/>
              </w:rPr>
            </w:pPr>
          </w:p>
        </w:tc>
        <w:tc>
          <w:tcPr>
            <w:tcW w:w="320" w:type="dxa"/>
            <w:vAlign w:val="bottom"/>
            <w:tcBorders>
              <w:bottom w:val="single" w:sz="8" w:color="auto"/>
            </w:tcBorders>
          </w:tcPr>
          <w:p>
            <w:pPr>
              <w:spacing w:after="0"/>
              <w:rPr>
                <w:sz w:val="22"/>
                <w:szCs w:val="22"/>
                <w:color w:val="auto"/>
              </w:rPr>
            </w:pPr>
          </w:p>
        </w:tc>
        <w:tc>
          <w:tcPr>
            <w:tcW w:w="120" w:type="dxa"/>
            <w:vAlign w:val="bottom"/>
          </w:tcPr>
          <w:p>
            <w:pPr>
              <w:spacing w:after="0"/>
              <w:rPr>
                <w:sz w:val="22"/>
                <w:szCs w:val="22"/>
                <w:color w:val="auto"/>
              </w:rPr>
            </w:pPr>
          </w:p>
        </w:tc>
        <w:tc>
          <w:tcPr>
            <w:tcW w:w="2440" w:type="dxa"/>
            <w:vAlign w:val="bottom"/>
            <w:tcBorders>
              <w:bottom w:val="single" w:sz="8" w:color="auto"/>
            </w:tcBorders>
          </w:tcPr>
          <w:p>
            <w:pPr>
              <w:jc w:val="center"/>
              <w:ind w:left="313"/>
              <w:spacing w:after="0"/>
              <w:rPr>
                <w:sz w:val="20"/>
                <w:szCs w:val="20"/>
                <w:color w:val="auto"/>
              </w:rPr>
            </w:pPr>
            <w:r>
              <w:rPr>
                <w:rFonts w:ascii="Times New Roman" w:cs="Times New Roman" w:eastAsia="Times New Roman" w:hAnsi="Times New Roman"/>
                <w:sz w:val="13"/>
                <w:szCs w:val="13"/>
                <w:b w:val="1"/>
                <w:bCs w:val="1"/>
                <w:color w:val="auto"/>
              </w:rPr>
              <w:t>Trading Symbol</w:t>
            </w:r>
          </w:p>
        </w:tc>
        <w:tc>
          <w:tcPr>
            <w:tcW w:w="280" w:type="dxa"/>
            <w:vAlign w:val="bottom"/>
            <w:tcBorders>
              <w:bottom w:val="single" w:sz="8" w:color="auto"/>
            </w:tcBorders>
          </w:tcPr>
          <w:p>
            <w:pPr>
              <w:spacing w:after="0"/>
              <w:rPr>
                <w:sz w:val="22"/>
                <w:szCs w:val="22"/>
                <w:color w:val="auto"/>
              </w:rPr>
            </w:pPr>
          </w:p>
        </w:tc>
        <w:tc>
          <w:tcPr>
            <w:tcW w:w="80" w:type="dxa"/>
            <w:vAlign w:val="bottom"/>
            <w:tcBorders>
              <w:bottom w:val="single" w:sz="8" w:color="auto"/>
            </w:tcBorders>
          </w:tcPr>
          <w:p>
            <w:pPr>
              <w:spacing w:after="0"/>
              <w:rPr>
                <w:sz w:val="22"/>
                <w:szCs w:val="22"/>
                <w:color w:val="auto"/>
              </w:rPr>
            </w:pPr>
          </w:p>
        </w:tc>
        <w:tc>
          <w:tcPr>
            <w:tcW w:w="120" w:type="dxa"/>
            <w:vAlign w:val="bottom"/>
          </w:tcPr>
          <w:p>
            <w:pPr>
              <w:spacing w:after="0"/>
              <w:rPr>
                <w:sz w:val="22"/>
                <w:szCs w:val="22"/>
                <w:color w:val="auto"/>
              </w:rPr>
            </w:pPr>
          </w:p>
        </w:tc>
        <w:tc>
          <w:tcPr>
            <w:tcW w:w="400" w:type="dxa"/>
            <w:vAlign w:val="bottom"/>
            <w:tcBorders>
              <w:bottom w:val="single" w:sz="8" w:color="auto"/>
            </w:tcBorders>
          </w:tcPr>
          <w:p>
            <w:pPr>
              <w:spacing w:after="0"/>
              <w:rPr>
                <w:sz w:val="22"/>
                <w:szCs w:val="22"/>
                <w:color w:val="auto"/>
              </w:rPr>
            </w:pPr>
          </w:p>
        </w:tc>
        <w:tc>
          <w:tcPr>
            <w:tcW w:w="300" w:type="dxa"/>
            <w:vAlign w:val="bottom"/>
            <w:tcBorders>
              <w:bottom w:val="single" w:sz="8" w:color="auto"/>
            </w:tcBorders>
          </w:tcPr>
          <w:p>
            <w:pPr>
              <w:spacing w:after="0"/>
              <w:rPr>
                <w:sz w:val="22"/>
                <w:szCs w:val="22"/>
                <w:color w:val="auto"/>
              </w:rPr>
            </w:pPr>
          </w:p>
        </w:tc>
        <w:tc>
          <w:tcPr>
            <w:tcW w:w="3440" w:type="dxa"/>
            <w:vAlign w:val="bottom"/>
            <w:tcBorders>
              <w:bottom w:val="single" w:sz="8" w:color="auto"/>
            </w:tcBorders>
            <w:gridSpan w:val="2"/>
          </w:tcPr>
          <w:p>
            <w:pPr>
              <w:jc w:val="center"/>
              <w:ind w:right="633"/>
              <w:spacing w:after="0"/>
              <w:rPr>
                <w:sz w:val="20"/>
                <w:szCs w:val="20"/>
                <w:color w:val="auto"/>
              </w:rPr>
            </w:pPr>
            <w:r>
              <w:rPr>
                <w:rFonts w:ascii="Times New Roman" w:cs="Times New Roman" w:eastAsia="Times New Roman" w:hAnsi="Times New Roman"/>
                <w:sz w:val="13"/>
                <w:szCs w:val="13"/>
                <w:b w:val="1"/>
                <w:bCs w:val="1"/>
                <w:color w:val="auto"/>
              </w:rPr>
              <w:t>Name of Each Exchange on which Registered</w:t>
            </w:r>
          </w:p>
        </w:tc>
      </w:tr>
      <w:tr>
        <w:trPr>
          <w:trHeight w:val="209"/>
        </w:trPr>
        <w:tc>
          <w:tcPr>
            <w:tcW w:w="3460" w:type="dxa"/>
            <w:vAlign w:val="bottom"/>
            <w:gridSpan w:val="2"/>
          </w:tcPr>
          <w:p>
            <w:pPr>
              <w:jc w:val="center"/>
              <w:ind w:left="533"/>
              <w:spacing w:after="0"/>
              <w:rPr>
                <w:sz w:val="20"/>
                <w:szCs w:val="20"/>
                <w:color w:val="auto"/>
              </w:rPr>
            </w:pPr>
            <w:r>
              <w:rPr>
                <w:rFonts w:ascii="Times New Roman" w:cs="Times New Roman" w:eastAsia="Times New Roman" w:hAnsi="Times New Roman"/>
                <w:sz w:val="13"/>
                <w:szCs w:val="13"/>
                <w:color w:val="auto"/>
              </w:rPr>
              <w:t>Class A common stock, par value $0.001 per share</w:t>
            </w:r>
          </w:p>
        </w:tc>
        <w:tc>
          <w:tcPr>
            <w:tcW w:w="28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2440" w:type="dxa"/>
            <w:vAlign w:val="bottom"/>
          </w:tcPr>
          <w:p>
            <w:pPr>
              <w:jc w:val="center"/>
              <w:ind w:left="293"/>
              <w:spacing w:after="0"/>
              <w:rPr>
                <w:sz w:val="20"/>
                <w:szCs w:val="20"/>
                <w:color w:val="auto"/>
              </w:rPr>
            </w:pPr>
            <w:r>
              <w:rPr>
                <w:rFonts w:ascii="Times New Roman" w:cs="Times New Roman" w:eastAsia="Times New Roman" w:hAnsi="Times New Roman"/>
                <w:sz w:val="13"/>
                <w:szCs w:val="13"/>
                <w:color w:val="auto"/>
              </w:rPr>
              <w:t>MSTR</w:t>
            </w:r>
          </w:p>
        </w:tc>
        <w:tc>
          <w:tcPr>
            <w:tcW w:w="280" w:type="dxa"/>
            <w:vAlign w:val="bottom"/>
          </w:tcPr>
          <w:p>
            <w:pPr>
              <w:spacing w:after="0"/>
              <w:rPr>
                <w:sz w:val="18"/>
                <w:szCs w:val="18"/>
                <w:color w:val="auto"/>
              </w:rPr>
            </w:pPr>
          </w:p>
        </w:tc>
        <w:tc>
          <w:tcPr>
            <w:tcW w:w="8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40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3440" w:type="dxa"/>
            <w:vAlign w:val="bottom"/>
            <w:gridSpan w:val="2"/>
          </w:tcPr>
          <w:p>
            <w:pPr>
              <w:jc w:val="center"/>
              <w:ind w:right="653"/>
              <w:spacing w:after="0"/>
              <w:rPr>
                <w:sz w:val="20"/>
                <w:szCs w:val="20"/>
                <w:color w:val="auto"/>
              </w:rPr>
            </w:pPr>
            <w:r>
              <w:rPr>
                <w:rFonts w:ascii="Times New Roman" w:cs="Times New Roman" w:eastAsia="Times New Roman" w:hAnsi="Times New Roman"/>
                <w:sz w:val="13"/>
                <w:szCs w:val="13"/>
                <w:color w:val="auto"/>
              </w:rPr>
              <w:t>The Nasdaq Global Select Market</w:t>
            </w:r>
          </w:p>
        </w:tc>
      </w:tr>
      <w:tr>
        <w:trPr>
          <w:trHeight w:val="163"/>
        </w:trPr>
        <w:tc>
          <w:tcPr>
            <w:tcW w:w="6620" w:type="dxa"/>
            <w:vAlign w:val="bottom"/>
            <w:gridSpan w:val="6"/>
          </w:tcPr>
          <w:p>
            <w:pPr>
              <w:jc w:val="center"/>
              <w:ind w:right="2513"/>
              <w:spacing w:after="0"/>
              <w:rPr>
                <w:sz w:val="20"/>
                <w:szCs w:val="20"/>
                <w:color w:val="auto"/>
              </w:rPr>
            </w:pPr>
            <w:r>
              <w:rPr>
                <w:rFonts w:ascii="Times New Roman" w:cs="Times New Roman" w:eastAsia="Times New Roman" w:hAnsi="Times New Roman"/>
                <w:sz w:val="13"/>
                <w:szCs w:val="13"/>
                <w:color w:val="auto"/>
              </w:rPr>
              <w:t>8.00% Series A Perpetual Strike Preferred Stock, par value $0.001 per</w:t>
            </w:r>
          </w:p>
        </w:tc>
        <w:tc>
          <w:tcPr>
            <w:tcW w:w="28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40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1480" w:type="dxa"/>
            <w:vAlign w:val="bottom"/>
          </w:tcPr>
          <w:p>
            <w:pPr>
              <w:spacing w:after="0"/>
              <w:rPr>
                <w:sz w:val="14"/>
                <w:szCs w:val="14"/>
                <w:color w:val="auto"/>
              </w:rPr>
            </w:pPr>
          </w:p>
        </w:tc>
        <w:tc>
          <w:tcPr>
            <w:tcW w:w="1960" w:type="dxa"/>
            <w:vAlign w:val="bottom"/>
          </w:tcPr>
          <w:p>
            <w:pPr>
              <w:spacing w:after="0"/>
              <w:rPr>
                <w:sz w:val="14"/>
                <w:szCs w:val="14"/>
                <w:color w:val="auto"/>
              </w:rPr>
            </w:pPr>
          </w:p>
        </w:tc>
      </w:tr>
      <w:tr>
        <w:trPr>
          <w:trHeight w:val="174"/>
        </w:trPr>
        <w:tc>
          <w:tcPr>
            <w:tcW w:w="3460" w:type="dxa"/>
            <w:vAlign w:val="bottom"/>
            <w:gridSpan w:val="2"/>
          </w:tcPr>
          <w:p>
            <w:pPr>
              <w:jc w:val="center"/>
              <w:ind w:left="553"/>
              <w:spacing w:after="0"/>
              <w:rPr>
                <w:sz w:val="20"/>
                <w:szCs w:val="20"/>
                <w:color w:val="auto"/>
              </w:rPr>
            </w:pPr>
            <w:r>
              <w:rPr>
                <w:rFonts w:ascii="Times New Roman" w:cs="Times New Roman" w:eastAsia="Times New Roman" w:hAnsi="Times New Roman"/>
                <w:sz w:val="13"/>
                <w:szCs w:val="13"/>
                <w:color w:val="auto"/>
              </w:rPr>
              <w:t>share</w:t>
            </w:r>
          </w:p>
        </w:tc>
        <w:tc>
          <w:tcPr>
            <w:tcW w:w="280" w:type="dxa"/>
            <w:vAlign w:val="bottom"/>
          </w:tcPr>
          <w:p>
            <w:pPr>
              <w:spacing w:after="0"/>
              <w:rPr>
                <w:sz w:val="15"/>
                <w:szCs w:val="15"/>
                <w:color w:val="auto"/>
              </w:rPr>
            </w:pPr>
          </w:p>
        </w:tc>
        <w:tc>
          <w:tcPr>
            <w:tcW w:w="32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2440" w:type="dxa"/>
            <w:vAlign w:val="bottom"/>
          </w:tcPr>
          <w:p>
            <w:pPr>
              <w:jc w:val="center"/>
              <w:ind w:left="313"/>
              <w:spacing w:after="0"/>
              <w:rPr>
                <w:sz w:val="20"/>
                <w:szCs w:val="20"/>
                <w:color w:val="auto"/>
              </w:rPr>
            </w:pPr>
            <w:r>
              <w:rPr>
                <w:rFonts w:ascii="Times New Roman" w:cs="Times New Roman" w:eastAsia="Times New Roman" w:hAnsi="Times New Roman"/>
                <w:sz w:val="13"/>
                <w:szCs w:val="13"/>
                <w:color w:val="auto"/>
              </w:rPr>
              <w:t>STRK</w:t>
            </w:r>
          </w:p>
        </w:tc>
        <w:tc>
          <w:tcPr>
            <w:tcW w:w="28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40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3440" w:type="dxa"/>
            <w:vAlign w:val="bottom"/>
            <w:gridSpan w:val="2"/>
          </w:tcPr>
          <w:p>
            <w:pPr>
              <w:jc w:val="center"/>
              <w:ind w:right="653"/>
              <w:spacing w:after="0"/>
              <w:rPr>
                <w:sz w:val="20"/>
                <w:szCs w:val="20"/>
                <w:color w:val="auto"/>
              </w:rPr>
            </w:pPr>
            <w:r>
              <w:rPr>
                <w:rFonts w:ascii="Times New Roman" w:cs="Times New Roman" w:eastAsia="Times New Roman" w:hAnsi="Times New Roman"/>
                <w:sz w:val="13"/>
                <w:szCs w:val="13"/>
                <w:color w:val="auto"/>
              </w:rPr>
              <w:t>The Nasdaq Global Select Market</w:t>
            </w:r>
          </w:p>
        </w:tc>
      </w:tr>
      <w:tr>
        <w:trPr>
          <w:trHeight w:val="243"/>
        </w:trPr>
        <w:tc>
          <w:tcPr>
            <w:tcW w:w="2280" w:type="dxa"/>
            <w:vAlign w:val="bottom"/>
          </w:tcPr>
          <w:p>
            <w:pPr>
              <w:spacing w:after="0"/>
              <w:rPr>
                <w:sz w:val="21"/>
                <w:szCs w:val="21"/>
                <w:color w:val="auto"/>
              </w:rPr>
            </w:pPr>
          </w:p>
        </w:tc>
        <w:tc>
          <w:tcPr>
            <w:tcW w:w="1180" w:type="dxa"/>
            <w:vAlign w:val="bottom"/>
          </w:tcPr>
          <w:p>
            <w:pPr>
              <w:spacing w:after="0"/>
              <w:rPr>
                <w:sz w:val="21"/>
                <w:szCs w:val="21"/>
                <w:color w:val="auto"/>
              </w:rPr>
            </w:pPr>
          </w:p>
        </w:tc>
        <w:tc>
          <w:tcPr>
            <w:tcW w:w="4340" w:type="dxa"/>
            <w:vAlign w:val="bottom"/>
            <w:gridSpan w:val="9"/>
          </w:tcPr>
          <w:p>
            <w:pPr>
              <w:jc w:val="center"/>
              <w:ind w:right="20"/>
              <w:spacing w:after="0"/>
              <w:rPr>
                <w:sz w:val="20"/>
                <w:szCs w:val="20"/>
                <w:color w:val="auto"/>
              </w:rPr>
            </w:pPr>
            <w:r>
              <w:rPr>
                <w:rFonts w:ascii="Times New Roman" w:cs="Times New Roman" w:eastAsia="Times New Roman" w:hAnsi="Times New Roman"/>
                <w:sz w:val="13"/>
                <w:szCs w:val="13"/>
                <w:b w:val="1"/>
                <w:bCs w:val="1"/>
                <w:color w:val="auto"/>
              </w:rPr>
              <w:t>Securities registered pursuant to Section 12(g) of the Act: Not applicable</w:t>
            </w:r>
          </w:p>
        </w:tc>
        <w:tc>
          <w:tcPr>
            <w:tcW w:w="1480" w:type="dxa"/>
            <w:vAlign w:val="bottom"/>
          </w:tcPr>
          <w:p>
            <w:pPr>
              <w:spacing w:after="0"/>
              <w:rPr>
                <w:sz w:val="21"/>
                <w:szCs w:val="21"/>
                <w:color w:val="auto"/>
              </w:rPr>
            </w:pPr>
          </w:p>
        </w:tc>
        <w:tc>
          <w:tcPr>
            <w:tcW w:w="1960" w:type="dxa"/>
            <w:vAlign w:val="bottom"/>
          </w:tcPr>
          <w:p>
            <w:pPr>
              <w:spacing w:after="0"/>
              <w:rPr>
                <w:sz w:val="21"/>
                <w:szCs w:val="21"/>
                <w:color w:val="auto"/>
              </w:rPr>
            </w:pPr>
          </w:p>
        </w:tc>
      </w:tr>
      <w:tr>
        <w:trPr>
          <w:trHeight w:val="95"/>
        </w:trPr>
        <w:tc>
          <w:tcPr>
            <w:tcW w:w="3740" w:type="dxa"/>
            <w:vAlign w:val="bottom"/>
            <w:gridSpan w:val="3"/>
          </w:tcPr>
          <w:p>
            <w:pPr>
              <w:spacing w:after="0"/>
              <w:rPr>
                <w:sz w:val="8"/>
                <w:szCs w:val="8"/>
                <w:color w:val="auto"/>
              </w:rPr>
            </w:pPr>
          </w:p>
        </w:tc>
        <w:tc>
          <w:tcPr>
            <w:tcW w:w="2880" w:type="dxa"/>
            <w:vAlign w:val="bottom"/>
            <w:tcBorders>
              <w:bottom w:val="single" w:sz="8" w:color="auto"/>
            </w:tcBorders>
            <w:gridSpan w:val="3"/>
          </w:tcPr>
          <w:p>
            <w:pPr>
              <w:spacing w:after="0"/>
              <w:rPr>
                <w:sz w:val="8"/>
                <w:szCs w:val="8"/>
                <w:color w:val="auto"/>
              </w:rPr>
            </w:pPr>
          </w:p>
        </w:tc>
        <w:tc>
          <w:tcPr>
            <w:tcW w:w="280" w:type="dxa"/>
            <w:vAlign w:val="bottom"/>
            <w:tcBorders>
              <w:bottom w:val="single" w:sz="8" w:color="auto"/>
            </w:tcBorders>
          </w:tcPr>
          <w:p>
            <w:pPr>
              <w:spacing w:after="0"/>
              <w:rPr>
                <w:sz w:val="8"/>
                <w:szCs w:val="8"/>
                <w:color w:val="auto"/>
              </w:rPr>
            </w:pPr>
          </w:p>
        </w:tc>
        <w:tc>
          <w:tcPr>
            <w:tcW w:w="600" w:type="dxa"/>
            <w:vAlign w:val="bottom"/>
            <w:tcBorders>
              <w:bottom w:val="single" w:sz="8" w:color="auto"/>
            </w:tcBorders>
            <w:gridSpan w:val="3"/>
          </w:tcPr>
          <w:p>
            <w:pPr>
              <w:spacing w:after="0"/>
              <w:rPr>
                <w:sz w:val="8"/>
                <w:szCs w:val="8"/>
                <w:color w:val="auto"/>
              </w:rPr>
            </w:pPr>
          </w:p>
        </w:tc>
        <w:tc>
          <w:tcPr>
            <w:tcW w:w="300" w:type="dxa"/>
            <w:vAlign w:val="bottom"/>
          </w:tcPr>
          <w:p>
            <w:pPr>
              <w:spacing w:after="0"/>
              <w:rPr>
                <w:sz w:val="8"/>
                <w:szCs w:val="8"/>
                <w:color w:val="auto"/>
              </w:rPr>
            </w:pPr>
          </w:p>
        </w:tc>
        <w:tc>
          <w:tcPr>
            <w:tcW w:w="1480" w:type="dxa"/>
            <w:vAlign w:val="bottom"/>
          </w:tcPr>
          <w:p>
            <w:pPr>
              <w:spacing w:after="0"/>
              <w:rPr>
                <w:sz w:val="8"/>
                <w:szCs w:val="8"/>
                <w:color w:val="auto"/>
              </w:rPr>
            </w:pPr>
          </w:p>
        </w:tc>
        <w:tc>
          <w:tcPr>
            <w:tcW w:w="1960" w:type="dxa"/>
            <w:vAlign w:val="bottom"/>
          </w:tcPr>
          <w:p>
            <w:pPr>
              <w:spacing w:after="0"/>
              <w:rPr>
                <w:sz w:val="8"/>
                <w:szCs w:val="8"/>
                <w:color w:val="auto"/>
              </w:rPr>
            </w:pPr>
          </w:p>
        </w:tc>
      </w:tr>
      <w:tr>
        <w:trPr>
          <w:trHeight w:val="272"/>
        </w:trPr>
        <w:tc>
          <w:tcPr>
            <w:tcW w:w="6620" w:type="dxa"/>
            <w:vAlign w:val="bottom"/>
            <w:gridSpan w:val="6"/>
          </w:tcPr>
          <w:p>
            <w:pPr>
              <w:spacing w:after="0"/>
              <w:rPr>
                <w:sz w:val="20"/>
                <w:szCs w:val="20"/>
                <w:color w:val="auto"/>
              </w:rPr>
            </w:pPr>
            <w:r>
              <w:rPr>
                <w:rFonts w:ascii="Times New Roman" w:cs="Times New Roman" w:eastAsia="Times New Roman" w:hAnsi="Times New Roman"/>
                <w:sz w:val="13"/>
                <w:szCs w:val="13"/>
                <w:color w:val="auto"/>
              </w:rPr>
              <w:t>Indicate by check mark if the registrant is a well-known seasoned issuer, as defined in Rule 405 of the Securities Act. Yes</w:t>
            </w:r>
          </w:p>
        </w:tc>
        <w:tc>
          <w:tcPr>
            <w:tcW w:w="280" w:type="dxa"/>
            <w:vAlign w:val="bottom"/>
          </w:tcPr>
          <w:p>
            <w:pPr>
              <w:ind w:left="40"/>
              <w:spacing w:after="0" w:line="131" w:lineRule="exact"/>
              <w:rPr>
                <w:sz w:val="20"/>
                <w:szCs w:val="20"/>
                <w:color w:val="auto"/>
              </w:rPr>
            </w:pPr>
            <w:r>
              <w:rPr>
                <w:rFonts w:ascii="MS PGothic" w:cs="MS PGothic" w:eastAsia="MS PGothic" w:hAnsi="MS PGothic"/>
                <w:sz w:val="13"/>
                <w:szCs w:val="13"/>
                <w:color w:val="auto"/>
              </w:rPr>
              <w:t>☒</w:t>
            </w:r>
          </w:p>
        </w:tc>
        <w:tc>
          <w:tcPr>
            <w:tcW w:w="900" w:type="dxa"/>
            <w:vAlign w:val="bottom"/>
            <w:gridSpan w:val="4"/>
          </w:tcPr>
          <w:p>
            <w:pPr>
              <w:jc w:val="center"/>
              <w:ind w:right="500"/>
              <w:spacing w:after="0" w:line="150" w:lineRule="exact"/>
              <w:rPr>
                <w:sz w:val="20"/>
                <w:szCs w:val="20"/>
                <w:color w:val="auto"/>
              </w:rPr>
            </w:pPr>
            <w:r>
              <w:rPr>
                <w:rFonts w:ascii="Times New Roman" w:cs="Times New Roman" w:eastAsia="Times New Roman" w:hAnsi="Times New Roman"/>
                <w:sz w:val="13"/>
                <w:szCs w:val="13"/>
                <w:color w:val="auto"/>
              </w:rPr>
              <w:t xml:space="preserve">No </w:t>
            </w:r>
            <w:r>
              <w:rPr>
                <w:rFonts w:ascii="MS PGothic" w:cs="MS PGothic" w:eastAsia="MS PGothic" w:hAnsi="MS PGothic"/>
                <w:sz w:val="13"/>
                <w:szCs w:val="13"/>
                <w:color w:val="auto"/>
              </w:rPr>
              <w:t>☐</w:t>
            </w:r>
          </w:p>
        </w:tc>
        <w:tc>
          <w:tcPr>
            <w:tcW w:w="1480" w:type="dxa"/>
            <w:vAlign w:val="bottom"/>
          </w:tcPr>
          <w:p>
            <w:pPr>
              <w:spacing w:after="0"/>
              <w:rPr>
                <w:sz w:val="23"/>
                <w:szCs w:val="23"/>
                <w:color w:val="auto"/>
              </w:rPr>
            </w:pPr>
          </w:p>
        </w:tc>
        <w:tc>
          <w:tcPr>
            <w:tcW w:w="1960" w:type="dxa"/>
            <w:vAlign w:val="bottom"/>
          </w:tcPr>
          <w:p>
            <w:pPr>
              <w:spacing w:after="0"/>
              <w:rPr>
                <w:sz w:val="23"/>
                <w:szCs w:val="23"/>
                <w:color w:val="auto"/>
              </w:rPr>
            </w:pPr>
          </w:p>
        </w:tc>
      </w:tr>
      <w:tr>
        <w:trPr>
          <w:trHeight w:val="230"/>
        </w:trPr>
        <w:tc>
          <w:tcPr>
            <w:tcW w:w="6900" w:type="dxa"/>
            <w:vAlign w:val="bottom"/>
            <w:gridSpan w:val="7"/>
          </w:tcPr>
          <w:p>
            <w:pPr>
              <w:spacing w:after="0" w:line="150" w:lineRule="exact"/>
              <w:rPr>
                <w:sz w:val="20"/>
                <w:szCs w:val="20"/>
                <w:color w:val="auto"/>
              </w:rPr>
            </w:pPr>
            <w:r>
              <w:rPr>
                <w:rFonts w:ascii="Times New Roman" w:cs="Times New Roman" w:eastAsia="Times New Roman" w:hAnsi="Times New Roman"/>
                <w:sz w:val="13"/>
                <w:szCs w:val="13"/>
                <w:color w:val="auto"/>
              </w:rPr>
              <w:t xml:space="preserve">Indicate by check mark if the registrant is not required to file reports pursuant to Section 13 or Section 15(d) of the Act. Yes </w:t>
            </w:r>
            <w:r>
              <w:rPr>
                <w:rFonts w:ascii="MS PGothic" w:cs="MS PGothic" w:eastAsia="MS PGothic" w:hAnsi="MS PGothic"/>
                <w:sz w:val="13"/>
                <w:szCs w:val="13"/>
                <w:color w:val="auto"/>
              </w:rPr>
              <w:t>☐</w:t>
            </w:r>
          </w:p>
        </w:tc>
        <w:tc>
          <w:tcPr>
            <w:tcW w:w="80" w:type="dxa"/>
            <w:vAlign w:val="bottom"/>
          </w:tcPr>
          <w:p>
            <w:pPr>
              <w:spacing w:after="0"/>
              <w:rPr>
                <w:sz w:val="19"/>
                <w:szCs w:val="19"/>
                <w:color w:val="auto"/>
              </w:rPr>
            </w:pPr>
          </w:p>
        </w:tc>
        <w:tc>
          <w:tcPr>
            <w:tcW w:w="820" w:type="dxa"/>
            <w:vAlign w:val="bottom"/>
            <w:gridSpan w:val="3"/>
          </w:tcPr>
          <w:p>
            <w:pPr>
              <w:ind w:left="60"/>
              <w:spacing w:after="0" w:line="150" w:lineRule="exact"/>
              <w:rPr>
                <w:sz w:val="20"/>
                <w:szCs w:val="20"/>
                <w:color w:val="auto"/>
              </w:rPr>
            </w:pPr>
            <w:r>
              <w:rPr>
                <w:rFonts w:ascii="Times New Roman" w:cs="Times New Roman" w:eastAsia="Times New Roman" w:hAnsi="Times New Roman"/>
                <w:sz w:val="13"/>
                <w:szCs w:val="13"/>
                <w:color w:val="auto"/>
              </w:rPr>
              <w:t xml:space="preserve">No </w:t>
            </w:r>
            <w:r>
              <w:rPr>
                <w:rFonts w:ascii="MS PGothic" w:cs="MS PGothic" w:eastAsia="MS PGothic" w:hAnsi="MS PGothic"/>
                <w:sz w:val="13"/>
                <w:szCs w:val="13"/>
                <w:color w:val="auto"/>
              </w:rPr>
              <w:t>☒</w:t>
            </w:r>
          </w:p>
        </w:tc>
        <w:tc>
          <w:tcPr>
            <w:tcW w:w="1480" w:type="dxa"/>
            <w:vAlign w:val="bottom"/>
          </w:tcPr>
          <w:p>
            <w:pPr>
              <w:spacing w:after="0"/>
              <w:rPr>
                <w:sz w:val="19"/>
                <w:szCs w:val="19"/>
                <w:color w:val="auto"/>
              </w:rPr>
            </w:pPr>
          </w:p>
        </w:tc>
        <w:tc>
          <w:tcPr>
            <w:tcW w:w="1960" w:type="dxa"/>
            <w:vAlign w:val="bottom"/>
          </w:tcPr>
          <w:p>
            <w:pPr>
              <w:spacing w:after="0"/>
              <w:rPr>
                <w:sz w:val="19"/>
                <w:szCs w:val="19"/>
                <w:color w:val="auto"/>
              </w:rPr>
            </w:pPr>
          </w:p>
        </w:tc>
      </w:tr>
    </w:tbl>
    <w:p>
      <w:pPr>
        <w:spacing w:after="0" w:line="47" w:lineRule="exact"/>
        <w:rPr>
          <w:sz w:val="24"/>
          <w:szCs w:val="24"/>
          <w:color w:val="auto"/>
        </w:rPr>
      </w:pPr>
    </w:p>
    <w:p>
      <w:pPr>
        <w:jc w:val="both"/>
        <w:spacing w:after="0" w:line="172" w:lineRule="exact"/>
        <w:rPr>
          <w:sz w:val="20"/>
          <w:szCs w:val="20"/>
          <w:color w:val="auto"/>
        </w:rPr>
      </w:pPr>
      <w:r>
        <w:rPr>
          <w:rFonts w:ascii="Times New Roman" w:cs="Times New Roman" w:eastAsia="Times New Roman" w:hAnsi="Times New Roman"/>
          <w:sz w:val="13"/>
          <w:szCs w:val="13"/>
          <w:color w:val="auto"/>
        </w:rPr>
        <w:t xml:space="preserve">Indicate by check mark whether the registrant: (1) has filed all reports required to be filed by Section 13 or 15(d) of the Securities Exchange Act of 1934 during the preceding 12 months (or for such shorter period that the registrant was required to file such reports), and (2) has been subject to such filing requirements for the past 90 days. Yes </w:t>
      </w:r>
      <w:r>
        <w:rPr>
          <w:rFonts w:ascii="MS PGothic" w:cs="MS PGothic" w:eastAsia="MS PGothic" w:hAnsi="MS PGothic"/>
          <w:sz w:val="13"/>
          <w:szCs w:val="13"/>
          <w:color w:val="auto"/>
        </w:rPr>
        <w:t>☒</w:t>
      </w:r>
      <w:r>
        <w:rPr>
          <w:rFonts w:ascii="Times New Roman" w:cs="Times New Roman" w:eastAsia="Times New Roman" w:hAnsi="Times New Roman"/>
          <w:sz w:val="13"/>
          <w:szCs w:val="13"/>
          <w:color w:val="auto"/>
        </w:rPr>
        <w:t xml:space="preserve"> No </w:t>
      </w:r>
      <w:r>
        <w:rPr>
          <w:rFonts w:ascii="MS PGothic" w:cs="MS PGothic" w:eastAsia="MS PGothic" w:hAnsi="MS PGothic"/>
          <w:sz w:val="13"/>
          <w:szCs w:val="13"/>
          <w:color w:val="auto"/>
        </w:rPr>
        <w:t>☐</w:t>
      </w:r>
    </w:p>
    <w:p>
      <w:pPr>
        <w:spacing w:after="0" w:line="34" w:lineRule="exact"/>
        <w:rPr>
          <w:sz w:val="24"/>
          <w:szCs w:val="24"/>
          <w:color w:val="auto"/>
        </w:rPr>
      </w:pPr>
    </w:p>
    <w:p>
      <w:pPr>
        <w:jc w:val="both"/>
        <w:spacing w:after="0" w:line="172" w:lineRule="exact"/>
        <w:rPr>
          <w:sz w:val="20"/>
          <w:szCs w:val="20"/>
          <w:color w:val="auto"/>
        </w:rPr>
      </w:pPr>
      <w:r>
        <w:rPr>
          <w:rFonts w:ascii="Times New Roman" w:cs="Times New Roman" w:eastAsia="Times New Roman" w:hAnsi="Times New Roman"/>
          <w:sz w:val="13"/>
          <w:szCs w:val="13"/>
          <w:color w:val="auto"/>
        </w:rPr>
        <w:t xml:space="preserve">Indicate by check mark whether the registrant has submitted electronically every Interactive Data File required to be submitted pursuant to Rule 405 of Regulation S-T (§232.405 of this chapter) during the preceding 12 months (or for such shorter period that the registrant was required to submit such files). Yes </w:t>
      </w:r>
      <w:r>
        <w:rPr>
          <w:rFonts w:ascii="MS PGothic" w:cs="MS PGothic" w:eastAsia="MS PGothic" w:hAnsi="MS PGothic"/>
          <w:sz w:val="13"/>
          <w:szCs w:val="13"/>
          <w:color w:val="auto"/>
        </w:rPr>
        <w:t>☒</w:t>
      </w:r>
      <w:r>
        <w:rPr>
          <w:rFonts w:ascii="Times New Roman" w:cs="Times New Roman" w:eastAsia="Times New Roman" w:hAnsi="Times New Roman"/>
          <w:sz w:val="13"/>
          <w:szCs w:val="13"/>
          <w:color w:val="auto"/>
        </w:rPr>
        <w:t xml:space="preserve"> No </w:t>
      </w:r>
      <w:r>
        <w:rPr>
          <w:rFonts w:ascii="MS PGothic" w:cs="MS PGothic" w:eastAsia="MS PGothic" w:hAnsi="MS PGothic"/>
          <w:sz w:val="13"/>
          <w:szCs w:val="13"/>
          <w:color w:val="auto"/>
        </w:rPr>
        <w:t>☐</w:t>
      </w:r>
    </w:p>
    <w:p>
      <w:pPr>
        <w:spacing w:after="0" w:line="48" w:lineRule="exact"/>
        <w:rPr>
          <w:sz w:val="24"/>
          <w:szCs w:val="24"/>
          <w:color w:val="auto"/>
        </w:rPr>
      </w:pPr>
    </w:p>
    <w:p>
      <w:pPr>
        <w:jc w:val="both"/>
        <w:spacing w:after="0" w:line="278" w:lineRule="auto"/>
        <w:rPr>
          <w:sz w:val="20"/>
          <w:szCs w:val="20"/>
          <w:color w:val="auto"/>
        </w:rPr>
      </w:pPr>
      <w:r>
        <w:rPr>
          <w:rFonts w:ascii="Times New Roman" w:cs="Times New Roman" w:eastAsia="Times New Roman" w:hAnsi="Times New Roman"/>
          <w:sz w:val="13"/>
          <w:szCs w:val="13"/>
          <w:color w:val="auto"/>
        </w:rPr>
        <w:t>Indicate by check mark whether the registrant is a large accelerated filer, an accelerated filer, a non-accelerated filer, a smaller reporting company, or an emerging growth company. See the definitions of “large accelerated filer,” “accelerated filer,” “smaller reporting company,” and “emerging growth company” in Rule 12b-2 of the Exchange Act.</w:t>
      </w:r>
    </w:p>
    <w:p>
      <w:pPr>
        <w:spacing w:after="0" w:line="14" w:lineRule="exact"/>
        <w:rPr>
          <w:sz w:val="24"/>
          <w:szCs w:val="24"/>
          <w:color w:val="auto"/>
        </w:rPr>
      </w:pPr>
    </w:p>
    <w:tbl>
      <w:tblPr>
        <w:tblLayout w:type="fixed"/>
        <w:tblInd w:w="20" w:type="dxa"/>
        <w:tblCellMar>
          <w:top w:w="0" w:type="dxa"/>
          <w:left w:w="0" w:type="dxa"/>
          <w:bottom w:w="0" w:type="dxa"/>
          <w:right w:w="0" w:type="dxa"/>
        </w:tblCellMar>
      </w:tblPr>
      <w:tr>
        <w:trPr>
          <w:trHeight w:val="165"/>
        </w:trPr>
        <w:tc>
          <w:tcPr>
            <w:tcW w:w="1800" w:type="dxa"/>
            <w:vAlign w:val="bottom"/>
          </w:tcPr>
          <w:p>
            <w:pPr>
              <w:spacing w:after="0"/>
              <w:rPr>
                <w:sz w:val="20"/>
                <w:szCs w:val="20"/>
                <w:color w:val="auto"/>
              </w:rPr>
            </w:pPr>
            <w:r>
              <w:rPr>
                <w:rFonts w:ascii="Times New Roman" w:cs="Times New Roman" w:eastAsia="Times New Roman" w:hAnsi="Times New Roman"/>
                <w:sz w:val="13"/>
                <w:szCs w:val="13"/>
                <w:color w:val="auto"/>
              </w:rPr>
              <w:t>Large accelerated filer</w:t>
            </w:r>
          </w:p>
        </w:tc>
        <w:tc>
          <w:tcPr>
            <w:tcW w:w="3200" w:type="dxa"/>
            <w:vAlign w:val="bottom"/>
          </w:tcPr>
          <w:p>
            <w:pPr>
              <w:ind w:left="600"/>
              <w:spacing w:after="0" w:line="131" w:lineRule="exact"/>
              <w:rPr>
                <w:sz w:val="20"/>
                <w:szCs w:val="20"/>
                <w:color w:val="auto"/>
              </w:rPr>
            </w:pPr>
            <w:r>
              <w:rPr>
                <w:rFonts w:ascii="MS PGothic" w:cs="MS PGothic" w:eastAsia="MS PGothic" w:hAnsi="MS PGothic"/>
                <w:sz w:val="13"/>
                <w:szCs w:val="13"/>
                <w:color w:val="auto"/>
              </w:rPr>
              <w:t>☒</w:t>
            </w:r>
          </w:p>
        </w:tc>
        <w:tc>
          <w:tcPr>
            <w:tcW w:w="4680" w:type="dxa"/>
            <w:vAlign w:val="bottom"/>
          </w:tcPr>
          <w:p>
            <w:pPr>
              <w:ind w:left="2500"/>
              <w:spacing w:after="0"/>
              <w:rPr>
                <w:sz w:val="20"/>
                <w:szCs w:val="20"/>
                <w:color w:val="auto"/>
              </w:rPr>
            </w:pPr>
            <w:r>
              <w:rPr>
                <w:rFonts w:ascii="Times New Roman" w:cs="Times New Roman" w:eastAsia="Times New Roman" w:hAnsi="Times New Roman"/>
                <w:sz w:val="13"/>
                <w:szCs w:val="13"/>
                <w:color w:val="auto"/>
              </w:rPr>
              <w:t>Accelerated filer</w:t>
            </w:r>
          </w:p>
        </w:tc>
        <w:tc>
          <w:tcPr>
            <w:tcW w:w="840" w:type="dxa"/>
            <w:vAlign w:val="bottom"/>
          </w:tcPr>
          <w:p>
            <w:pPr>
              <w:ind w:left="720"/>
              <w:spacing w:after="0" w:line="131" w:lineRule="exact"/>
              <w:rPr>
                <w:sz w:val="20"/>
                <w:szCs w:val="20"/>
                <w:color w:val="auto"/>
              </w:rPr>
            </w:pPr>
            <w:r>
              <w:rPr>
                <w:rFonts w:ascii="MS PGothic" w:cs="MS PGothic" w:eastAsia="MS PGothic" w:hAnsi="MS PGothic"/>
                <w:sz w:val="13"/>
                <w:szCs w:val="13"/>
                <w:color w:val="auto"/>
                <w:w w:val="76"/>
              </w:rPr>
              <w:t>☐</w:t>
            </w:r>
          </w:p>
        </w:tc>
      </w:tr>
      <w:tr>
        <w:trPr>
          <w:trHeight w:val="148"/>
        </w:trPr>
        <w:tc>
          <w:tcPr>
            <w:tcW w:w="1800" w:type="dxa"/>
            <w:vAlign w:val="bottom"/>
          </w:tcPr>
          <w:p>
            <w:pPr>
              <w:spacing w:after="0"/>
              <w:rPr>
                <w:sz w:val="20"/>
                <w:szCs w:val="20"/>
                <w:color w:val="auto"/>
              </w:rPr>
            </w:pPr>
            <w:r>
              <w:rPr>
                <w:rFonts w:ascii="Times New Roman" w:cs="Times New Roman" w:eastAsia="Times New Roman" w:hAnsi="Times New Roman"/>
                <w:sz w:val="13"/>
                <w:szCs w:val="13"/>
                <w:color w:val="auto"/>
              </w:rPr>
              <w:t>Non-accelerated filer</w:t>
            </w:r>
          </w:p>
        </w:tc>
        <w:tc>
          <w:tcPr>
            <w:tcW w:w="3200" w:type="dxa"/>
            <w:vAlign w:val="bottom"/>
          </w:tcPr>
          <w:p>
            <w:pPr>
              <w:ind w:left="600"/>
              <w:spacing w:after="0" w:line="131" w:lineRule="exact"/>
              <w:rPr>
                <w:sz w:val="20"/>
                <w:szCs w:val="20"/>
                <w:color w:val="auto"/>
              </w:rPr>
            </w:pPr>
            <w:r>
              <w:rPr>
                <w:rFonts w:ascii="MS PGothic" w:cs="MS PGothic" w:eastAsia="MS PGothic" w:hAnsi="MS PGothic"/>
                <w:sz w:val="13"/>
                <w:szCs w:val="13"/>
                <w:color w:val="auto"/>
              </w:rPr>
              <w:t>☐</w:t>
            </w:r>
          </w:p>
        </w:tc>
        <w:tc>
          <w:tcPr>
            <w:tcW w:w="4680" w:type="dxa"/>
            <w:vAlign w:val="bottom"/>
          </w:tcPr>
          <w:p>
            <w:pPr>
              <w:ind w:left="2500"/>
              <w:spacing w:after="0"/>
              <w:rPr>
                <w:sz w:val="20"/>
                <w:szCs w:val="20"/>
                <w:color w:val="auto"/>
              </w:rPr>
            </w:pPr>
            <w:r>
              <w:rPr>
                <w:rFonts w:ascii="Times New Roman" w:cs="Times New Roman" w:eastAsia="Times New Roman" w:hAnsi="Times New Roman"/>
                <w:sz w:val="13"/>
                <w:szCs w:val="13"/>
                <w:color w:val="auto"/>
              </w:rPr>
              <w:t>Smaller reporting company</w:t>
            </w:r>
          </w:p>
        </w:tc>
        <w:tc>
          <w:tcPr>
            <w:tcW w:w="840" w:type="dxa"/>
            <w:vAlign w:val="bottom"/>
          </w:tcPr>
          <w:p>
            <w:pPr>
              <w:ind w:left="720"/>
              <w:spacing w:after="0" w:line="131" w:lineRule="exact"/>
              <w:rPr>
                <w:sz w:val="20"/>
                <w:szCs w:val="20"/>
                <w:color w:val="auto"/>
              </w:rPr>
            </w:pPr>
            <w:r>
              <w:rPr>
                <w:rFonts w:ascii="MS PGothic" w:cs="MS PGothic" w:eastAsia="MS PGothic" w:hAnsi="MS PGothic"/>
                <w:sz w:val="13"/>
                <w:szCs w:val="13"/>
                <w:color w:val="auto"/>
                <w:w w:val="76"/>
              </w:rPr>
              <w:t>☐</w:t>
            </w:r>
          </w:p>
        </w:tc>
      </w:tr>
      <w:tr>
        <w:trPr>
          <w:trHeight w:val="227"/>
        </w:trPr>
        <w:tc>
          <w:tcPr>
            <w:tcW w:w="1800" w:type="dxa"/>
            <w:vAlign w:val="bottom"/>
          </w:tcPr>
          <w:p>
            <w:pPr>
              <w:spacing w:after="0"/>
              <w:rPr>
                <w:sz w:val="19"/>
                <w:szCs w:val="19"/>
                <w:color w:val="auto"/>
              </w:rPr>
            </w:pPr>
          </w:p>
        </w:tc>
        <w:tc>
          <w:tcPr>
            <w:tcW w:w="3200" w:type="dxa"/>
            <w:vAlign w:val="bottom"/>
          </w:tcPr>
          <w:p>
            <w:pPr>
              <w:spacing w:after="0"/>
              <w:rPr>
                <w:sz w:val="19"/>
                <w:szCs w:val="19"/>
                <w:color w:val="auto"/>
              </w:rPr>
            </w:pPr>
          </w:p>
        </w:tc>
        <w:tc>
          <w:tcPr>
            <w:tcW w:w="4680" w:type="dxa"/>
            <w:vAlign w:val="bottom"/>
          </w:tcPr>
          <w:p>
            <w:pPr>
              <w:ind w:left="2500"/>
              <w:spacing w:after="0"/>
              <w:rPr>
                <w:sz w:val="20"/>
                <w:szCs w:val="20"/>
                <w:color w:val="auto"/>
              </w:rPr>
            </w:pPr>
            <w:r>
              <w:rPr>
                <w:rFonts w:ascii="Times New Roman" w:cs="Times New Roman" w:eastAsia="Times New Roman" w:hAnsi="Times New Roman"/>
                <w:sz w:val="13"/>
                <w:szCs w:val="13"/>
                <w:color w:val="auto"/>
              </w:rPr>
              <w:t>Emerging growth company</w:t>
            </w:r>
          </w:p>
        </w:tc>
        <w:tc>
          <w:tcPr>
            <w:tcW w:w="840" w:type="dxa"/>
            <w:vAlign w:val="bottom"/>
          </w:tcPr>
          <w:p>
            <w:pPr>
              <w:ind w:left="720"/>
              <w:spacing w:after="0" w:line="131" w:lineRule="exact"/>
              <w:rPr>
                <w:sz w:val="20"/>
                <w:szCs w:val="20"/>
                <w:color w:val="auto"/>
              </w:rPr>
            </w:pPr>
            <w:r>
              <w:rPr>
                <w:rFonts w:ascii="MS PGothic" w:cs="MS PGothic" w:eastAsia="MS PGothic" w:hAnsi="MS PGothic"/>
                <w:sz w:val="13"/>
                <w:szCs w:val="13"/>
                <w:color w:val="auto"/>
                <w:w w:val="76"/>
              </w:rPr>
              <w:t>☐</w:t>
            </w:r>
          </w:p>
        </w:tc>
      </w:tr>
    </w:tbl>
    <w:p>
      <w:pPr>
        <w:spacing w:after="0" w:line="30" w:lineRule="exact"/>
        <w:rPr>
          <w:sz w:val="24"/>
          <w:szCs w:val="24"/>
          <w:color w:val="auto"/>
        </w:rPr>
      </w:pPr>
    </w:p>
    <w:p>
      <w:pPr>
        <w:spacing w:after="0" w:line="172" w:lineRule="exact"/>
        <w:rPr>
          <w:sz w:val="20"/>
          <w:szCs w:val="20"/>
          <w:color w:val="auto"/>
        </w:rPr>
      </w:pPr>
      <w:r>
        <w:rPr>
          <w:rFonts w:ascii="Times New Roman" w:cs="Times New Roman" w:eastAsia="Times New Roman" w:hAnsi="Times New Roman"/>
          <w:sz w:val="13"/>
          <w:szCs w:val="13"/>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3"/>
          <w:szCs w:val="13"/>
          <w:color w:val="auto"/>
        </w:rPr>
        <w:t>☐</w:t>
      </w:r>
    </w:p>
    <w:p>
      <w:pPr>
        <w:spacing w:after="0" w:line="34" w:lineRule="exact"/>
        <w:rPr>
          <w:sz w:val="24"/>
          <w:szCs w:val="24"/>
          <w:color w:val="auto"/>
        </w:rPr>
      </w:pPr>
    </w:p>
    <w:p>
      <w:pPr>
        <w:spacing w:after="0" w:line="172" w:lineRule="exact"/>
        <w:rPr>
          <w:sz w:val="20"/>
          <w:szCs w:val="20"/>
          <w:color w:val="auto"/>
        </w:rPr>
      </w:pPr>
      <w:r>
        <w:rPr>
          <w:rFonts w:ascii="Times New Roman" w:cs="Times New Roman" w:eastAsia="Times New Roman" w:hAnsi="Times New Roman"/>
          <w:sz w:val="13"/>
          <w:szCs w:val="13"/>
          <w:color w:val="auto"/>
        </w:rPr>
        <w:t xml:space="preserve">Indicate by check mark whether the registrant has filed a report on and attestation to its management’s assessment of the effectiveness of its internal control over financial reporting under Section 404(b) of the Sarbanes-Oxley Act (15 U.S.C. 7262(b)) by the registered public accounting firm that prepared or issued its audit report. </w:t>
      </w:r>
      <w:r>
        <w:rPr>
          <w:rFonts w:ascii="MS PGothic" w:cs="MS PGothic" w:eastAsia="MS PGothic" w:hAnsi="MS PGothic"/>
          <w:sz w:val="13"/>
          <w:szCs w:val="13"/>
          <w:color w:val="auto"/>
        </w:rPr>
        <w:t>☒</w:t>
      </w:r>
    </w:p>
    <w:p>
      <w:pPr>
        <w:spacing w:after="0" w:line="48" w:lineRule="exact"/>
        <w:rPr>
          <w:sz w:val="24"/>
          <w:szCs w:val="24"/>
          <w:color w:val="auto"/>
        </w:rPr>
      </w:pPr>
    </w:p>
    <w:p>
      <w:pPr>
        <w:spacing w:after="0" w:line="172" w:lineRule="exact"/>
        <w:rPr>
          <w:sz w:val="20"/>
          <w:szCs w:val="20"/>
          <w:color w:val="auto"/>
        </w:rPr>
      </w:pPr>
      <w:r>
        <w:rPr>
          <w:rFonts w:ascii="Times New Roman" w:cs="Times New Roman" w:eastAsia="Times New Roman" w:hAnsi="Times New Roman"/>
          <w:sz w:val="13"/>
          <w:szCs w:val="13"/>
          <w:color w:val="auto"/>
        </w:rPr>
        <w:t xml:space="preserve">If securities are registered pursuant to Section 12(b) of the Act, indicate by check mark whether the financial statements of the registrant included in the filing reflect the correction of an error to previously issued financial statements. </w:t>
      </w:r>
      <w:r>
        <w:rPr>
          <w:rFonts w:ascii="MS PGothic" w:cs="MS PGothic" w:eastAsia="MS PGothic" w:hAnsi="MS PGothic"/>
          <w:sz w:val="13"/>
          <w:szCs w:val="13"/>
          <w:color w:val="auto"/>
        </w:rPr>
        <w:t>☐</w:t>
      </w:r>
    </w:p>
    <w:p>
      <w:pPr>
        <w:spacing w:after="0" w:line="48" w:lineRule="exact"/>
        <w:rPr>
          <w:sz w:val="24"/>
          <w:szCs w:val="24"/>
          <w:color w:val="auto"/>
        </w:rPr>
      </w:pPr>
    </w:p>
    <w:p>
      <w:pPr>
        <w:spacing w:after="0" w:line="172" w:lineRule="exact"/>
        <w:rPr>
          <w:sz w:val="20"/>
          <w:szCs w:val="20"/>
          <w:color w:val="auto"/>
        </w:rPr>
      </w:pPr>
      <w:r>
        <w:rPr>
          <w:rFonts w:ascii="Times New Roman" w:cs="Times New Roman" w:eastAsia="Times New Roman" w:hAnsi="Times New Roman"/>
          <w:sz w:val="13"/>
          <w:szCs w:val="13"/>
          <w:color w:val="auto"/>
        </w:rPr>
        <w:t xml:space="preserve">Indicate by check mark whether any of those error corrections are restatements that required a recovery analysis of incentive-based compensation received by any of the registrant’s executive officers during the relevant recovery period pursuant to §240.10D-1(b). </w:t>
      </w:r>
      <w:r>
        <w:rPr>
          <w:rFonts w:ascii="MS PGothic" w:cs="MS PGothic" w:eastAsia="MS PGothic" w:hAnsi="MS PGothic"/>
          <w:sz w:val="13"/>
          <w:szCs w:val="13"/>
          <w:color w:val="auto"/>
        </w:rPr>
        <w:t>☐</w:t>
      </w:r>
    </w:p>
    <w:p>
      <w:pPr>
        <w:spacing w:after="0" w:line="3" w:lineRule="exact"/>
        <w:rPr>
          <w:sz w:val="24"/>
          <w:szCs w:val="24"/>
          <w:color w:val="auto"/>
        </w:rPr>
      </w:pPr>
    </w:p>
    <w:p>
      <w:pPr>
        <w:spacing w:after="0" w:line="150" w:lineRule="exact"/>
        <w:tabs>
          <w:tab w:leader="none" w:pos="6120" w:val="left"/>
        </w:tabs>
        <w:rPr>
          <w:sz w:val="20"/>
          <w:szCs w:val="20"/>
          <w:color w:val="auto"/>
        </w:rPr>
      </w:pPr>
      <w:r>
        <w:rPr>
          <w:rFonts w:ascii="Times New Roman" w:cs="Times New Roman" w:eastAsia="Times New Roman" w:hAnsi="Times New Roman"/>
          <w:sz w:val="13"/>
          <w:szCs w:val="13"/>
          <w:color w:val="auto"/>
        </w:rPr>
        <w:t xml:space="preserve">Indicate by check mark whether the registrant is a shell company (as defined in Rule 12b-2 of the Act). Yes </w:t>
      </w:r>
      <w:r>
        <w:rPr>
          <w:rFonts w:ascii="MS PGothic" w:cs="MS PGothic" w:eastAsia="MS PGothic" w:hAnsi="MS PGothic"/>
          <w:sz w:val="13"/>
          <w:szCs w:val="13"/>
          <w:color w:val="auto"/>
        </w:rPr>
        <w:t>☐</w:t>
      </w:r>
      <w:r>
        <w:rPr>
          <w:rFonts w:ascii="Times New Roman" w:cs="Times New Roman" w:eastAsia="Times New Roman" w:hAnsi="Times New Roman"/>
          <w:sz w:val="13"/>
          <w:szCs w:val="13"/>
          <w:color w:val="auto"/>
        </w:rPr>
        <w:tab/>
        <w:t xml:space="preserve">No </w:t>
      </w:r>
      <w:r>
        <w:rPr>
          <w:rFonts w:ascii="MS PGothic" w:cs="MS PGothic" w:eastAsia="MS PGothic" w:hAnsi="MS PGothic"/>
          <w:sz w:val="13"/>
          <w:szCs w:val="13"/>
          <w:color w:val="auto"/>
        </w:rPr>
        <w:t>☒</w:t>
      </w:r>
    </w:p>
    <w:p>
      <w:pPr>
        <w:spacing w:after="0" w:line="125" w:lineRule="exact"/>
        <w:rPr>
          <w:sz w:val="24"/>
          <w:szCs w:val="24"/>
          <w:color w:val="auto"/>
        </w:rPr>
      </w:pPr>
    </w:p>
    <w:p>
      <w:pPr>
        <w:spacing w:after="0" w:line="278" w:lineRule="auto"/>
        <w:rPr>
          <w:sz w:val="20"/>
          <w:szCs w:val="20"/>
          <w:color w:val="auto"/>
        </w:rPr>
      </w:pPr>
      <w:r>
        <w:rPr>
          <w:rFonts w:ascii="Times New Roman" w:cs="Times New Roman" w:eastAsia="Times New Roman" w:hAnsi="Times New Roman"/>
          <w:sz w:val="13"/>
          <w:szCs w:val="13"/>
          <w:color w:val="auto"/>
        </w:rPr>
        <w:t>The aggregate market value of the voting and non-voting common equity held by non-affiliates of the registrant (based on the last reported sale price of the registrant’s class A common stock on June 28, 2024 on the Nasdaq Global Select Market) was approximately $23.499 billion.</w:t>
      </w:r>
    </w:p>
    <w:p>
      <w:pPr>
        <w:spacing w:after="0" w:line="86" w:lineRule="exact"/>
        <w:rPr>
          <w:sz w:val="24"/>
          <w:szCs w:val="24"/>
          <w:color w:val="auto"/>
        </w:rPr>
      </w:pPr>
    </w:p>
    <w:p>
      <w:pPr>
        <w:spacing w:after="0"/>
        <w:rPr>
          <w:sz w:val="20"/>
          <w:szCs w:val="20"/>
          <w:color w:val="auto"/>
        </w:rPr>
      </w:pPr>
      <w:r>
        <w:rPr>
          <w:rFonts w:ascii="Times New Roman" w:cs="Times New Roman" w:eastAsia="Times New Roman" w:hAnsi="Times New Roman"/>
          <w:sz w:val="13"/>
          <w:szCs w:val="13"/>
          <w:color w:val="auto"/>
        </w:rPr>
        <w:t>As of February 4, 2025, the registrant had 237,711,607 and 19,640,250 shares of class A common stock and class B common stock outstanding, respectively.</w:t>
      </w:r>
    </w:p>
    <w:p>
      <w:pPr>
        <w:spacing w:after="0" w:line="107" w:lineRule="exact"/>
        <w:rPr>
          <w:sz w:val="24"/>
          <w:szCs w:val="24"/>
          <w:color w:val="auto"/>
        </w:rPr>
      </w:pPr>
    </w:p>
    <w:p>
      <w:pPr>
        <w:spacing w:after="0" w:line="278" w:lineRule="auto"/>
        <w:rPr>
          <w:sz w:val="20"/>
          <w:szCs w:val="20"/>
          <w:color w:val="auto"/>
        </w:rPr>
      </w:pPr>
      <w:r>
        <w:rPr>
          <w:rFonts w:ascii="Times New Roman" w:cs="Times New Roman" w:eastAsia="Times New Roman" w:hAnsi="Times New Roman"/>
          <w:sz w:val="13"/>
          <w:szCs w:val="13"/>
          <w:color w:val="auto"/>
        </w:rPr>
        <w:t>Documents incorporated by reference: Portions of the definitive proxy statement for the 2025 Annual Meeting of Stockholders of the Registrant to be filed subsequently with the SEC are incorporated by reference into Part III of this Annual Report on Form 10-K to the extent indicated herein.</w:t>
      </w:r>
    </w:p>
    <w:p>
      <w:pPr>
        <w:spacing w:after="0" w:line="194" w:lineRule="exact"/>
        <w:rPr>
          <w:sz w:val="24"/>
          <w:szCs w:val="24"/>
          <w:color w:val="auto"/>
        </w:rPr>
      </w:pPr>
    </w:p>
    <w:p>
      <w:pPr>
        <w:ind w:left="100"/>
        <w:spacing w:after="0"/>
        <w:tabs>
          <w:tab w:leader="none" w:pos="1480" w:val="left"/>
          <w:tab w:leader="none" w:pos="3360" w:val="left"/>
          <w:tab w:leader="none" w:pos="4720" w:val="left"/>
          <w:tab w:leader="none" w:pos="6980" w:val="left"/>
          <w:tab w:leader="none" w:pos="8460" w:val="left"/>
        </w:tabs>
        <w:rPr>
          <w:sz w:val="20"/>
          <w:szCs w:val="20"/>
          <w:color w:val="auto"/>
        </w:rPr>
      </w:pPr>
      <w:r>
        <w:rPr>
          <w:rFonts w:ascii="Times New Roman" w:cs="Times New Roman" w:eastAsia="Times New Roman" w:hAnsi="Times New Roman"/>
          <w:sz w:val="13"/>
          <w:szCs w:val="13"/>
          <w:color w:val="auto"/>
        </w:rPr>
        <w:t>Auditor Firm Id:</w:t>
      </w:r>
      <w:r>
        <w:rPr>
          <w:sz w:val="20"/>
          <w:szCs w:val="20"/>
          <w:color w:val="auto"/>
        </w:rPr>
        <w:tab/>
      </w:r>
      <w:r>
        <w:rPr>
          <w:rFonts w:ascii="Times New Roman" w:cs="Times New Roman" w:eastAsia="Times New Roman" w:hAnsi="Times New Roman"/>
          <w:sz w:val="13"/>
          <w:szCs w:val="13"/>
          <w:color w:val="auto"/>
        </w:rPr>
        <w:t>185</w:t>
      </w:r>
      <w:r>
        <w:rPr>
          <w:sz w:val="20"/>
          <w:szCs w:val="20"/>
          <w:color w:val="auto"/>
        </w:rPr>
        <w:tab/>
      </w:r>
      <w:r>
        <w:rPr>
          <w:rFonts w:ascii="Times New Roman" w:cs="Times New Roman" w:eastAsia="Times New Roman" w:hAnsi="Times New Roman"/>
          <w:sz w:val="13"/>
          <w:szCs w:val="13"/>
          <w:color w:val="auto"/>
        </w:rPr>
        <w:t>Auditor Name:</w:t>
      </w:r>
      <w:r>
        <w:rPr>
          <w:sz w:val="20"/>
          <w:szCs w:val="20"/>
          <w:color w:val="auto"/>
        </w:rPr>
        <w:tab/>
      </w:r>
      <w:r>
        <w:rPr>
          <w:rFonts w:ascii="Times New Roman" w:cs="Times New Roman" w:eastAsia="Times New Roman" w:hAnsi="Times New Roman"/>
          <w:sz w:val="13"/>
          <w:szCs w:val="13"/>
          <w:color w:val="auto"/>
        </w:rPr>
        <w:t>KPMG LLP</w:t>
      </w:r>
      <w:r>
        <w:rPr>
          <w:sz w:val="20"/>
          <w:szCs w:val="20"/>
          <w:color w:val="auto"/>
        </w:rPr>
        <w:tab/>
      </w:r>
      <w:r>
        <w:rPr>
          <w:rFonts w:ascii="Times New Roman" w:cs="Times New Roman" w:eastAsia="Times New Roman" w:hAnsi="Times New Roman"/>
          <w:sz w:val="13"/>
          <w:szCs w:val="13"/>
          <w:color w:val="auto"/>
        </w:rPr>
        <w:t>Auditor Location:</w:t>
      </w:r>
      <w:r>
        <w:rPr>
          <w:sz w:val="20"/>
          <w:szCs w:val="20"/>
          <w:color w:val="auto"/>
        </w:rPr>
        <w:tab/>
      </w:r>
      <w:r>
        <w:rPr>
          <w:rFonts w:ascii="Times New Roman" w:cs="Times New Roman" w:eastAsia="Times New Roman" w:hAnsi="Times New Roman"/>
          <w:sz w:val="13"/>
          <w:szCs w:val="13"/>
          <w:color w:val="auto"/>
        </w:rPr>
        <w:t>McLean, Virginia</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5080</wp:posOffset>
            </wp:positionH>
            <wp:positionV relativeFrom="paragraph">
              <wp:posOffset>153035</wp:posOffset>
            </wp:positionV>
            <wp:extent cx="7132320" cy="1714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7132320" cy="171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774700</wp:posOffset>
            </wp:positionV>
            <wp:extent cx="7157720" cy="4254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42" w:right="339" w:bottom="1440" w:gutter="0" w:footer="0" w:header="0"/>
        </w:sectPr>
      </w:pPr>
    </w:p>
    <w:bookmarkStart w:id="1" w:name="page2"/>
    <w:bookmarkEnd w:id="1"/>
    <w:tbl>
      <w:tblPr>
        <w:tblLayout w:type="fixed"/>
        <w:tblInd w:w="0" w:type="dxa"/>
        <w:tblCellMar>
          <w:top w:w="0" w:type="dxa"/>
          <w:left w:w="0" w:type="dxa"/>
          <w:bottom w:w="0" w:type="dxa"/>
          <w:right w:w="0" w:type="dxa"/>
        </w:tblCellMar>
      </w:tblPr>
      <w:tr>
        <w:trPr>
          <w:trHeight w:val="238"/>
        </w:trPr>
        <w:tc>
          <w:tcPr>
            <w:tcW w:w="20" w:type="dxa"/>
            <w:vAlign w:val="bottom"/>
          </w:tcPr>
          <w:p>
            <w:pPr>
              <w:spacing w:after="0"/>
              <w:rPr>
                <w:sz w:val="20"/>
                <w:szCs w:val="20"/>
                <w:color w:val="auto"/>
              </w:rPr>
            </w:pPr>
          </w:p>
        </w:tc>
        <w:tc>
          <w:tcPr>
            <w:tcW w:w="600" w:type="dxa"/>
            <w:vAlign w:val="bottom"/>
          </w:tcPr>
          <w:p>
            <w:pPr>
              <w:spacing w:after="0"/>
              <w:rPr>
                <w:sz w:val="20"/>
                <w:szCs w:val="20"/>
                <w:color w:val="auto"/>
              </w:rPr>
            </w:pPr>
          </w:p>
        </w:tc>
        <w:tc>
          <w:tcPr>
            <w:tcW w:w="80" w:type="dxa"/>
            <w:vAlign w:val="bottom"/>
          </w:tcPr>
          <w:p>
            <w:pPr>
              <w:spacing w:after="0"/>
              <w:rPr>
                <w:sz w:val="20"/>
                <w:szCs w:val="20"/>
                <w:color w:val="auto"/>
              </w:rPr>
            </w:pPr>
          </w:p>
        </w:tc>
        <w:tc>
          <w:tcPr>
            <w:tcW w:w="6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400" w:type="dxa"/>
            <w:vAlign w:val="bottom"/>
          </w:tcPr>
          <w:p>
            <w:pPr>
              <w:spacing w:after="0"/>
              <w:rPr>
                <w:sz w:val="20"/>
                <w:szCs w:val="20"/>
                <w:color w:val="auto"/>
              </w:rPr>
            </w:pPr>
          </w:p>
        </w:tc>
        <w:tc>
          <w:tcPr>
            <w:tcW w:w="640" w:type="dxa"/>
            <w:vAlign w:val="bottom"/>
          </w:tcPr>
          <w:p>
            <w:pPr>
              <w:spacing w:after="0"/>
              <w:rPr>
                <w:sz w:val="20"/>
                <w:szCs w:val="20"/>
                <w:color w:val="auto"/>
              </w:rPr>
            </w:pPr>
          </w:p>
        </w:tc>
        <w:tc>
          <w:tcPr>
            <w:tcW w:w="80" w:type="dxa"/>
            <w:vAlign w:val="bottom"/>
          </w:tcPr>
          <w:p>
            <w:pPr>
              <w:spacing w:after="0"/>
              <w:rPr>
                <w:sz w:val="20"/>
                <w:szCs w:val="20"/>
                <w:color w:val="auto"/>
              </w:rPr>
            </w:pPr>
          </w:p>
        </w:tc>
        <w:tc>
          <w:tcPr>
            <w:tcW w:w="6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6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820" w:type="dxa"/>
            <w:vAlign w:val="bottom"/>
          </w:tcPr>
          <w:p>
            <w:pPr>
              <w:spacing w:after="0"/>
              <w:rPr>
                <w:sz w:val="20"/>
                <w:szCs w:val="20"/>
                <w:color w:val="auto"/>
              </w:rPr>
            </w:pPr>
          </w:p>
        </w:tc>
        <w:tc>
          <w:tcPr>
            <w:tcW w:w="6660" w:type="dxa"/>
            <w:vAlign w:val="bottom"/>
            <w:gridSpan w:val="11"/>
          </w:tcPr>
          <w:p>
            <w:pPr>
              <w:jc w:val="center"/>
              <w:ind w:right="3460"/>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tc>
        <w:tc>
          <w:tcPr>
            <w:tcW w:w="5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432"/>
        </w:trPr>
        <w:tc>
          <w:tcPr>
            <w:tcW w:w="2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400" w:type="dxa"/>
            <w:vAlign w:val="bottom"/>
          </w:tcPr>
          <w:p>
            <w:pPr>
              <w:spacing w:after="0"/>
              <w:rPr>
                <w:sz w:val="24"/>
                <w:szCs w:val="24"/>
                <w:color w:val="auto"/>
              </w:rPr>
            </w:pPr>
          </w:p>
        </w:tc>
        <w:tc>
          <w:tcPr>
            <w:tcW w:w="64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32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440" w:type="dxa"/>
            <w:vAlign w:val="bottom"/>
          </w:tcPr>
          <w:p>
            <w:pPr>
              <w:spacing w:after="0"/>
              <w:rPr>
                <w:sz w:val="24"/>
                <w:szCs w:val="24"/>
                <w:color w:val="auto"/>
              </w:rPr>
            </w:pPr>
          </w:p>
        </w:tc>
        <w:tc>
          <w:tcPr>
            <w:tcW w:w="6180" w:type="dxa"/>
            <w:vAlign w:val="bottom"/>
            <w:gridSpan w:val="9"/>
          </w:tcPr>
          <w:p>
            <w:pPr>
              <w:jc w:val="center"/>
              <w:ind w:right="3920"/>
              <w:spacing w:after="0"/>
              <w:rPr>
                <w:sz w:val="20"/>
                <w:szCs w:val="20"/>
                <w:color w:val="auto"/>
              </w:rPr>
            </w:pPr>
            <w:r>
              <w:rPr>
                <w:rFonts w:ascii="Times New Roman" w:cs="Times New Roman" w:eastAsia="Times New Roman" w:hAnsi="Times New Roman"/>
                <w:sz w:val="18"/>
                <w:szCs w:val="18"/>
                <w:b w:val="1"/>
                <w:bCs w:val="1"/>
                <w:color w:val="auto"/>
                <w:w w:val="99"/>
              </w:rPr>
              <w:t>TABLE OF CONTENTS</w:t>
            </w:r>
          </w:p>
        </w:tc>
        <w:tc>
          <w:tcPr>
            <w:tcW w:w="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418"/>
        </w:trPr>
        <w:tc>
          <w:tcPr>
            <w:tcW w:w="20" w:type="dxa"/>
            <w:vAlign w:val="bottom"/>
          </w:tcPr>
          <w:p>
            <w:pPr>
              <w:spacing w:after="0"/>
              <w:rPr>
                <w:sz w:val="24"/>
                <w:szCs w:val="24"/>
                <w:color w:val="auto"/>
              </w:rPr>
            </w:pPr>
          </w:p>
        </w:tc>
        <w:tc>
          <w:tcPr>
            <w:tcW w:w="1160" w:type="dxa"/>
            <w:vAlign w:val="bottom"/>
            <w:gridSpan w:val="5"/>
            <w:vMerge w:val="restart"/>
          </w:tcPr>
          <w:p>
            <w:pPr>
              <w:spacing w:after="0"/>
              <w:rPr>
                <w:sz w:val="20"/>
                <w:szCs w:val="20"/>
                <w:color w:val="auto"/>
              </w:rPr>
            </w:pPr>
            <w:r>
              <w:rPr>
                <w:rFonts w:ascii="Times New Roman" w:cs="Times New Roman" w:eastAsia="Times New Roman" w:hAnsi="Times New Roman"/>
                <w:sz w:val="18"/>
                <w:szCs w:val="18"/>
                <w:b w:val="1"/>
                <w:bCs w:val="1"/>
                <w:color w:val="auto"/>
              </w:rPr>
              <w:t>PART I</w:t>
            </w:r>
          </w:p>
        </w:tc>
        <w:tc>
          <w:tcPr>
            <w:tcW w:w="64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32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44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10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1420" w:type="dxa"/>
            <w:vAlign w:val="bottom"/>
          </w:tcPr>
          <w:p>
            <w:pPr>
              <w:spacing w:after="0"/>
              <w:rPr>
                <w:sz w:val="24"/>
                <w:szCs w:val="24"/>
                <w:color w:val="auto"/>
              </w:rPr>
            </w:pPr>
          </w:p>
        </w:tc>
        <w:tc>
          <w:tcPr>
            <w:tcW w:w="560" w:type="dxa"/>
            <w:vAlign w:val="bottom"/>
            <w:tcBorders>
              <w:bottom w:val="single" w:sz="8" w:color="auto"/>
            </w:tcBorders>
          </w:tcPr>
          <w:p>
            <w:pPr>
              <w:jc w:val="right"/>
              <w:ind w:right="31"/>
              <w:spacing w:after="0"/>
              <w:rPr>
                <w:sz w:val="20"/>
                <w:szCs w:val="20"/>
                <w:color w:val="auto"/>
              </w:rPr>
            </w:pPr>
            <w:r>
              <w:rPr>
                <w:rFonts w:ascii="Times New Roman" w:cs="Times New Roman" w:eastAsia="Times New Roman" w:hAnsi="Times New Roman"/>
                <w:sz w:val="14"/>
                <w:szCs w:val="14"/>
                <w:b w:val="1"/>
                <w:bCs w:val="1"/>
                <w:color w:val="auto"/>
              </w:rPr>
              <w:t>Page</w:t>
            </w: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1160" w:type="dxa"/>
            <w:vAlign w:val="bottom"/>
            <w:gridSpan w:val="5"/>
            <w:vMerge w:val="continue"/>
          </w:tcPr>
          <w:p>
            <w:pPr>
              <w:spacing w:after="0"/>
              <w:rPr>
                <w:sz w:val="14"/>
                <w:szCs w:val="14"/>
                <w:color w:val="auto"/>
              </w:rPr>
            </w:pPr>
          </w:p>
        </w:tc>
        <w:tc>
          <w:tcPr>
            <w:tcW w:w="64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32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82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10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820" w:type="dxa"/>
            <w:vAlign w:val="bottom"/>
          </w:tcPr>
          <w:p>
            <w:pPr>
              <w:spacing w:after="0"/>
              <w:rPr>
                <w:sz w:val="14"/>
                <w:szCs w:val="14"/>
                <w:color w:val="auto"/>
              </w:rPr>
            </w:pPr>
          </w:p>
        </w:tc>
        <w:tc>
          <w:tcPr>
            <w:tcW w:w="142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318"/>
        </w:trPr>
        <w:tc>
          <w:tcPr>
            <w:tcW w:w="20" w:type="dxa"/>
            <w:vAlign w:val="bottom"/>
          </w:tcPr>
          <w:p>
            <w:pPr>
              <w:spacing w:after="0"/>
              <w:rPr>
                <w:sz w:val="24"/>
                <w:szCs w:val="24"/>
                <w:color w:val="auto"/>
              </w:rPr>
            </w:pPr>
          </w:p>
        </w:tc>
        <w:tc>
          <w:tcPr>
            <w:tcW w:w="600" w:type="dxa"/>
            <w:vAlign w:val="bottom"/>
            <w:tcBorders>
              <w:top w:val="single" w:sz="8" w:color="0000EE"/>
            </w:tcBorders>
          </w:tcPr>
          <w:p>
            <w:pPr>
              <w:spacing w:after="0"/>
              <w:rPr>
                <w:sz w:val="20"/>
                <w:szCs w:val="20"/>
                <w:color w:val="auto"/>
              </w:rPr>
            </w:pPr>
            <w:r>
              <w:rPr>
                <w:rFonts w:ascii="Times New Roman" w:cs="Times New Roman" w:eastAsia="Times New Roman" w:hAnsi="Times New Roman"/>
                <w:sz w:val="18"/>
                <w:szCs w:val="18"/>
                <w:color w:val="auto"/>
              </w:rPr>
              <w:t>Item 1.</w:t>
            </w:r>
          </w:p>
        </w:tc>
        <w:tc>
          <w:tcPr>
            <w:tcW w:w="560" w:type="dxa"/>
            <w:vAlign w:val="bottom"/>
            <w:gridSpan w:val="4"/>
          </w:tcPr>
          <w:p>
            <w:pPr>
              <w:spacing w:after="0"/>
              <w:rPr>
                <w:sz w:val="24"/>
                <w:szCs w:val="24"/>
                <w:color w:val="auto"/>
              </w:rPr>
            </w:pP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Business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680" w:type="dxa"/>
            <w:vAlign w:val="bottom"/>
            <w:gridSpan w:val="2"/>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640" w:type="dxa"/>
            <w:vAlign w:val="bottom"/>
            <w:tcBorders>
              <w:right w:val="single" w:sz="8" w:color="0000EE"/>
            </w:tcBorders>
            <w:shd w:val="clear" w:color="auto" w:fill="0000FF"/>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58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00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142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1A.</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Risk Factors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680" w:type="dxa"/>
            <w:vAlign w:val="bottom"/>
            <w:gridSpan w:val="2"/>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720" w:type="dxa"/>
            <w:vAlign w:val="bottom"/>
            <w:tcBorders>
              <w:right w:val="single" w:sz="8" w:color="0000FF"/>
            </w:tcBorders>
            <w:gridSpan w:val="2"/>
            <w:shd w:val="clear" w:color="auto" w:fill="0000FF"/>
          </w:tcPr>
          <w:p>
            <w:pPr>
              <w:spacing w:after="0" w:line="20" w:lineRule="exact"/>
              <w:rPr>
                <w:sz w:val="1"/>
                <w:szCs w:val="1"/>
                <w:color w:val="auto"/>
              </w:rPr>
            </w:pPr>
          </w:p>
        </w:tc>
        <w:tc>
          <w:tcPr>
            <w:tcW w:w="60" w:type="dxa"/>
            <w:vAlign w:val="bottom"/>
            <w:tcBorders>
              <w:right w:val="single" w:sz="8" w:color="0000FF"/>
            </w:tcBorders>
            <w:shd w:val="clear" w:color="auto" w:fill="0000FF"/>
          </w:tcPr>
          <w:p>
            <w:pPr>
              <w:spacing w:after="0" w:line="20" w:lineRule="exact"/>
              <w:rPr>
                <w:sz w:val="1"/>
                <w:szCs w:val="1"/>
                <w:color w:val="auto"/>
              </w:rPr>
            </w:pPr>
          </w:p>
        </w:tc>
        <w:tc>
          <w:tcPr>
            <w:tcW w:w="120" w:type="dxa"/>
            <w:vAlign w:val="bottom"/>
            <w:tcBorders>
              <w:right w:val="single" w:sz="8" w:color="0000EE"/>
            </w:tcBorders>
            <w:shd w:val="clear" w:color="auto" w:fill="0000FF"/>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58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00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142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7"/>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1B.</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Unresolved Staff Comments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43</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680" w:type="dxa"/>
            <w:vAlign w:val="bottom"/>
            <w:gridSpan w:val="2"/>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720" w:type="dxa"/>
            <w:vAlign w:val="bottom"/>
            <w:tcBorders>
              <w:right w:val="single" w:sz="8" w:color="0000FF"/>
            </w:tcBorders>
            <w:gridSpan w:val="2"/>
            <w:shd w:val="clear" w:color="auto" w:fill="0000FF"/>
          </w:tcPr>
          <w:p>
            <w:pPr>
              <w:spacing w:after="0" w:line="20" w:lineRule="exact"/>
              <w:rPr>
                <w:sz w:val="1"/>
                <w:szCs w:val="1"/>
                <w:color w:val="auto"/>
              </w:rPr>
            </w:pPr>
          </w:p>
        </w:tc>
        <w:tc>
          <w:tcPr>
            <w:tcW w:w="60" w:type="dxa"/>
            <w:vAlign w:val="bottom"/>
            <w:tcBorders>
              <w:right w:val="single" w:sz="8" w:color="0000FF"/>
            </w:tcBorders>
            <w:shd w:val="clear" w:color="auto" w:fill="0000FF"/>
          </w:tcPr>
          <w:p>
            <w:pPr>
              <w:spacing w:after="0" w:line="20" w:lineRule="exact"/>
              <w:rPr>
                <w:sz w:val="1"/>
                <w:szCs w:val="1"/>
                <w:color w:val="auto"/>
              </w:rPr>
            </w:pPr>
          </w:p>
        </w:tc>
        <w:tc>
          <w:tcPr>
            <w:tcW w:w="200" w:type="dxa"/>
            <w:vAlign w:val="bottom"/>
            <w:gridSpan w:val="2"/>
            <w:shd w:val="clear" w:color="auto" w:fill="0000FF"/>
          </w:tcPr>
          <w:p>
            <w:pPr>
              <w:spacing w:after="0" w:line="20" w:lineRule="exact"/>
              <w:rPr>
                <w:sz w:val="1"/>
                <w:szCs w:val="1"/>
                <w:color w:val="auto"/>
              </w:rPr>
            </w:pPr>
          </w:p>
        </w:tc>
        <w:tc>
          <w:tcPr>
            <w:tcW w:w="320" w:type="dxa"/>
            <w:vAlign w:val="bottom"/>
            <w:tcBorders>
              <w:right w:val="single" w:sz="8" w:color="0000FF"/>
            </w:tcBorders>
            <w:shd w:val="clear" w:color="auto" w:fill="0000FF"/>
          </w:tcPr>
          <w:p>
            <w:pPr>
              <w:spacing w:after="0" w:line="20" w:lineRule="exact"/>
              <w:rPr>
                <w:sz w:val="1"/>
                <w:szCs w:val="1"/>
                <w:color w:val="auto"/>
              </w:rPr>
            </w:pPr>
          </w:p>
        </w:tc>
        <w:tc>
          <w:tcPr>
            <w:tcW w:w="220" w:type="dxa"/>
            <w:vAlign w:val="bottom"/>
            <w:tcBorders>
              <w:left w:val="single" w:sz="8" w:color="0000FF"/>
            </w:tcBorders>
            <w:shd w:val="clear" w:color="auto" w:fill="0000FF"/>
          </w:tcPr>
          <w:p>
            <w:pPr>
              <w:spacing w:after="0" w:line="20" w:lineRule="exact"/>
              <w:rPr>
                <w:sz w:val="1"/>
                <w:szCs w:val="1"/>
                <w:color w:val="auto"/>
              </w:rPr>
            </w:pPr>
          </w:p>
        </w:tc>
        <w:tc>
          <w:tcPr>
            <w:tcW w:w="220" w:type="dxa"/>
            <w:vAlign w:val="bottom"/>
            <w:shd w:val="clear" w:color="auto" w:fill="0000FF"/>
          </w:tcPr>
          <w:p>
            <w:pPr>
              <w:spacing w:after="0" w:line="20" w:lineRule="exact"/>
              <w:rPr>
                <w:sz w:val="1"/>
                <w:szCs w:val="1"/>
                <w:color w:val="auto"/>
              </w:rPr>
            </w:pPr>
          </w:p>
        </w:tc>
        <w:tc>
          <w:tcPr>
            <w:tcW w:w="60" w:type="dxa"/>
            <w:vAlign w:val="bottom"/>
            <w:tcBorders>
              <w:right w:val="single" w:sz="8" w:color="0000FF"/>
            </w:tcBorders>
            <w:shd w:val="clear" w:color="auto" w:fill="0000FF"/>
          </w:tcPr>
          <w:p>
            <w:pPr>
              <w:spacing w:after="0" w:line="20" w:lineRule="exact"/>
              <w:rPr>
                <w:sz w:val="1"/>
                <w:szCs w:val="1"/>
                <w:color w:val="auto"/>
              </w:rPr>
            </w:pPr>
          </w:p>
        </w:tc>
        <w:tc>
          <w:tcPr>
            <w:tcW w:w="220" w:type="dxa"/>
            <w:vAlign w:val="bottom"/>
            <w:shd w:val="clear" w:color="auto" w:fill="0000FF"/>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58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00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142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1C.</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Cybersecurity</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43</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680" w:type="dxa"/>
            <w:vAlign w:val="bottom"/>
            <w:gridSpan w:val="2"/>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720" w:type="dxa"/>
            <w:vAlign w:val="bottom"/>
            <w:tcBorders>
              <w:right w:val="single" w:sz="8" w:color="0000FF"/>
            </w:tcBorders>
            <w:gridSpan w:val="2"/>
            <w:shd w:val="clear" w:color="auto" w:fill="0000FF"/>
          </w:tcPr>
          <w:p>
            <w:pPr>
              <w:spacing w:after="0" w:line="20" w:lineRule="exact"/>
              <w:rPr>
                <w:sz w:val="1"/>
                <w:szCs w:val="1"/>
                <w:color w:val="auto"/>
              </w:rPr>
            </w:pPr>
          </w:p>
        </w:tc>
        <w:tc>
          <w:tcPr>
            <w:tcW w:w="60" w:type="dxa"/>
            <w:vAlign w:val="bottom"/>
            <w:tcBorders>
              <w:right w:val="single" w:sz="8" w:color="0000FF"/>
            </w:tcBorders>
            <w:shd w:val="clear" w:color="auto" w:fill="0000FF"/>
          </w:tcPr>
          <w:p>
            <w:pPr>
              <w:spacing w:after="0" w:line="20" w:lineRule="exact"/>
              <w:rPr>
                <w:sz w:val="1"/>
                <w:szCs w:val="1"/>
                <w:color w:val="auto"/>
              </w:rPr>
            </w:pPr>
          </w:p>
        </w:tc>
        <w:tc>
          <w:tcPr>
            <w:tcW w:w="200" w:type="dxa"/>
            <w:vAlign w:val="bottom"/>
            <w:gridSpan w:val="2"/>
            <w:shd w:val="clear" w:color="auto" w:fill="0000FF"/>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04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58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00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142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2.</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Properties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680" w:type="dxa"/>
            <w:vAlign w:val="bottom"/>
            <w:gridSpan w:val="2"/>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720" w:type="dxa"/>
            <w:vAlign w:val="bottom"/>
            <w:tcBorders>
              <w:right w:val="single" w:sz="8" w:color="0000EE"/>
            </w:tcBorders>
            <w:gridSpan w:val="2"/>
            <w:shd w:val="clear" w:color="auto" w:fill="0000FF"/>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520" w:type="dxa"/>
            <w:vAlign w:val="bottom"/>
            <w:gridSpan w:val="3"/>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04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58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00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142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3.</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Legal Proceedings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680" w:type="dxa"/>
            <w:vAlign w:val="bottom"/>
            <w:gridSpan w:val="2"/>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780" w:type="dxa"/>
            <w:vAlign w:val="bottom"/>
            <w:tcBorders>
              <w:right w:val="single" w:sz="8" w:color="0000FF"/>
            </w:tcBorders>
            <w:gridSpan w:val="3"/>
            <w:shd w:val="clear" w:color="auto" w:fill="0000FF"/>
          </w:tcPr>
          <w:p>
            <w:pPr>
              <w:spacing w:after="0" w:line="20" w:lineRule="exact"/>
              <w:rPr>
                <w:sz w:val="1"/>
                <w:szCs w:val="1"/>
                <w:color w:val="auto"/>
              </w:rPr>
            </w:pPr>
          </w:p>
        </w:tc>
        <w:tc>
          <w:tcPr>
            <w:tcW w:w="520" w:type="dxa"/>
            <w:vAlign w:val="bottom"/>
            <w:tcBorders>
              <w:right w:val="single" w:sz="8" w:color="0000FF"/>
            </w:tcBorders>
            <w:gridSpan w:val="3"/>
            <w:shd w:val="clear" w:color="auto" w:fill="0000FF"/>
          </w:tcPr>
          <w:p>
            <w:pPr>
              <w:spacing w:after="0" w:line="20" w:lineRule="exact"/>
              <w:rPr>
                <w:sz w:val="1"/>
                <w:szCs w:val="1"/>
                <w:color w:val="auto"/>
              </w:rPr>
            </w:pPr>
          </w:p>
        </w:tc>
        <w:tc>
          <w:tcPr>
            <w:tcW w:w="220" w:type="dxa"/>
            <w:vAlign w:val="bottom"/>
            <w:tcBorders>
              <w:left w:val="single" w:sz="8" w:color="0000FF"/>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04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58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00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142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4.</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Mine Safety Disclosures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w:t>
            </w:r>
          </w:p>
        </w:tc>
        <w:tc>
          <w:tcPr>
            <w:tcW w:w="0" w:type="dxa"/>
            <w:vAlign w:val="bottom"/>
          </w:tcPr>
          <w:p>
            <w:pPr>
              <w:spacing w:after="0"/>
              <w:rPr>
                <w:sz w:val="1"/>
                <w:szCs w:val="1"/>
                <w:color w:val="auto"/>
              </w:rPr>
            </w:pPr>
          </w:p>
        </w:tc>
      </w:tr>
      <w:tr>
        <w:trPr>
          <w:trHeight w:val="439"/>
        </w:trPr>
        <w:tc>
          <w:tcPr>
            <w:tcW w:w="20" w:type="dxa"/>
            <w:vAlign w:val="bottom"/>
          </w:tcPr>
          <w:p>
            <w:pPr>
              <w:spacing w:after="0"/>
              <w:rPr>
                <w:sz w:val="24"/>
                <w:szCs w:val="24"/>
                <w:color w:val="auto"/>
              </w:rPr>
            </w:pPr>
          </w:p>
        </w:tc>
        <w:tc>
          <w:tcPr>
            <w:tcW w:w="680" w:type="dxa"/>
            <w:vAlign w:val="bottom"/>
            <w:tcBorders>
              <w:bottom w:val="single" w:sz="8" w:color="0000EE"/>
            </w:tcBorders>
            <w:gridSpan w:val="2"/>
          </w:tcPr>
          <w:p>
            <w:pPr>
              <w:spacing w:after="0"/>
              <w:rPr>
                <w:sz w:val="20"/>
                <w:szCs w:val="20"/>
                <w:color w:val="auto"/>
              </w:rPr>
            </w:pPr>
            <w:r>
              <w:rPr>
                <w:rFonts w:ascii="Times New Roman" w:cs="Times New Roman" w:eastAsia="Times New Roman" w:hAnsi="Times New Roman"/>
                <w:sz w:val="18"/>
                <w:szCs w:val="18"/>
                <w:b w:val="1"/>
                <w:bCs w:val="1"/>
                <w:color w:val="auto"/>
                <w:w w:val="97"/>
              </w:rPr>
              <w:t>PART II</w:t>
            </w:r>
          </w:p>
        </w:tc>
        <w:tc>
          <w:tcPr>
            <w:tcW w:w="480" w:type="dxa"/>
            <w:vAlign w:val="bottom"/>
            <w:gridSpan w:val="3"/>
          </w:tcPr>
          <w:p>
            <w:pPr>
              <w:spacing w:after="0"/>
              <w:rPr>
                <w:sz w:val="24"/>
                <w:szCs w:val="24"/>
                <w:color w:val="auto"/>
              </w:rPr>
            </w:pPr>
          </w:p>
        </w:tc>
        <w:tc>
          <w:tcPr>
            <w:tcW w:w="640" w:type="dxa"/>
            <w:vAlign w:val="bottom"/>
            <w:tcBorders>
              <w:top w:val="single" w:sz="8" w:color="0000FF"/>
            </w:tcBorders>
          </w:tcPr>
          <w:p>
            <w:pPr>
              <w:spacing w:after="0"/>
              <w:rPr>
                <w:sz w:val="24"/>
                <w:szCs w:val="24"/>
                <w:color w:val="auto"/>
              </w:rPr>
            </w:pPr>
          </w:p>
        </w:tc>
        <w:tc>
          <w:tcPr>
            <w:tcW w:w="80" w:type="dxa"/>
            <w:vAlign w:val="bottom"/>
            <w:tcBorders>
              <w:top w:val="single" w:sz="8" w:color="0000FF"/>
            </w:tcBorders>
          </w:tcPr>
          <w:p>
            <w:pPr>
              <w:spacing w:after="0"/>
              <w:rPr>
                <w:sz w:val="24"/>
                <w:szCs w:val="24"/>
                <w:color w:val="auto"/>
              </w:rPr>
            </w:pPr>
          </w:p>
        </w:tc>
        <w:tc>
          <w:tcPr>
            <w:tcW w:w="60" w:type="dxa"/>
            <w:vAlign w:val="bottom"/>
            <w:tcBorders>
              <w:top w:val="single" w:sz="8" w:color="0000FF"/>
            </w:tcBorders>
          </w:tcPr>
          <w:p>
            <w:pPr>
              <w:spacing w:after="0"/>
              <w:rPr>
                <w:sz w:val="24"/>
                <w:szCs w:val="24"/>
                <w:color w:val="auto"/>
              </w:rPr>
            </w:pPr>
          </w:p>
        </w:tc>
        <w:tc>
          <w:tcPr>
            <w:tcW w:w="120" w:type="dxa"/>
            <w:vAlign w:val="bottom"/>
            <w:tcBorders>
              <w:top w:val="single" w:sz="8" w:color="0000FF"/>
            </w:tcBorders>
          </w:tcPr>
          <w:p>
            <w:pPr>
              <w:spacing w:after="0"/>
              <w:rPr>
                <w:sz w:val="24"/>
                <w:szCs w:val="24"/>
                <w:color w:val="auto"/>
              </w:rPr>
            </w:pPr>
          </w:p>
        </w:tc>
        <w:tc>
          <w:tcPr>
            <w:tcW w:w="80" w:type="dxa"/>
            <w:vAlign w:val="bottom"/>
            <w:tcBorders>
              <w:top w:val="single" w:sz="8" w:color="0000FF"/>
            </w:tcBorders>
          </w:tcPr>
          <w:p>
            <w:pPr>
              <w:spacing w:after="0"/>
              <w:rPr>
                <w:sz w:val="24"/>
                <w:szCs w:val="24"/>
                <w:color w:val="auto"/>
              </w:rPr>
            </w:pPr>
          </w:p>
        </w:tc>
        <w:tc>
          <w:tcPr>
            <w:tcW w:w="320" w:type="dxa"/>
            <w:vAlign w:val="bottom"/>
            <w:tcBorders>
              <w:top w:val="single" w:sz="8" w:color="0000FF"/>
            </w:tcBorders>
          </w:tcPr>
          <w:p>
            <w:pPr>
              <w:spacing w:after="0"/>
              <w:rPr>
                <w:sz w:val="24"/>
                <w:szCs w:val="24"/>
                <w:color w:val="auto"/>
              </w:rPr>
            </w:pPr>
          </w:p>
        </w:tc>
        <w:tc>
          <w:tcPr>
            <w:tcW w:w="220" w:type="dxa"/>
            <w:vAlign w:val="bottom"/>
            <w:tcBorders>
              <w:top w:val="single" w:sz="8" w:color="0000FF"/>
            </w:tcBorders>
          </w:tcPr>
          <w:p>
            <w:pPr>
              <w:spacing w:after="0"/>
              <w:rPr>
                <w:sz w:val="24"/>
                <w:szCs w:val="24"/>
                <w:color w:val="auto"/>
              </w:rPr>
            </w:pPr>
          </w:p>
        </w:tc>
        <w:tc>
          <w:tcPr>
            <w:tcW w:w="220" w:type="dxa"/>
            <w:vAlign w:val="bottom"/>
            <w:tcBorders>
              <w:top w:val="single" w:sz="8" w:color="0000FF"/>
            </w:tcBorders>
          </w:tcPr>
          <w:p>
            <w:pPr>
              <w:spacing w:after="0"/>
              <w:rPr>
                <w:sz w:val="24"/>
                <w:szCs w:val="24"/>
                <w:color w:val="auto"/>
              </w:rPr>
            </w:pPr>
          </w:p>
        </w:tc>
        <w:tc>
          <w:tcPr>
            <w:tcW w:w="6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44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10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142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5.</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Market for Registrant’s Common Equity, Related Stockholder Matters and Issuer Purchases of Equity Securities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780" w:type="dxa"/>
            <w:vAlign w:val="bottom"/>
            <w:tcBorders>
              <w:right w:val="single" w:sz="8" w:color="0000FF"/>
            </w:tcBorders>
            <w:gridSpan w:val="3"/>
            <w:shd w:val="clear" w:color="auto" w:fill="0000FF"/>
          </w:tcPr>
          <w:p>
            <w:pPr>
              <w:spacing w:after="0" w:line="20" w:lineRule="exact"/>
              <w:rPr>
                <w:sz w:val="1"/>
                <w:szCs w:val="1"/>
                <w:color w:val="auto"/>
              </w:rPr>
            </w:pPr>
          </w:p>
        </w:tc>
        <w:tc>
          <w:tcPr>
            <w:tcW w:w="520" w:type="dxa"/>
            <w:vAlign w:val="bottom"/>
            <w:tcBorders>
              <w:right w:val="single" w:sz="8" w:color="0000FF"/>
            </w:tcBorders>
            <w:gridSpan w:val="3"/>
            <w:shd w:val="clear" w:color="auto" w:fill="0000FF"/>
          </w:tcPr>
          <w:p>
            <w:pPr>
              <w:spacing w:after="0" w:line="20" w:lineRule="exact"/>
              <w:rPr>
                <w:sz w:val="1"/>
                <w:szCs w:val="1"/>
                <w:color w:val="auto"/>
              </w:rPr>
            </w:pPr>
          </w:p>
        </w:tc>
        <w:tc>
          <w:tcPr>
            <w:tcW w:w="220" w:type="dxa"/>
            <w:vAlign w:val="bottom"/>
            <w:tcBorders>
              <w:left w:val="single" w:sz="8" w:color="0000FF"/>
            </w:tcBorders>
            <w:shd w:val="clear" w:color="auto" w:fill="0000FF"/>
          </w:tcPr>
          <w:p>
            <w:pPr>
              <w:spacing w:after="0" w:line="20" w:lineRule="exact"/>
              <w:rPr>
                <w:sz w:val="1"/>
                <w:szCs w:val="1"/>
                <w:color w:val="auto"/>
              </w:rPr>
            </w:pPr>
          </w:p>
        </w:tc>
        <w:tc>
          <w:tcPr>
            <w:tcW w:w="280" w:type="dxa"/>
            <w:vAlign w:val="bottom"/>
            <w:tcBorders>
              <w:right w:val="single" w:sz="8" w:color="0000FF"/>
            </w:tcBorders>
            <w:gridSpan w:val="2"/>
            <w:shd w:val="clear" w:color="auto" w:fill="0000FF"/>
          </w:tcPr>
          <w:p>
            <w:pPr>
              <w:spacing w:after="0" w:line="20" w:lineRule="exact"/>
              <w:rPr>
                <w:sz w:val="1"/>
                <w:szCs w:val="1"/>
                <w:color w:val="auto"/>
              </w:rPr>
            </w:pPr>
          </w:p>
        </w:tc>
        <w:tc>
          <w:tcPr>
            <w:tcW w:w="1040" w:type="dxa"/>
            <w:vAlign w:val="bottom"/>
            <w:gridSpan w:val="2"/>
            <w:shd w:val="clear" w:color="auto" w:fill="0000FF"/>
          </w:tcPr>
          <w:p>
            <w:pPr>
              <w:spacing w:after="0" w:line="20" w:lineRule="exact"/>
              <w:rPr>
                <w:sz w:val="1"/>
                <w:szCs w:val="1"/>
                <w:color w:val="auto"/>
              </w:rPr>
            </w:pPr>
          </w:p>
        </w:tc>
        <w:tc>
          <w:tcPr>
            <w:tcW w:w="40" w:type="dxa"/>
            <w:vAlign w:val="bottom"/>
            <w:shd w:val="clear" w:color="auto" w:fill="0000FF"/>
          </w:tcPr>
          <w:p>
            <w:pPr>
              <w:spacing w:after="0" w:line="20" w:lineRule="exact"/>
              <w:rPr>
                <w:sz w:val="1"/>
                <w:szCs w:val="1"/>
                <w:color w:val="auto"/>
              </w:rPr>
            </w:pPr>
          </w:p>
        </w:tc>
        <w:tc>
          <w:tcPr>
            <w:tcW w:w="440" w:type="dxa"/>
            <w:vAlign w:val="bottom"/>
            <w:tcBorders>
              <w:right w:val="single" w:sz="8" w:color="0000FF"/>
            </w:tcBorders>
            <w:shd w:val="clear" w:color="auto" w:fill="0000FF"/>
          </w:tcPr>
          <w:p>
            <w:pPr>
              <w:spacing w:after="0" w:line="20" w:lineRule="exact"/>
              <w:rPr>
                <w:sz w:val="1"/>
                <w:szCs w:val="1"/>
                <w:color w:val="auto"/>
              </w:rPr>
            </w:pPr>
          </w:p>
        </w:tc>
        <w:tc>
          <w:tcPr>
            <w:tcW w:w="760" w:type="dxa"/>
            <w:vAlign w:val="bottom"/>
            <w:shd w:val="clear" w:color="auto" w:fill="0000FF"/>
          </w:tcPr>
          <w:p>
            <w:pPr>
              <w:spacing w:after="0" w:line="20" w:lineRule="exact"/>
              <w:rPr>
                <w:sz w:val="1"/>
                <w:szCs w:val="1"/>
                <w:color w:val="auto"/>
              </w:rPr>
            </w:pPr>
          </w:p>
        </w:tc>
        <w:tc>
          <w:tcPr>
            <w:tcW w:w="260" w:type="dxa"/>
            <w:vAlign w:val="bottom"/>
            <w:shd w:val="clear" w:color="auto" w:fill="0000FF"/>
          </w:tcPr>
          <w:p>
            <w:pPr>
              <w:spacing w:after="0" w:line="20" w:lineRule="exact"/>
              <w:rPr>
                <w:sz w:val="1"/>
                <w:szCs w:val="1"/>
                <w:color w:val="auto"/>
              </w:rPr>
            </w:pPr>
          </w:p>
        </w:tc>
        <w:tc>
          <w:tcPr>
            <w:tcW w:w="580" w:type="dxa"/>
            <w:vAlign w:val="bottom"/>
            <w:shd w:val="clear" w:color="auto" w:fill="0000FF"/>
          </w:tcPr>
          <w:p>
            <w:pPr>
              <w:spacing w:after="0" w:line="20" w:lineRule="exact"/>
              <w:rPr>
                <w:sz w:val="1"/>
                <w:szCs w:val="1"/>
                <w:color w:val="auto"/>
              </w:rPr>
            </w:pPr>
          </w:p>
        </w:tc>
        <w:tc>
          <w:tcPr>
            <w:tcW w:w="520" w:type="dxa"/>
            <w:vAlign w:val="bottom"/>
            <w:shd w:val="clear" w:color="auto" w:fill="0000FF"/>
          </w:tcPr>
          <w:p>
            <w:pPr>
              <w:spacing w:after="0" w:line="20" w:lineRule="exact"/>
              <w:rPr>
                <w:sz w:val="1"/>
                <w:szCs w:val="1"/>
                <w:color w:val="auto"/>
              </w:rPr>
            </w:pPr>
          </w:p>
        </w:tc>
        <w:tc>
          <w:tcPr>
            <w:tcW w:w="100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800" w:type="dxa"/>
            <w:vAlign w:val="bottom"/>
            <w:shd w:val="clear" w:color="auto" w:fill="0000FF"/>
          </w:tcPr>
          <w:p>
            <w:pPr>
              <w:spacing w:after="0" w:line="20" w:lineRule="exact"/>
              <w:rPr>
                <w:sz w:val="1"/>
                <w:szCs w:val="1"/>
                <w:color w:val="auto"/>
              </w:rPr>
            </w:pPr>
          </w:p>
        </w:tc>
        <w:tc>
          <w:tcPr>
            <w:tcW w:w="820" w:type="dxa"/>
            <w:vAlign w:val="bottom"/>
            <w:shd w:val="clear" w:color="auto" w:fill="0000FF"/>
          </w:tcPr>
          <w:p>
            <w:pPr>
              <w:spacing w:after="0" w:line="20" w:lineRule="exact"/>
              <w:rPr>
                <w:sz w:val="1"/>
                <w:szCs w:val="1"/>
                <w:color w:val="auto"/>
              </w:rPr>
            </w:pPr>
          </w:p>
        </w:tc>
        <w:tc>
          <w:tcPr>
            <w:tcW w:w="142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6.</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[Reserved]</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780" w:type="dxa"/>
            <w:vAlign w:val="bottom"/>
            <w:tcBorders>
              <w:right w:val="single" w:sz="8" w:color="0000EE"/>
            </w:tcBorders>
            <w:gridSpan w:val="3"/>
            <w:shd w:val="clear" w:color="auto" w:fill="0000FF"/>
          </w:tcPr>
          <w:p>
            <w:pPr>
              <w:spacing w:after="0" w:line="20" w:lineRule="exact"/>
              <w:rPr>
                <w:sz w:val="1"/>
                <w:szCs w:val="1"/>
                <w:color w:val="auto"/>
              </w:rPr>
            </w:pPr>
          </w:p>
        </w:tc>
        <w:tc>
          <w:tcPr>
            <w:tcW w:w="520" w:type="dxa"/>
            <w:vAlign w:val="bottom"/>
            <w:gridSpan w:val="3"/>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80" w:type="dxa"/>
            <w:vAlign w:val="bottom"/>
            <w:gridSpan w:val="2"/>
          </w:tcPr>
          <w:p>
            <w:pPr>
              <w:spacing w:after="0" w:line="20" w:lineRule="exact"/>
              <w:rPr>
                <w:sz w:val="1"/>
                <w:szCs w:val="1"/>
                <w:color w:val="auto"/>
              </w:rPr>
            </w:pPr>
          </w:p>
        </w:tc>
        <w:tc>
          <w:tcPr>
            <w:tcW w:w="104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58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00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7.</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Management’s Discussion and Analysis of Financial Condition and Results of Operations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47</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1300" w:type="dxa"/>
            <w:vAlign w:val="bottom"/>
            <w:tcBorders>
              <w:right w:val="single" w:sz="8" w:color="0000FF"/>
            </w:tcBorders>
            <w:gridSpan w:val="6"/>
            <w:shd w:val="clear" w:color="auto" w:fill="0000FF"/>
          </w:tcPr>
          <w:p>
            <w:pPr>
              <w:spacing w:after="0" w:line="20" w:lineRule="exact"/>
              <w:rPr>
                <w:sz w:val="1"/>
                <w:szCs w:val="1"/>
                <w:color w:val="auto"/>
              </w:rPr>
            </w:pPr>
          </w:p>
        </w:tc>
        <w:tc>
          <w:tcPr>
            <w:tcW w:w="220" w:type="dxa"/>
            <w:vAlign w:val="bottom"/>
            <w:tcBorders>
              <w:left w:val="single" w:sz="8" w:color="0000FF"/>
            </w:tcBorders>
            <w:shd w:val="clear" w:color="auto" w:fill="0000FF"/>
          </w:tcPr>
          <w:p>
            <w:pPr>
              <w:spacing w:after="0" w:line="20" w:lineRule="exact"/>
              <w:rPr>
                <w:sz w:val="1"/>
                <w:szCs w:val="1"/>
                <w:color w:val="auto"/>
              </w:rPr>
            </w:pPr>
          </w:p>
        </w:tc>
        <w:tc>
          <w:tcPr>
            <w:tcW w:w="280" w:type="dxa"/>
            <w:vAlign w:val="bottom"/>
            <w:tcBorders>
              <w:right w:val="single" w:sz="8" w:color="0000FF"/>
            </w:tcBorders>
            <w:gridSpan w:val="2"/>
            <w:shd w:val="clear" w:color="auto" w:fill="0000FF"/>
          </w:tcPr>
          <w:p>
            <w:pPr>
              <w:spacing w:after="0" w:line="20" w:lineRule="exact"/>
              <w:rPr>
                <w:sz w:val="1"/>
                <w:szCs w:val="1"/>
                <w:color w:val="auto"/>
              </w:rPr>
            </w:pPr>
          </w:p>
        </w:tc>
        <w:tc>
          <w:tcPr>
            <w:tcW w:w="1040" w:type="dxa"/>
            <w:vAlign w:val="bottom"/>
            <w:gridSpan w:val="2"/>
            <w:shd w:val="clear" w:color="auto" w:fill="0000FF"/>
          </w:tcPr>
          <w:p>
            <w:pPr>
              <w:spacing w:after="0" w:line="20" w:lineRule="exact"/>
              <w:rPr>
                <w:sz w:val="1"/>
                <w:szCs w:val="1"/>
                <w:color w:val="auto"/>
              </w:rPr>
            </w:pPr>
          </w:p>
        </w:tc>
        <w:tc>
          <w:tcPr>
            <w:tcW w:w="40" w:type="dxa"/>
            <w:vAlign w:val="bottom"/>
            <w:shd w:val="clear" w:color="auto" w:fill="0000FF"/>
          </w:tcPr>
          <w:p>
            <w:pPr>
              <w:spacing w:after="0" w:line="20" w:lineRule="exact"/>
              <w:rPr>
                <w:sz w:val="1"/>
                <w:szCs w:val="1"/>
                <w:color w:val="auto"/>
              </w:rPr>
            </w:pPr>
          </w:p>
        </w:tc>
        <w:tc>
          <w:tcPr>
            <w:tcW w:w="440" w:type="dxa"/>
            <w:vAlign w:val="bottom"/>
            <w:tcBorders>
              <w:right w:val="single" w:sz="8" w:color="0000FF"/>
            </w:tcBorders>
            <w:shd w:val="clear" w:color="auto" w:fill="0000FF"/>
          </w:tcPr>
          <w:p>
            <w:pPr>
              <w:spacing w:after="0" w:line="20" w:lineRule="exact"/>
              <w:rPr>
                <w:sz w:val="1"/>
                <w:szCs w:val="1"/>
                <w:color w:val="auto"/>
              </w:rPr>
            </w:pPr>
          </w:p>
        </w:tc>
        <w:tc>
          <w:tcPr>
            <w:tcW w:w="760" w:type="dxa"/>
            <w:vAlign w:val="bottom"/>
            <w:shd w:val="clear" w:color="auto" w:fill="0000FF"/>
          </w:tcPr>
          <w:p>
            <w:pPr>
              <w:spacing w:after="0" w:line="20" w:lineRule="exact"/>
              <w:rPr>
                <w:sz w:val="1"/>
                <w:szCs w:val="1"/>
                <w:color w:val="auto"/>
              </w:rPr>
            </w:pPr>
          </w:p>
        </w:tc>
        <w:tc>
          <w:tcPr>
            <w:tcW w:w="260" w:type="dxa"/>
            <w:vAlign w:val="bottom"/>
            <w:shd w:val="clear" w:color="auto" w:fill="0000FF"/>
          </w:tcPr>
          <w:p>
            <w:pPr>
              <w:spacing w:after="0" w:line="20" w:lineRule="exact"/>
              <w:rPr>
                <w:sz w:val="1"/>
                <w:szCs w:val="1"/>
                <w:color w:val="auto"/>
              </w:rPr>
            </w:pPr>
          </w:p>
        </w:tc>
        <w:tc>
          <w:tcPr>
            <w:tcW w:w="580" w:type="dxa"/>
            <w:vAlign w:val="bottom"/>
            <w:shd w:val="clear" w:color="auto" w:fill="0000FF"/>
          </w:tcPr>
          <w:p>
            <w:pPr>
              <w:spacing w:after="0" w:line="20" w:lineRule="exact"/>
              <w:rPr>
                <w:sz w:val="1"/>
                <w:szCs w:val="1"/>
                <w:color w:val="auto"/>
              </w:rPr>
            </w:pPr>
          </w:p>
        </w:tc>
        <w:tc>
          <w:tcPr>
            <w:tcW w:w="520" w:type="dxa"/>
            <w:vAlign w:val="bottom"/>
            <w:shd w:val="clear" w:color="auto" w:fill="0000FF"/>
          </w:tcPr>
          <w:p>
            <w:pPr>
              <w:spacing w:after="0" w:line="20" w:lineRule="exact"/>
              <w:rPr>
                <w:sz w:val="1"/>
                <w:szCs w:val="1"/>
                <w:color w:val="auto"/>
              </w:rPr>
            </w:pPr>
          </w:p>
        </w:tc>
        <w:tc>
          <w:tcPr>
            <w:tcW w:w="1000" w:type="dxa"/>
            <w:vAlign w:val="bottom"/>
            <w:shd w:val="clear" w:color="auto" w:fill="0000FF"/>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7A.</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Quantitative and Qualitative Disclosures About Market Risk</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1300" w:type="dxa"/>
            <w:vAlign w:val="bottom"/>
            <w:tcBorders>
              <w:right w:val="single" w:sz="8" w:color="0000FF"/>
            </w:tcBorders>
            <w:gridSpan w:val="6"/>
            <w:shd w:val="clear" w:color="auto" w:fill="0000FF"/>
          </w:tcPr>
          <w:p>
            <w:pPr>
              <w:spacing w:after="0" w:line="20" w:lineRule="exact"/>
              <w:rPr>
                <w:sz w:val="1"/>
                <w:szCs w:val="1"/>
                <w:color w:val="auto"/>
              </w:rPr>
            </w:pPr>
          </w:p>
        </w:tc>
        <w:tc>
          <w:tcPr>
            <w:tcW w:w="220" w:type="dxa"/>
            <w:vAlign w:val="bottom"/>
            <w:tcBorders>
              <w:left w:val="single" w:sz="8" w:color="0000FF"/>
            </w:tcBorders>
            <w:shd w:val="clear" w:color="auto" w:fill="0000FF"/>
          </w:tcPr>
          <w:p>
            <w:pPr>
              <w:spacing w:after="0" w:line="20" w:lineRule="exact"/>
              <w:rPr>
                <w:sz w:val="1"/>
                <w:szCs w:val="1"/>
                <w:color w:val="auto"/>
              </w:rPr>
            </w:pPr>
          </w:p>
        </w:tc>
        <w:tc>
          <w:tcPr>
            <w:tcW w:w="280" w:type="dxa"/>
            <w:vAlign w:val="bottom"/>
            <w:tcBorders>
              <w:right w:val="single" w:sz="8" w:color="0000FF"/>
            </w:tcBorders>
            <w:gridSpan w:val="2"/>
            <w:shd w:val="clear" w:color="auto" w:fill="0000FF"/>
          </w:tcPr>
          <w:p>
            <w:pPr>
              <w:spacing w:after="0" w:line="20" w:lineRule="exact"/>
              <w:rPr>
                <w:sz w:val="1"/>
                <w:szCs w:val="1"/>
                <w:color w:val="auto"/>
              </w:rPr>
            </w:pPr>
          </w:p>
        </w:tc>
        <w:tc>
          <w:tcPr>
            <w:tcW w:w="1040" w:type="dxa"/>
            <w:vAlign w:val="bottom"/>
            <w:gridSpan w:val="2"/>
            <w:shd w:val="clear" w:color="auto" w:fill="0000FF"/>
          </w:tcPr>
          <w:p>
            <w:pPr>
              <w:spacing w:after="0" w:line="20" w:lineRule="exact"/>
              <w:rPr>
                <w:sz w:val="1"/>
                <w:szCs w:val="1"/>
                <w:color w:val="auto"/>
              </w:rPr>
            </w:pPr>
          </w:p>
        </w:tc>
        <w:tc>
          <w:tcPr>
            <w:tcW w:w="40" w:type="dxa"/>
            <w:vAlign w:val="bottom"/>
            <w:shd w:val="clear" w:color="auto" w:fill="0000FF"/>
          </w:tcPr>
          <w:p>
            <w:pPr>
              <w:spacing w:after="0" w:line="20" w:lineRule="exact"/>
              <w:rPr>
                <w:sz w:val="1"/>
                <w:szCs w:val="1"/>
                <w:color w:val="auto"/>
              </w:rPr>
            </w:pPr>
          </w:p>
        </w:tc>
        <w:tc>
          <w:tcPr>
            <w:tcW w:w="440" w:type="dxa"/>
            <w:vAlign w:val="bottom"/>
            <w:tcBorders>
              <w:right w:val="single" w:sz="8" w:color="0000FF"/>
            </w:tcBorders>
            <w:shd w:val="clear" w:color="auto" w:fill="0000FF"/>
          </w:tcPr>
          <w:p>
            <w:pPr>
              <w:spacing w:after="0" w:line="20" w:lineRule="exact"/>
              <w:rPr>
                <w:sz w:val="1"/>
                <w:szCs w:val="1"/>
                <w:color w:val="auto"/>
              </w:rPr>
            </w:pPr>
          </w:p>
        </w:tc>
        <w:tc>
          <w:tcPr>
            <w:tcW w:w="760" w:type="dxa"/>
            <w:vAlign w:val="bottom"/>
            <w:shd w:val="clear" w:color="auto" w:fill="0000FF"/>
          </w:tcPr>
          <w:p>
            <w:pPr>
              <w:spacing w:after="0" w:line="20" w:lineRule="exact"/>
              <w:rPr>
                <w:sz w:val="1"/>
                <w:szCs w:val="1"/>
                <w:color w:val="auto"/>
              </w:rPr>
            </w:pPr>
          </w:p>
        </w:tc>
        <w:tc>
          <w:tcPr>
            <w:tcW w:w="260" w:type="dxa"/>
            <w:vAlign w:val="bottom"/>
            <w:shd w:val="clear" w:color="auto" w:fill="0000FF"/>
          </w:tcPr>
          <w:p>
            <w:pPr>
              <w:spacing w:after="0" w:line="20" w:lineRule="exact"/>
              <w:rPr>
                <w:sz w:val="1"/>
                <w:szCs w:val="1"/>
                <w:color w:val="auto"/>
              </w:rPr>
            </w:pPr>
          </w:p>
        </w:tc>
        <w:tc>
          <w:tcPr>
            <w:tcW w:w="58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020" w:type="dxa"/>
            <w:vAlign w:val="bottom"/>
            <w:gridSpan w:val="2"/>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8.</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Financial Statements and Supplementary Data</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1300" w:type="dxa"/>
            <w:vAlign w:val="bottom"/>
            <w:tcBorders>
              <w:right w:val="single" w:sz="8" w:color="0000FF"/>
            </w:tcBorders>
            <w:gridSpan w:val="6"/>
            <w:shd w:val="clear" w:color="auto" w:fill="0000FF"/>
          </w:tcPr>
          <w:p>
            <w:pPr>
              <w:spacing w:after="0" w:line="20" w:lineRule="exact"/>
              <w:rPr>
                <w:sz w:val="1"/>
                <w:szCs w:val="1"/>
                <w:color w:val="auto"/>
              </w:rPr>
            </w:pPr>
          </w:p>
        </w:tc>
        <w:tc>
          <w:tcPr>
            <w:tcW w:w="220" w:type="dxa"/>
            <w:vAlign w:val="bottom"/>
            <w:tcBorders>
              <w:left w:val="single" w:sz="8" w:color="0000FF"/>
            </w:tcBorders>
            <w:shd w:val="clear" w:color="auto" w:fill="0000FF"/>
          </w:tcPr>
          <w:p>
            <w:pPr>
              <w:spacing w:after="0" w:line="20" w:lineRule="exact"/>
              <w:rPr>
                <w:sz w:val="1"/>
                <w:szCs w:val="1"/>
                <w:color w:val="auto"/>
              </w:rPr>
            </w:pPr>
          </w:p>
        </w:tc>
        <w:tc>
          <w:tcPr>
            <w:tcW w:w="280" w:type="dxa"/>
            <w:vAlign w:val="bottom"/>
            <w:tcBorders>
              <w:right w:val="single" w:sz="8" w:color="0000FF"/>
            </w:tcBorders>
            <w:gridSpan w:val="2"/>
            <w:shd w:val="clear" w:color="auto" w:fill="0000FF"/>
          </w:tcPr>
          <w:p>
            <w:pPr>
              <w:spacing w:after="0" w:line="20" w:lineRule="exact"/>
              <w:rPr>
                <w:sz w:val="1"/>
                <w:szCs w:val="1"/>
                <w:color w:val="auto"/>
              </w:rPr>
            </w:pPr>
          </w:p>
        </w:tc>
        <w:tc>
          <w:tcPr>
            <w:tcW w:w="1040" w:type="dxa"/>
            <w:vAlign w:val="bottom"/>
            <w:gridSpan w:val="2"/>
            <w:shd w:val="clear" w:color="auto" w:fill="0000FF"/>
          </w:tcPr>
          <w:p>
            <w:pPr>
              <w:spacing w:after="0" w:line="20" w:lineRule="exact"/>
              <w:rPr>
                <w:sz w:val="1"/>
                <w:szCs w:val="1"/>
                <w:color w:val="auto"/>
              </w:rPr>
            </w:pPr>
          </w:p>
        </w:tc>
        <w:tc>
          <w:tcPr>
            <w:tcW w:w="40" w:type="dxa"/>
            <w:vAlign w:val="bottom"/>
            <w:shd w:val="clear" w:color="auto" w:fill="0000FF"/>
          </w:tcPr>
          <w:p>
            <w:pPr>
              <w:spacing w:after="0" w:line="20" w:lineRule="exact"/>
              <w:rPr>
                <w:sz w:val="1"/>
                <w:szCs w:val="1"/>
                <w:color w:val="auto"/>
              </w:rPr>
            </w:pPr>
          </w:p>
        </w:tc>
        <w:tc>
          <w:tcPr>
            <w:tcW w:w="440" w:type="dxa"/>
            <w:vAlign w:val="bottom"/>
            <w:tcBorders>
              <w:right w:val="single" w:sz="8" w:color="0000EE"/>
            </w:tcBorders>
            <w:shd w:val="clear" w:color="auto" w:fill="0000FF"/>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840" w:type="dxa"/>
            <w:vAlign w:val="bottom"/>
            <w:gridSpan w:val="2"/>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020" w:type="dxa"/>
            <w:vAlign w:val="bottom"/>
            <w:gridSpan w:val="2"/>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9.</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Changes in and Disagreements with Accountants on Accounting and Financial Disclosure</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1300" w:type="dxa"/>
            <w:vAlign w:val="bottom"/>
            <w:tcBorders>
              <w:right w:val="single" w:sz="8" w:color="0000FF"/>
            </w:tcBorders>
            <w:gridSpan w:val="6"/>
            <w:shd w:val="clear" w:color="auto" w:fill="0000FF"/>
          </w:tcPr>
          <w:p>
            <w:pPr>
              <w:spacing w:after="0" w:line="20" w:lineRule="exact"/>
              <w:rPr>
                <w:sz w:val="1"/>
                <w:szCs w:val="1"/>
                <w:color w:val="auto"/>
              </w:rPr>
            </w:pPr>
          </w:p>
        </w:tc>
        <w:tc>
          <w:tcPr>
            <w:tcW w:w="220" w:type="dxa"/>
            <w:vAlign w:val="bottom"/>
            <w:tcBorders>
              <w:left w:val="single" w:sz="8" w:color="0000FF"/>
            </w:tcBorders>
            <w:shd w:val="clear" w:color="auto" w:fill="0000FF"/>
          </w:tcPr>
          <w:p>
            <w:pPr>
              <w:spacing w:after="0" w:line="20" w:lineRule="exact"/>
              <w:rPr>
                <w:sz w:val="1"/>
                <w:szCs w:val="1"/>
                <w:color w:val="auto"/>
              </w:rPr>
            </w:pPr>
          </w:p>
        </w:tc>
        <w:tc>
          <w:tcPr>
            <w:tcW w:w="280" w:type="dxa"/>
            <w:vAlign w:val="bottom"/>
            <w:tcBorders>
              <w:right w:val="single" w:sz="8" w:color="0000FF"/>
            </w:tcBorders>
            <w:gridSpan w:val="2"/>
            <w:shd w:val="clear" w:color="auto" w:fill="0000FF"/>
          </w:tcPr>
          <w:p>
            <w:pPr>
              <w:spacing w:after="0" w:line="20" w:lineRule="exact"/>
              <w:rPr>
                <w:sz w:val="1"/>
                <w:szCs w:val="1"/>
                <w:color w:val="auto"/>
              </w:rPr>
            </w:pPr>
          </w:p>
        </w:tc>
        <w:tc>
          <w:tcPr>
            <w:tcW w:w="1040" w:type="dxa"/>
            <w:vAlign w:val="bottom"/>
            <w:gridSpan w:val="2"/>
            <w:shd w:val="clear" w:color="auto" w:fill="0000FF"/>
          </w:tcPr>
          <w:p>
            <w:pPr>
              <w:spacing w:after="0" w:line="20" w:lineRule="exact"/>
              <w:rPr>
                <w:sz w:val="1"/>
                <w:szCs w:val="1"/>
                <w:color w:val="auto"/>
              </w:rPr>
            </w:pPr>
          </w:p>
        </w:tc>
        <w:tc>
          <w:tcPr>
            <w:tcW w:w="40" w:type="dxa"/>
            <w:vAlign w:val="bottom"/>
            <w:shd w:val="clear" w:color="auto" w:fill="0000FF"/>
          </w:tcPr>
          <w:p>
            <w:pPr>
              <w:spacing w:after="0" w:line="20" w:lineRule="exact"/>
              <w:rPr>
                <w:sz w:val="1"/>
                <w:szCs w:val="1"/>
                <w:color w:val="auto"/>
              </w:rPr>
            </w:pPr>
          </w:p>
        </w:tc>
        <w:tc>
          <w:tcPr>
            <w:tcW w:w="1200" w:type="dxa"/>
            <w:vAlign w:val="bottom"/>
            <w:gridSpan w:val="2"/>
            <w:shd w:val="clear" w:color="auto" w:fill="0000FF"/>
          </w:tcPr>
          <w:p>
            <w:pPr>
              <w:spacing w:after="0" w:line="20" w:lineRule="exact"/>
              <w:rPr>
                <w:sz w:val="1"/>
                <w:szCs w:val="1"/>
                <w:color w:val="auto"/>
              </w:rPr>
            </w:pPr>
          </w:p>
        </w:tc>
        <w:tc>
          <w:tcPr>
            <w:tcW w:w="840" w:type="dxa"/>
            <w:vAlign w:val="bottom"/>
            <w:gridSpan w:val="2"/>
            <w:shd w:val="clear" w:color="auto" w:fill="0000FF"/>
          </w:tcPr>
          <w:p>
            <w:pPr>
              <w:spacing w:after="0" w:line="20" w:lineRule="exact"/>
              <w:rPr>
                <w:sz w:val="1"/>
                <w:szCs w:val="1"/>
                <w:color w:val="auto"/>
              </w:rPr>
            </w:pPr>
          </w:p>
        </w:tc>
        <w:tc>
          <w:tcPr>
            <w:tcW w:w="520" w:type="dxa"/>
            <w:vAlign w:val="bottom"/>
            <w:shd w:val="clear" w:color="auto" w:fill="0000FF"/>
          </w:tcPr>
          <w:p>
            <w:pPr>
              <w:spacing w:after="0" w:line="20" w:lineRule="exact"/>
              <w:rPr>
                <w:sz w:val="1"/>
                <w:szCs w:val="1"/>
                <w:color w:val="auto"/>
              </w:rPr>
            </w:pPr>
          </w:p>
        </w:tc>
        <w:tc>
          <w:tcPr>
            <w:tcW w:w="1020" w:type="dxa"/>
            <w:vAlign w:val="bottom"/>
            <w:gridSpan w:val="2"/>
            <w:shd w:val="clear" w:color="auto" w:fill="0000FF"/>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9A.</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Controls and Procedures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66</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1300" w:type="dxa"/>
            <w:vAlign w:val="bottom"/>
            <w:tcBorders>
              <w:right w:val="single" w:sz="8" w:color="0000FF"/>
            </w:tcBorders>
            <w:gridSpan w:val="6"/>
            <w:shd w:val="clear" w:color="auto" w:fill="0000FF"/>
          </w:tcPr>
          <w:p>
            <w:pPr>
              <w:spacing w:after="0" w:line="20" w:lineRule="exact"/>
              <w:rPr>
                <w:sz w:val="1"/>
                <w:szCs w:val="1"/>
                <w:color w:val="auto"/>
              </w:rPr>
            </w:pPr>
          </w:p>
        </w:tc>
        <w:tc>
          <w:tcPr>
            <w:tcW w:w="220" w:type="dxa"/>
            <w:vAlign w:val="bottom"/>
            <w:tcBorders>
              <w:left w:val="single" w:sz="8" w:color="0000FF"/>
            </w:tcBorders>
            <w:shd w:val="clear" w:color="auto" w:fill="0000FF"/>
          </w:tcPr>
          <w:p>
            <w:pPr>
              <w:spacing w:after="0" w:line="20" w:lineRule="exact"/>
              <w:rPr>
                <w:sz w:val="1"/>
                <w:szCs w:val="1"/>
                <w:color w:val="auto"/>
              </w:rPr>
            </w:pPr>
          </w:p>
        </w:tc>
        <w:tc>
          <w:tcPr>
            <w:tcW w:w="220" w:type="dxa"/>
            <w:vAlign w:val="bottom"/>
            <w:shd w:val="clear" w:color="auto" w:fill="0000FF"/>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04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1200" w:type="dxa"/>
            <w:vAlign w:val="bottom"/>
            <w:gridSpan w:val="2"/>
          </w:tcPr>
          <w:p>
            <w:pPr>
              <w:spacing w:after="0" w:line="20" w:lineRule="exact"/>
              <w:rPr>
                <w:sz w:val="1"/>
                <w:szCs w:val="1"/>
                <w:color w:val="auto"/>
              </w:rPr>
            </w:pPr>
          </w:p>
        </w:tc>
        <w:tc>
          <w:tcPr>
            <w:tcW w:w="840" w:type="dxa"/>
            <w:vAlign w:val="bottom"/>
            <w:gridSpan w:val="2"/>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820" w:type="dxa"/>
            <w:vAlign w:val="bottom"/>
            <w:gridSpan w:val="3"/>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9B.</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Other Information</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66</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0" w:type="dxa"/>
            <w:vAlign w:val="bottom"/>
            <w:tcBorders>
              <w:right w:val="single" w:sz="8" w:color="0000EE"/>
            </w:tcBorders>
          </w:tcPr>
          <w:p>
            <w:pPr>
              <w:spacing w:after="0" w:line="20" w:lineRule="exact"/>
              <w:rPr>
                <w:sz w:val="1"/>
                <w:szCs w:val="1"/>
                <w:color w:val="auto"/>
              </w:rPr>
            </w:pPr>
          </w:p>
        </w:tc>
        <w:tc>
          <w:tcPr>
            <w:tcW w:w="1300" w:type="dxa"/>
            <w:vAlign w:val="bottom"/>
            <w:tcBorders>
              <w:right w:val="single" w:sz="8" w:color="0000EE"/>
            </w:tcBorders>
            <w:gridSpan w:val="6"/>
            <w:shd w:val="clear" w:color="auto" w:fill="0000FF"/>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80" w:type="dxa"/>
            <w:vAlign w:val="bottom"/>
            <w:gridSpan w:val="2"/>
          </w:tcPr>
          <w:p>
            <w:pPr>
              <w:spacing w:after="0" w:line="20" w:lineRule="exact"/>
              <w:rPr>
                <w:sz w:val="1"/>
                <w:szCs w:val="1"/>
                <w:color w:val="auto"/>
              </w:rPr>
            </w:pPr>
          </w:p>
        </w:tc>
        <w:tc>
          <w:tcPr>
            <w:tcW w:w="104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1200" w:type="dxa"/>
            <w:vAlign w:val="bottom"/>
            <w:gridSpan w:val="2"/>
          </w:tcPr>
          <w:p>
            <w:pPr>
              <w:spacing w:after="0" w:line="20" w:lineRule="exact"/>
              <w:rPr>
                <w:sz w:val="1"/>
                <w:szCs w:val="1"/>
                <w:color w:val="auto"/>
              </w:rPr>
            </w:pPr>
          </w:p>
        </w:tc>
        <w:tc>
          <w:tcPr>
            <w:tcW w:w="840" w:type="dxa"/>
            <w:vAlign w:val="bottom"/>
            <w:gridSpan w:val="2"/>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1820" w:type="dxa"/>
            <w:vAlign w:val="bottom"/>
            <w:gridSpan w:val="3"/>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9C.</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Disclosure Regarding Foreign Jurisdictions that Prevent Inspections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67</w:t>
            </w:r>
          </w:p>
        </w:tc>
        <w:tc>
          <w:tcPr>
            <w:tcW w:w="0" w:type="dxa"/>
            <w:vAlign w:val="bottom"/>
          </w:tcPr>
          <w:p>
            <w:pPr>
              <w:spacing w:after="0"/>
              <w:rPr>
                <w:sz w:val="1"/>
                <w:szCs w:val="1"/>
                <w:color w:val="auto"/>
              </w:rPr>
            </w:pPr>
          </w:p>
        </w:tc>
      </w:tr>
      <w:tr>
        <w:trPr>
          <w:trHeight w:val="439"/>
        </w:trPr>
        <w:tc>
          <w:tcPr>
            <w:tcW w:w="20" w:type="dxa"/>
            <w:vAlign w:val="bottom"/>
          </w:tcPr>
          <w:p>
            <w:pPr>
              <w:spacing w:after="0"/>
              <w:rPr>
                <w:sz w:val="24"/>
                <w:szCs w:val="24"/>
                <w:color w:val="auto"/>
              </w:rPr>
            </w:pPr>
          </w:p>
        </w:tc>
        <w:tc>
          <w:tcPr>
            <w:tcW w:w="760" w:type="dxa"/>
            <w:vAlign w:val="bottom"/>
            <w:tcBorders>
              <w:bottom w:val="single" w:sz="8" w:color="0000EE"/>
            </w:tcBorders>
            <w:gridSpan w:val="4"/>
          </w:tcPr>
          <w:p>
            <w:pPr>
              <w:spacing w:after="0"/>
              <w:rPr>
                <w:sz w:val="20"/>
                <w:szCs w:val="20"/>
                <w:color w:val="auto"/>
              </w:rPr>
            </w:pPr>
            <w:r>
              <w:rPr>
                <w:rFonts w:ascii="Times New Roman" w:cs="Times New Roman" w:eastAsia="Times New Roman" w:hAnsi="Times New Roman"/>
                <w:sz w:val="18"/>
                <w:szCs w:val="18"/>
                <w:b w:val="1"/>
                <w:bCs w:val="1"/>
                <w:color w:val="auto"/>
                <w:w w:val="99"/>
              </w:rPr>
              <w:t>PART III</w:t>
            </w:r>
          </w:p>
        </w:tc>
        <w:tc>
          <w:tcPr>
            <w:tcW w:w="400" w:type="dxa"/>
            <w:vAlign w:val="bottom"/>
          </w:tcPr>
          <w:p>
            <w:pPr>
              <w:spacing w:after="0"/>
              <w:rPr>
                <w:sz w:val="24"/>
                <w:szCs w:val="24"/>
                <w:color w:val="auto"/>
              </w:rPr>
            </w:pPr>
          </w:p>
        </w:tc>
        <w:tc>
          <w:tcPr>
            <w:tcW w:w="640" w:type="dxa"/>
            <w:vAlign w:val="bottom"/>
            <w:tcBorders>
              <w:top w:val="single" w:sz="8" w:color="0000EE"/>
            </w:tcBorders>
          </w:tcPr>
          <w:p>
            <w:pPr>
              <w:spacing w:after="0"/>
              <w:rPr>
                <w:sz w:val="24"/>
                <w:szCs w:val="24"/>
                <w:color w:val="auto"/>
              </w:rPr>
            </w:pPr>
          </w:p>
        </w:tc>
        <w:tc>
          <w:tcPr>
            <w:tcW w:w="80" w:type="dxa"/>
            <w:vAlign w:val="bottom"/>
            <w:tcBorders>
              <w:top w:val="single" w:sz="8" w:color="0000EE"/>
            </w:tcBorders>
          </w:tcPr>
          <w:p>
            <w:pPr>
              <w:spacing w:after="0"/>
              <w:rPr>
                <w:sz w:val="24"/>
                <w:szCs w:val="24"/>
                <w:color w:val="auto"/>
              </w:rPr>
            </w:pPr>
          </w:p>
        </w:tc>
        <w:tc>
          <w:tcPr>
            <w:tcW w:w="60" w:type="dxa"/>
            <w:vAlign w:val="bottom"/>
            <w:tcBorders>
              <w:top w:val="single" w:sz="8" w:color="0000EE"/>
            </w:tcBorders>
          </w:tcPr>
          <w:p>
            <w:pPr>
              <w:spacing w:after="0"/>
              <w:rPr>
                <w:sz w:val="24"/>
                <w:szCs w:val="24"/>
                <w:color w:val="auto"/>
              </w:rPr>
            </w:pPr>
          </w:p>
        </w:tc>
        <w:tc>
          <w:tcPr>
            <w:tcW w:w="120" w:type="dxa"/>
            <w:vAlign w:val="bottom"/>
            <w:tcBorders>
              <w:top w:val="single" w:sz="8" w:color="0000EE"/>
            </w:tcBorders>
          </w:tcPr>
          <w:p>
            <w:pPr>
              <w:spacing w:after="0"/>
              <w:rPr>
                <w:sz w:val="24"/>
                <w:szCs w:val="24"/>
                <w:color w:val="auto"/>
              </w:rPr>
            </w:pPr>
          </w:p>
        </w:tc>
        <w:tc>
          <w:tcPr>
            <w:tcW w:w="80" w:type="dxa"/>
            <w:vAlign w:val="bottom"/>
            <w:tcBorders>
              <w:top w:val="single" w:sz="8" w:color="0000EE"/>
            </w:tcBorders>
          </w:tcPr>
          <w:p>
            <w:pPr>
              <w:spacing w:after="0"/>
              <w:rPr>
                <w:sz w:val="24"/>
                <w:szCs w:val="24"/>
                <w:color w:val="auto"/>
              </w:rPr>
            </w:pPr>
          </w:p>
        </w:tc>
        <w:tc>
          <w:tcPr>
            <w:tcW w:w="320" w:type="dxa"/>
            <w:vAlign w:val="bottom"/>
            <w:tcBorders>
              <w:top w:val="single" w:sz="8" w:color="0000EE"/>
            </w:tcBorders>
          </w:tcPr>
          <w:p>
            <w:pPr>
              <w:spacing w:after="0"/>
              <w:rPr>
                <w:sz w:val="24"/>
                <w:szCs w:val="24"/>
                <w:color w:val="auto"/>
              </w:rPr>
            </w:pPr>
          </w:p>
        </w:tc>
        <w:tc>
          <w:tcPr>
            <w:tcW w:w="220" w:type="dxa"/>
            <w:vAlign w:val="bottom"/>
            <w:tcBorders>
              <w:top w:val="single" w:sz="8" w:color="0000EE"/>
            </w:tcBorders>
          </w:tcPr>
          <w:p>
            <w:pPr>
              <w:spacing w:after="0"/>
              <w:rPr>
                <w:sz w:val="24"/>
                <w:szCs w:val="24"/>
                <w:color w:val="auto"/>
              </w:rPr>
            </w:pPr>
          </w:p>
        </w:tc>
        <w:tc>
          <w:tcPr>
            <w:tcW w:w="220" w:type="dxa"/>
            <w:vAlign w:val="bottom"/>
            <w:tcBorders>
              <w:top w:val="single" w:sz="8" w:color="0000EE"/>
            </w:tcBorders>
          </w:tcPr>
          <w:p>
            <w:pPr>
              <w:spacing w:after="0"/>
              <w:rPr>
                <w:sz w:val="24"/>
                <w:szCs w:val="24"/>
                <w:color w:val="auto"/>
              </w:rPr>
            </w:pPr>
          </w:p>
        </w:tc>
        <w:tc>
          <w:tcPr>
            <w:tcW w:w="60" w:type="dxa"/>
            <w:vAlign w:val="bottom"/>
            <w:tcBorders>
              <w:top w:val="single" w:sz="8" w:color="0000EE"/>
            </w:tcBorders>
          </w:tcPr>
          <w:p>
            <w:pPr>
              <w:spacing w:after="0"/>
              <w:rPr>
                <w:sz w:val="24"/>
                <w:szCs w:val="24"/>
                <w:color w:val="auto"/>
              </w:rPr>
            </w:pPr>
          </w:p>
        </w:tc>
        <w:tc>
          <w:tcPr>
            <w:tcW w:w="220" w:type="dxa"/>
            <w:vAlign w:val="bottom"/>
            <w:tcBorders>
              <w:top w:val="single" w:sz="8" w:color="0000EE"/>
            </w:tcBorders>
          </w:tcPr>
          <w:p>
            <w:pPr>
              <w:spacing w:after="0"/>
              <w:rPr>
                <w:sz w:val="24"/>
                <w:szCs w:val="24"/>
                <w:color w:val="auto"/>
              </w:rPr>
            </w:pPr>
          </w:p>
        </w:tc>
        <w:tc>
          <w:tcPr>
            <w:tcW w:w="820" w:type="dxa"/>
            <w:vAlign w:val="bottom"/>
            <w:tcBorders>
              <w:top w:val="single" w:sz="8" w:color="0000EE"/>
            </w:tcBorders>
          </w:tcPr>
          <w:p>
            <w:pPr>
              <w:spacing w:after="0"/>
              <w:rPr>
                <w:sz w:val="24"/>
                <w:szCs w:val="24"/>
                <w:color w:val="auto"/>
              </w:rPr>
            </w:pPr>
          </w:p>
        </w:tc>
        <w:tc>
          <w:tcPr>
            <w:tcW w:w="40" w:type="dxa"/>
            <w:vAlign w:val="bottom"/>
            <w:tcBorders>
              <w:top w:val="single" w:sz="8" w:color="0000EE"/>
            </w:tcBorders>
          </w:tcPr>
          <w:p>
            <w:pPr>
              <w:spacing w:after="0"/>
              <w:rPr>
                <w:sz w:val="24"/>
                <w:szCs w:val="24"/>
                <w:color w:val="auto"/>
              </w:rPr>
            </w:pPr>
          </w:p>
        </w:tc>
        <w:tc>
          <w:tcPr>
            <w:tcW w:w="440" w:type="dxa"/>
            <w:vAlign w:val="bottom"/>
            <w:tcBorders>
              <w:top w:val="single" w:sz="8" w:color="0000EE"/>
            </w:tcBorders>
          </w:tcPr>
          <w:p>
            <w:pPr>
              <w:spacing w:after="0"/>
              <w:rPr>
                <w:sz w:val="24"/>
                <w:szCs w:val="24"/>
                <w:color w:val="auto"/>
              </w:rPr>
            </w:pPr>
          </w:p>
        </w:tc>
        <w:tc>
          <w:tcPr>
            <w:tcW w:w="760" w:type="dxa"/>
            <w:vAlign w:val="bottom"/>
            <w:tcBorders>
              <w:top w:val="single" w:sz="8" w:color="0000EE"/>
            </w:tcBorders>
          </w:tcPr>
          <w:p>
            <w:pPr>
              <w:spacing w:after="0"/>
              <w:rPr>
                <w:sz w:val="24"/>
                <w:szCs w:val="24"/>
                <w:color w:val="auto"/>
              </w:rPr>
            </w:pPr>
          </w:p>
        </w:tc>
        <w:tc>
          <w:tcPr>
            <w:tcW w:w="260" w:type="dxa"/>
            <w:vAlign w:val="bottom"/>
            <w:tcBorders>
              <w:top w:val="single" w:sz="8" w:color="0000EE"/>
            </w:tcBorders>
          </w:tcPr>
          <w:p>
            <w:pPr>
              <w:spacing w:after="0"/>
              <w:rPr>
                <w:sz w:val="24"/>
                <w:szCs w:val="24"/>
                <w:color w:val="auto"/>
              </w:rPr>
            </w:pPr>
          </w:p>
        </w:tc>
        <w:tc>
          <w:tcPr>
            <w:tcW w:w="580" w:type="dxa"/>
            <w:vAlign w:val="bottom"/>
            <w:tcBorders>
              <w:top w:val="single" w:sz="8" w:color="0000EE"/>
            </w:tcBorders>
          </w:tcPr>
          <w:p>
            <w:pPr>
              <w:spacing w:after="0"/>
              <w:rPr>
                <w:sz w:val="24"/>
                <w:szCs w:val="24"/>
                <w:color w:val="auto"/>
              </w:rPr>
            </w:pPr>
          </w:p>
        </w:tc>
        <w:tc>
          <w:tcPr>
            <w:tcW w:w="520" w:type="dxa"/>
            <w:vAlign w:val="bottom"/>
          </w:tcPr>
          <w:p>
            <w:pPr>
              <w:spacing w:after="0"/>
              <w:rPr>
                <w:sz w:val="24"/>
                <w:szCs w:val="24"/>
                <w:color w:val="auto"/>
              </w:rPr>
            </w:pPr>
          </w:p>
        </w:tc>
        <w:tc>
          <w:tcPr>
            <w:tcW w:w="10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142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10.</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Directors, Executive Officers and Corporate Governance</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68</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420" w:type="dxa"/>
            <w:vAlign w:val="bottom"/>
            <w:tcBorders>
              <w:right w:val="single" w:sz="8" w:color="0000EE"/>
            </w:tcBorders>
            <w:gridSpan w:val="2"/>
          </w:tcPr>
          <w:p>
            <w:pPr>
              <w:spacing w:after="0" w:line="20" w:lineRule="exact"/>
              <w:rPr>
                <w:sz w:val="1"/>
                <w:szCs w:val="1"/>
                <w:color w:val="auto"/>
              </w:rPr>
            </w:pPr>
          </w:p>
        </w:tc>
        <w:tc>
          <w:tcPr>
            <w:tcW w:w="1520" w:type="dxa"/>
            <w:vAlign w:val="bottom"/>
            <w:gridSpan w:val="7"/>
            <w:shd w:val="clear" w:color="auto" w:fill="0000FF"/>
          </w:tcPr>
          <w:p>
            <w:pPr>
              <w:spacing w:after="0" w:line="20" w:lineRule="exact"/>
              <w:rPr>
                <w:sz w:val="1"/>
                <w:szCs w:val="1"/>
                <w:color w:val="auto"/>
              </w:rPr>
            </w:pPr>
          </w:p>
        </w:tc>
        <w:tc>
          <w:tcPr>
            <w:tcW w:w="280" w:type="dxa"/>
            <w:vAlign w:val="bottom"/>
            <w:tcBorders>
              <w:right w:val="single" w:sz="8" w:color="0000FF"/>
            </w:tcBorders>
            <w:gridSpan w:val="2"/>
            <w:shd w:val="clear" w:color="auto" w:fill="0000FF"/>
          </w:tcPr>
          <w:p>
            <w:pPr>
              <w:spacing w:after="0" w:line="20" w:lineRule="exact"/>
              <w:rPr>
                <w:sz w:val="1"/>
                <w:szCs w:val="1"/>
                <w:color w:val="auto"/>
              </w:rPr>
            </w:pPr>
          </w:p>
        </w:tc>
        <w:tc>
          <w:tcPr>
            <w:tcW w:w="1040" w:type="dxa"/>
            <w:vAlign w:val="bottom"/>
            <w:gridSpan w:val="2"/>
            <w:shd w:val="clear" w:color="auto" w:fill="0000FF"/>
          </w:tcPr>
          <w:p>
            <w:pPr>
              <w:spacing w:after="0" w:line="20" w:lineRule="exact"/>
              <w:rPr>
                <w:sz w:val="1"/>
                <w:szCs w:val="1"/>
                <w:color w:val="auto"/>
              </w:rPr>
            </w:pPr>
          </w:p>
        </w:tc>
        <w:tc>
          <w:tcPr>
            <w:tcW w:w="40" w:type="dxa"/>
            <w:vAlign w:val="bottom"/>
            <w:shd w:val="clear" w:color="auto" w:fill="0000FF"/>
          </w:tcPr>
          <w:p>
            <w:pPr>
              <w:spacing w:after="0" w:line="20" w:lineRule="exact"/>
              <w:rPr>
                <w:sz w:val="1"/>
                <w:szCs w:val="1"/>
                <w:color w:val="auto"/>
              </w:rPr>
            </w:pPr>
          </w:p>
        </w:tc>
        <w:tc>
          <w:tcPr>
            <w:tcW w:w="1200" w:type="dxa"/>
            <w:vAlign w:val="bottom"/>
            <w:gridSpan w:val="2"/>
            <w:shd w:val="clear" w:color="auto" w:fill="0000FF"/>
          </w:tcPr>
          <w:p>
            <w:pPr>
              <w:spacing w:after="0" w:line="20" w:lineRule="exact"/>
              <w:rPr>
                <w:sz w:val="1"/>
                <w:szCs w:val="1"/>
                <w:color w:val="auto"/>
              </w:rPr>
            </w:pPr>
          </w:p>
        </w:tc>
        <w:tc>
          <w:tcPr>
            <w:tcW w:w="1360" w:type="dxa"/>
            <w:vAlign w:val="bottom"/>
            <w:gridSpan w:val="3"/>
          </w:tcPr>
          <w:p>
            <w:pPr>
              <w:spacing w:after="0" w:line="20" w:lineRule="exact"/>
              <w:rPr>
                <w:sz w:val="1"/>
                <w:szCs w:val="1"/>
                <w:color w:val="auto"/>
              </w:rPr>
            </w:pPr>
          </w:p>
        </w:tc>
        <w:tc>
          <w:tcPr>
            <w:tcW w:w="1820" w:type="dxa"/>
            <w:vAlign w:val="bottom"/>
            <w:gridSpan w:val="3"/>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11.</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Executive Compensation</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68</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420" w:type="dxa"/>
            <w:vAlign w:val="bottom"/>
            <w:tcBorders>
              <w:right w:val="single" w:sz="8" w:color="0000EE"/>
            </w:tcBorders>
            <w:gridSpan w:val="2"/>
          </w:tcPr>
          <w:p>
            <w:pPr>
              <w:spacing w:after="0" w:line="20" w:lineRule="exact"/>
              <w:rPr>
                <w:sz w:val="1"/>
                <w:szCs w:val="1"/>
                <w:color w:val="auto"/>
              </w:rPr>
            </w:pPr>
          </w:p>
        </w:tc>
        <w:tc>
          <w:tcPr>
            <w:tcW w:w="1520" w:type="dxa"/>
            <w:vAlign w:val="bottom"/>
            <w:gridSpan w:val="7"/>
            <w:shd w:val="clear" w:color="auto" w:fill="0000FF"/>
          </w:tcPr>
          <w:p>
            <w:pPr>
              <w:spacing w:after="0" w:line="20" w:lineRule="exact"/>
              <w:rPr>
                <w:sz w:val="1"/>
                <w:szCs w:val="1"/>
                <w:color w:val="auto"/>
              </w:rPr>
            </w:pPr>
          </w:p>
        </w:tc>
        <w:tc>
          <w:tcPr>
            <w:tcW w:w="280" w:type="dxa"/>
            <w:vAlign w:val="bottom"/>
            <w:tcBorders>
              <w:right w:val="single" w:sz="8" w:color="0000EE"/>
            </w:tcBorders>
            <w:gridSpan w:val="2"/>
            <w:shd w:val="clear" w:color="auto" w:fill="0000FF"/>
          </w:tcPr>
          <w:p>
            <w:pPr>
              <w:spacing w:after="0" w:line="20" w:lineRule="exact"/>
              <w:rPr>
                <w:sz w:val="1"/>
                <w:szCs w:val="1"/>
                <w:color w:val="auto"/>
              </w:rPr>
            </w:pPr>
          </w:p>
        </w:tc>
        <w:tc>
          <w:tcPr>
            <w:tcW w:w="104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2560" w:type="dxa"/>
            <w:vAlign w:val="bottom"/>
            <w:gridSpan w:val="5"/>
          </w:tcPr>
          <w:p>
            <w:pPr>
              <w:spacing w:after="0" w:line="20" w:lineRule="exact"/>
              <w:rPr>
                <w:sz w:val="1"/>
                <w:szCs w:val="1"/>
                <w:color w:val="auto"/>
              </w:rPr>
            </w:pPr>
          </w:p>
        </w:tc>
        <w:tc>
          <w:tcPr>
            <w:tcW w:w="1820" w:type="dxa"/>
            <w:vAlign w:val="bottom"/>
            <w:gridSpan w:val="3"/>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12.</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Security Ownership of Certain Beneficial Owners and Management and Related Stockholder Matters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68</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420" w:type="dxa"/>
            <w:vAlign w:val="bottom"/>
            <w:tcBorders>
              <w:right w:val="single" w:sz="8" w:color="0000EE"/>
            </w:tcBorders>
            <w:gridSpan w:val="2"/>
          </w:tcPr>
          <w:p>
            <w:pPr>
              <w:spacing w:after="0" w:line="20" w:lineRule="exact"/>
              <w:rPr>
                <w:sz w:val="1"/>
                <w:szCs w:val="1"/>
                <w:color w:val="auto"/>
              </w:rPr>
            </w:pPr>
          </w:p>
        </w:tc>
        <w:tc>
          <w:tcPr>
            <w:tcW w:w="1520" w:type="dxa"/>
            <w:vAlign w:val="bottom"/>
            <w:gridSpan w:val="7"/>
            <w:shd w:val="clear" w:color="auto" w:fill="0000FF"/>
          </w:tcPr>
          <w:p>
            <w:pPr>
              <w:spacing w:after="0" w:line="20" w:lineRule="exact"/>
              <w:rPr>
                <w:sz w:val="1"/>
                <w:szCs w:val="1"/>
                <w:color w:val="auto"/>
              </w:rPr>
            </w:pPr>
          </w:p>
        </w:tc>
        <w:tc>
          <w:tcPr>
            <w:tcW w:w="1320" w:type="dxa"/>
            <w:vAlign w:val="bottom"/>
            <w:gridSpan w:val="4"/>
            <w:shd w:val="clear" w:color="auto" w:fill="0000FF"/>
          </w:tcPr>
          <w:p>
            <w:pPr>
              <w:spacing w:after="0" w:line="20" w:lineRule="exact"/>
              <w:rPr>
                <w:sz w:val="1"/>
                <w:szCs w:val="1"/>
                <w:color w:val="auto"/>
              </w:rPr>
            </w:pPr>
          </w:p>
        </w:tc>
        <w:tc>
          <w:tcPr>
            <w:tcW w:w="40" w:type="dxa"/>
            <w:vAlign w:val="bottom"/>
            <w:shd w:val="clear" w:color="auto" w:fill="0000FF"/>
          </w:tcPr>
          <w:p>
            <w:pPr>
              <w:spacing w:after="0" w:line="20" w:lineRule="exact"/>
              <w:rPr>
                <w:sz w:val="1"/>
                <w:szCs w:val="1"/>
                <w:color w:val="auto"/>
              </w:rPr>
            </w:pPr>
          </w:p>
        </w:tc>
        <w:tc>
          <w:tcPr>
            <w:tcW w:w="2560" w:type="dxa"/>
            <w:vAlign w:val="bottom"/>
            <w:gridSpan w:val="5"/>
            <w:shd w:val="clear" w:color="auto" w:fill="0000FF"/>
          </w:tcPr>
          <w:p>
            <w:pPr>
              <w:spacing w:after="0" w:line="20" w:lineRule="exact"/>
              <w:rPr>
                <w:sz w:val="1"/>
                <w:szCs w:val="1"/>
                <w:color w:val="auto"/>
              </w:rPr>
            </w:pPr>
          </w:p>
        </w:tc>
        <w:tc>
          <w:tcPr>
            <w:tcW w:w="1820" w:type="dxa"/>
            <w:vAlign w:val="bottom"/>
            <w:gridSpan w:val="3"/>
            <w:shd w:val="clear" w:color="auto" w:fill="0000FF"/>
          </w:tcPr>
          <w:p>
            <w:pPr>
              <w:spacing w:after="0" w:line="20" w:lineRule="exact"/>
              <w:rPr>
                <w:sz w:val="1"/>
                <w:szCs w:val="1"/>
                <w:color w:val="auto"/>
              </w:rPr>
            </w:pPr>
          </w:p>
        </w:tc>
        <w:tc>
          <w:tcPr>
            <w:tcW w:w="2240" w:type="dxa"/>
            <w:vAlign w:val="bottom"/>
            <w:gridSpan w:val="2"/>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13.</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Certain Relationships and Related Transactions, and Director Independence</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68</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740" w:type="dxa"/>
            <w:vAlign w:val="bottom"/>
            <w:gridSpan w:val="3"/>
          </w:tcPr>
          <w:p>
            <w:pPr>
              <w:spacing w:after="0" w:line="20" w:lineRule="exact"/>
              <w:rPr>
                <w:sz w:val="1"/>
                <w:szCs w:val="1"/>
                <w:color w:val="auto"/>
              </w:rPr>
            </w:pPr>
          </w:p>
        </w:tc>
        <w:tc>
          <w:tcPr>
            <w:tcW w:w="420" w:type="dxa"/>
            <w:vAlign w:val="bottom"/>
            <w:tcBorders>
              <w:right w:val="single" w:sz="8" w:color="0000EE"/>
            </w:tcBorders>
            <w:gridSpan w:val="2"/>
          </w:tcPr>
          <w:p>
            <w:pPr>
              <w:spacing w:after="0" w:line="20" w:lineRule="exact"/>
              <w:rPr>
                <w:sz w:val="1"/>
                <w:szCs w:val="1"/>
                <w:color w:val="auto"/>
              </w:rPr>
            </w:pPr>
          </w:p>
        </w:tc>
        <w:tc>
          <w:tcPr>
            <w:tcW w:w="1520" w:type="dxa"/>
            <w:vAlign w:val="bottom"/>
            <w:gridSpan w:val="7"/>
            <w:shd w:val="clear" w:color="auto" w:fill="0000FF"/>
          </w:tcPr>
          <w:p>
            <w:pPr>
              <w:spacing w:after="0" w:line="20" w:lineRule="exact"/>
              <w:rPr>
                <w:sz w:val="1"/>
                <w:szCs w:val="1"/>
                <w:color w:val="auto"/>
              </w:rPr>
            </w:pPr>
          </w:p>
        </w:tc>
        <w:tc>
          <w:tcPr>
            <w:tcW w:w="1320" w:type="dxa"/>
            <w:vAlign w:val="bottom"/>
            <w:gridSpan w:val="4"/>
            <w:shd w:val="clear" w:color="auto" w:fill="0000FF"/>
          </w:tcPr>
          <w:p>
            <w:pPr>
              <w:spacing w:after="0" w:line="20" w:lineRule="exact"/>
              <w:rPr>
                <w:sz w:val="1"/>
                <w:szCs w:val="1"/>
                <w:color w:val="auto"/>
              </w:rPr>
            </w:pPr>
          </w:p>
        </w:tc>
        <w:tc>
          <w:tcPr>
            <w:tcW w:w="40" w:type="dxa"/>
            <w:vAlign w:val="bottom"/>
            <w:shd w:val="clear" w:color="auto" w:fill="0000FF"/>
          </w:tcPr>
          <w:p>
            <w:pPr>
              <w:spacing w:after="0" w:line="20" w:lineRule="exact"/>
              <w:rPr>
                <w:sz w:val="1"/>
                <w:szCs w:val="1"/>
                <w:color w:val="auto"/>
              </w:rPr>
            </w:pPr>
          </w:p>
        </w:tc>
        <w:tc>
          <w:tcPr>
            <w:tcW w:w="2560" w:type="dxa"/>
            <w:vAlign w:val="bottom"/>
            <w:gridSpan w:val="5"/>
            <w:shd w:val="clear" w:color="auto" w:fill="0000FF"/>
          </w:tcPr>
          <w:p>
            <w:pPr>
              <w:spacing w:after="0" w:line="20" w:lineRule="exact"/>
              <w:rPr>
                <w:sz w:val="1"/>
                <w:szCs w:val="1"/>
                <w:color w:val="auto"/>
              </w:rPr>
            </w:pPr>
          </w:p>
        </w:tc>
        <w:tc>
          <w:tcPr>
            <w:tcW w:w="4060" w:type="dxa"/>
            <w:vAlign w:val="bottom"/>
            <w:gridSpan w:val="5"/>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14.</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Principal Accountant Fees and Services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68</w:t>
            </w:r>
          </w:p>
        </w:tc>
        <w:tc>
          <w:tcPr>
            <w:tcW w:w="0" w:type="dxa"/>
            <w:vAlign w:val="bottom"/>
          </w:tcPr>
          <w:p>
            <w:pPr>
              <w:spacing w:after="0"/>
              <w:rPr>
                <w:sz w:val="1"/>
                <w:szCs w:val="1"/>
                <w:color w:val="auto"/>
              </w:rPr>
            </w:pPr>
          </w:p>
        </w:tc>
      </w:tr>
      <w:tr>
        <w:trPr>
          <w:trHeight w:val="439"/>
        </w:trPr>
        <w:tc>
          <w:tcPr>
            <w:tcW w:w="20" w:type="dxa"/>
            <w:vAlign w:val="bottom"/>
          </w:tcPr>
          <w:p>
            <w:pPr>
              <w:spacing w:after="0"/>
              <w:rPr>
                <w:sz w:val="24"/>
                <w:szCs w:val="24"/>
                <w:color w:val="auto"/>
              </w:rPr>
            </w:pPr>
          </w:p>
        </w:tc>
        <w:tc>
          <w:tcPr>
            <w:tcW w:w="740" w:type="dxa"/>
            <w:vAlign w:val="bottom"/>
            <w:tcBorders>
              <w:bottom w:val="single" w:sz="8" w:color="0000EE"/>
            </w:tcBorders>
            <w:gridSpan w:val="3"/>
          </w:tcPr>
          <w:p>
            <w:pPr>
              <w:spacing w:after="0"/>
              <w:rPr>
                <w:sz w:val="20"/>
                <w:szCs w:val="20"/>
                <w:color w:val="auto"/>
              </w:rPr>
            </w:pPr>
            <w:r>
              <w:rPr>
                <w:rFonts w:ascii="Times New Roman" w:cs="Times New Roman" w:eastAsia="Times New Roman" w:hAnsi="Times New Roman"/>
                <w:sz w:val="18"/>
                <w:szCs w:val="18"/>
                <w:b w:val="1"/>
                <w:bCs w:val="1"/>
                <w:color w:val="auto"/>
                <w:w w:val="97"/>
              </w:rPr>
              <w:t>PART IV</w:t>
            </w:r>
          </w:p>
        </w:tc>
        <w:tc>
          <w:tcPr>
            <w:tcW w:w="420" w:type="dxa"/>
            <w:vAlign w:val="bottom"/>
            <w:gridSpan w:val="2"/>
          </w:tcPr>
          <w:p>
            <w:pPr>
              <w:spacing w:after="0"/>
              <w:rPr>
                <w:sz w:val="24"/>
                <w:szCs w:val="24"/>
                <w:color w:val="auto"/>
              </w:rPr>
            </w:pPr>
          </w:p>
        </w:tc>
        <w:tc>
          <w:tcPr>
            <w:tcW w:w="640" w:type="dxa"/>
            <w:vAlign w:val="bottom"/>
            <w:tcBorders>
              <w:top w:val="single" w:sz="8" w:color="0000FF"/>
            </w:tcBorders>
          </w:tcPr>
          <w:p>
            <w:pPr>
              <w:spacing w:after="0"/>
              <w:rPr>
                <w:sz w:val="24"/>
                <w:szCs w:val="24"/>
                <w:color w:val="auto"/>
              </w:rPr>
            </w:pPr>
          </w:p>
        </w:tc>
        <w:tc>
          <w:tcPr>
            <w:tcW w:w="80" w:type="dxa"/>
            <w:vAlign w:val="bottom"/>
            <w:tcBorders>
              <w:top w:val="single" w:sz="8" w:color="0000FF"/>
            </w:tcBorders>
          </w:tcPr>
          <w:p>
            <w:pPr>
              <w:spacing w:after="0"/>
              <w:rPr>
                <w:sz w:val="24"/>
                <w:szCs w:val="24"/>
                <w:color w:val="auto"/>
              </w:rPr>
            </w:pPr>
          </w:p>
        </w:tc>
        <w:tc>
          <w:tcPr>
            <w:tcW w:w="60" w:type="dxa"/>
            <w:vAlign w:val="bottom"/>
            <w:tcBorders>
              <w:top w:val="single" w:sz="8" w:color="0000FF"/>
            </w:tcBorders>
          </w:tcPr>
          <w:p>
            <w:pPr>
              <w:spacing w:after="0"/>
              <w:rPr>
                <w:sz w:val="24"/>
                <w:szCs w:val="24"/>
                <w:color w:val="auto"/>
              </w:rPr>
            </w:pPr>
          </w:p>
        </w:tc>
        <w:tc>
          <w:tcPr>
            <w:tcW w:w="120" w:type="dxa"/>
            <w:vAlign w:val="bottom"/>
            <w:tcBorders>
              <w:top w:val="single" w:sz="8" w:color="0000FF"/>
            </w:tcBorders>
          </w:tcPr>
          <w:p>
            <w:pPr>
              <w:spacing w:after="0"/>
              <w:rPr>
                <w:sz w:val="24"/>
                <w:szCs w:val="24"/>
                <w:color w:val="auto"/>
              </w:rPr>
            </w:pPr>
          </w:p>
        </w:tc>
        <w:tc>
          <w:tcPr>
            <w:tcW w:w="80" w:type="dxa"/>
            <w:vAlign w:val="bottom"/>
            <w:tcBorders>
              <w:top w:val="single" w:sz="8" w:color="0000FF"/>
            </w:tcBorders>
          </w:tcPr>
          <w:p>
            <w:pPr>
              <w:spacing w:after="0"/>
              <w:rPr>
                <w:sz w:val="24"/>
                <w:szCs w:val="24"/>
                <w:color w:val="auto"/>
              </w:rPr>
            </w:pPr>
          </w:p>
        </w:tc>
        <w:tc>
          <w:tcPr>
            <w:tcW w:w="320" w:type="dxa"/>
            <w:vAlign w:val="bottom"/>
            <w:tcBorders>
              <w:top w:val="single" w:sz="8" w:color="0000FF"/>
            </w:tcBorders>
          </w:tcPr>
          <w:p>
            <w:pPr>
              <w:spacing w:after="0"/>
              <w:rPr>
                <w:sz w:val="24"/>
                <w:szCs w:val="24"/>
                <w:color w:val="auto"/>
              </w:rPr>
            </w:pPr>
          </w:p>
        </w:tc>
        <w:tc>
          <w:tcPr>
            <w:tcW w:w="220" w:type="dxa"/>
            <w:vAlign w:val="bottom"/>
            <w:tcBorders>
              <w:top w:val="single" w:sz="8" w:color="0000FF"/>
            </w:tcBorders>
          </w:tcPr>
          <w:p>
            <w:pPr>
              <w:spacing w:after="0"/>
              <w:rPr>
                <w:sz w:val="24"/>
                <w:szCs w:val="24"/>
                <w:color w:val="auto"/>
              </w:rPr>
            </w:pPr>
          </w:p>
        </w:tc>
        <w:tc>
          <w:tcPr>
            <w:tcW w:w="220" w:type="dxa"/>
            <w:vAlign w:val="bottom"/>
            <w:tcBorders>
              <w:top w:val="single" w:sz="8" w:color="0000FF"/>
            </w:tcBorders>
          </w:tcPr>
          <w:p>
            <w:pPr>
              <w:spacing w:after="0"/>
              <w:rPr>
                <w:sz w:val="24"/>
                <w:szCs w:val="24"/>
                <w:color w:val="auto"/>
              </w:rPr>
            </w:pPr>
          </w:p>
        </w:tc>
        <w:tc>
          <w:tcPr>
            <w:tcW w:w="60" w:type="dxa"/>
            <w:vAlign w:val="bottom"/>
            <w:tcBorders>
              <w:top w:val="single" w:sz="8" w:color="0000FF"/>
            </w:tcBorders>
          </w:tcPr>
          <w:p>
            <w:pPr>
              <w:spacing w:after="0"/>
              <w:rPr>
                <w:sz w:val="24"/>
                <w:szCs w:val="24"/>
                <w:color w:val="auto"/>
              </w:rPr>
            </w:pPr>
          </w:p>
        </w:tc>
        <w:tc>
          <w:tcPr>
            <w:tcW w:w="220" w:type="dxa"/>
            <w:vAlign w:val="bottom"/>
            <w:tcBorders>
              <w:top w:val="single" w:sz="8" w:color="0000FF"/>
            </w:tcBorders>
          </w:tcPr>
          <w:p>
            <w:pPr>
              <w:spacing w:after="0"/>
              <w:rPr>
                <w:sz w:val="24"/>
                <w:szCs w:val="24"/>
                <w:color w:val="auto"/>
              </w:rPr>
            </w:pPr>
          </w:p>
        </w:tc>
        <w:tc>
          <w:tcPr>
            <w:tcW w:w="820" w:type="dxa"/>
            <w:vAlign w:val="bottom"/>
            <w:tcBorders>
              <w:top w:val="single" w:sz="8" w:color="0000FF"/>
            </w:tcBorders>
          </w:tcPr>
          <w:p>
            <w:pPr>
              <w:spacing w:after="0"/>
              <w:rPr>
                <w:sz w:val="24"/>
                <w:szCs w:val="24"/>
                <w:color w:val="auto"/>
              </w:rPr>
            </w:pPr>
          </w:p>
        </w:tc>
        <w:tc>
          <w:tcPr>
            <w:tcW w:w="40" w:type="dxa"/>
            <w:vAlign w:val="bottom"/>
          </w:tcPr>
          <w:p>
            <w:pPr>
              <w:spacing w:after="0"/>
              <w:rPr>
                <w:sz w:val="24"/>
                <w:szCs w:val="24"/>
                <w:color w:val="auto"/>
              </w:rPr>
            </w:pPr>
          </w:p>
        </w:tc>
        <w:tc>
          <w:tcPr>
            <w:tcW w:w="44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10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142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15.</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Exhibits, Financial Statement Schedules</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69</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1160" w:type="dxa"/>
            <w:vAlign w:val="bottom"/>
            <w:tcBorders>
              <w:right w:val="single" w:sz="8" w:color="0000EE"/>
            </w:tcBorders>
            <w:gridSpan w:val="5"/>
          </w:tcPr>
          <w:p>
            <w:pPr>
              <w:spacing w:after="0" w:line="20" w:lineRule="exact"/>
              <w:rPr>
                <w:sz w:val="1"/>
                <w:szCs w:val="1"/>
                <w:color w:val="auto"/>
              </w:rPr>
            </w:pPr>
          </w:p>
        </w:tc>
        <w:tc>
          <w:tcPr>
            <w:tcW w:w="1520" w:type="dxa"/>
            <w:vAlign w:val="bottom"/>
            <w:gridSpan w:val="7"/>
            <w:shd w:val="clear" w:color="auto" w:fill="0000FF"/>
          </w:tcPr>
          <w:p>
            <w:pPr>
              <w:spacing w:after="0" w:line="20" w:lineRule="exact"/>
              <w:rPr>
                <w:sz w:val="1"/>
                <w:szCs w:val="1"/>
                <w:color w:val="auto"/>
              </w:rPr>
            </w:pPr>
          </w:p>
        </w:tc>
        <w:tc>
          <w:tcPr>
            <w:tcW w:w="1360" w:type="dxa"/>
            <w:vAlign w:val="bottom"/>
            <w:gridSpan w:val="5"/>
            <w:shd w:val="clear" w:color="auto" w:fill="0000FF"/>
          </w:tcPr>
          <w:p>
            <w:pPr>
              <w:spacing w:after="0" w:line="20" w:lineRule="exact"/>
              <w:rPr>
                <w:sz w:val="1"/>
                <w:szCs w:val="1"/>
                <w:color w:val="auto"/>
              </w:rPr>
            </w:pPr>
          </w:p>
        </w:tc>
        <w:tc>
          <w:tcPr>
            <w:tcW w:w="6620" w:type="dxa"/>
            <w:vAlign w:val="bottom"/>
            <w:gridSpan w:val="10"/>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20" w:type="dxa"/>
            <w:vAlign w:val="bottom"/>
          </w:tcPr>
          <w:p>
            <w:pPr>
              <w:spacing w:after="0"/>
              <w:rPr>
                <w:sz w:val="24"/>
                <w:szCs w:val="24"/>
                <w:color w:val="auto"/>
              </w:rPr>
            </w:pPr>
          </w:p>
        </w:tc>
        <w:tc>
          <w:tcPr>
            <w:tcW w:w="1160" w:type="dxa"/>
            <w:vAlign w:val="bottom"/>
            <w:gridSpan w:val="5"/>
          </w:tcPr>
          <w:p>
            <w:pPr>
              <w:spacing w:after="0"/>
              <w:rPr>
                <w:sz w:val="20"/>
                <w:szCs w:val="20"/>
                <w:color w:val="auto"/>
              </w:rPr>
            </w:pPr>
            <w:r>
              <w:rPr>
                <w:rFonts w:ascii="Times New Roman" w:cs="Times New Roman" w:eastAsia="Times New Roman" w:hAnsi="Times New Roman"/>
                <w:sz w:val="18"/>
                <w:szCs w:val="18"/>
                <w:color w:val="auto"/>
              </w:rPr>
              <w:t>Item 16.</w:t>
            </w:r>
          </w:p>
        </w:tc>
        <w:tc>
          <w:tcPr>
            <w:tcW w:w="9500" w:type="dxa"/>
            <w:vAlign w:val="bottom"/>
            <w:gridSpan w:val="22"/>
          </w:tcPr>
          <w:p>
            <w:pPr>
              <w:spacing w:after="0"/>
              <w:rPr>
                <w:sz w:val="20"/>
                <w:szCs w:val="20"/>
                <w:color w:val="auto"/>
              </w:rPr>
            </w:pPr>
            <w:r>
              <w:rPr>
                <w:rFonts w:ascii="Times New Roman" w:cs="Times New Roman" w:eastAsia="Times New Roman" w:hAnsi="Times New Roman"/>
                <w:sz w:val="18"/>
                <w:szCs w:val="18"/>
                <w:color w:val="0000FF"/>
              </w:rPr>
              <w:t>Form 10-K Summary</w:t>
            </w:r>
          </w:p>
        </w:tc>
        <w:tc>
          <w:tcPr>
            <w:tcW w:w="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69</w:t>
            </w:r>
          </w:p>
        </w:tc>
        <w:tc>
          <w:tcPr>
            <w:tcW w:w="0" w:type="dxa"/>
            <w:vAlign w:val="bottom"/>
          </w:tcPr>
          <w:p>
            <w:pPr>
              <w:spacing w:after="0"/>
              <w:rPr>
                <w:sz w:val="1"/>
                <w:szCs w:val="1"/>
                <w:color w:val="auto"/>
              </w:rPr>
            </w:pPr>
          </w:p>
        </w:tc>
      </w:tr>
      <w:tr>
        <w:trPr>
          <w:trHeight w:val="669"/>
        </w:trPr>
        <w:tc>
          <w:tcPr>
            <w:tcW w:w="2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400" w:type="dxa"/>
            <w:vAlign w:val="bottom"/>
          </w:tcPr>
          <w:p>
            <w:pPr>
              <w:spacing w:after="0"/>
              <w:rPr>
                <w:sz w:val="24"/>
                <w:szCs w:val="24"/>
                <w:color w:val="auto"/>
              </w:rPr>
            </w:pPr>
          </w:p>
        </w:tc>
        <w:tc>
          <w:tcPr>
            <w:tcW w:w="1520" w:type="dxa"/>
            <w:vAlign w:val="bottom"/>
            <w:tcBorders>
              <w:top w:val="single" w:sz="8" w:color="0000FF"/>
            </w:tcBorders>
            <w:gridSpan w:val="7"/>
          </w:tcPr>
          <w:p>
            <w:pPr>
              <w:spacing w:after="0"/>
              <w:rPr>
                <w:sz w:val="24"/>
                <w:szCs w:val="24"/>
                <w:color w:val="auto"/>
              </w:rPr>
            </w:pPr>
          </w:p>
        </w:tc>
        <w:tc>
          <w:tcPr>
            <w:tcW w:w="3400" w:type="dxa"/>
            <w:vAlign w:val="bottom"/>
            <w:gridSpan w:val="9"/>
          </w:tcPr>
          <w:p>
            <w:pPr>
              <w:jc w:val="center"/>
              <w:ind w:left="2350"/>
              <w:spacing w:after="0"/>
              <w:rPr>
                <w:sz w:val="20"/>
                <w:szCs w:val="20"/>
                <w:color w:val="auto"/>
              </w:rPr>
            </w:pPr>
            <w:r>
              <w:rPr>
                <w:rFonts w:ascii="Times New Roman" w:cs="Times New Roman" w:eastAsia="Times New Roman" w:hAnsi="Times New Roman"/>
                <w:sz w:val="18"/>
                <w:szCs w:val="18"/>
                <w:color w:val="auto"/>
                <w:w w:val="88"/>
              </w:rPr>
              <w:t>2</w:t>
            </w:r>
          </w:p>
        </w:tc>
        <w:tc>
          <w:tcPr>
            <w:tcW w:w="520" w:type="dxa"/>
            <w:vAlign w:val="bottom"/>
          </w:tcPr>
          <w:p>
            <w:pPr>
              <w:spacing w:after="0"/>
              <w:rPr>
                <w:sz w:val="24"/>
                <w:szCs w:val="24"/>
                <w:color w:val="auto"/>
              </w:rPr>
            </w:pPr>
          </w:p>
        </w:tc>
        <w:tc>
          <w:tcPr>
            <w:tcW w:w="10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142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63"/>
        </w:trPr>
        <w:tc>
          <w:tcPr>
            <w:tcW w:w="20" w:type="dxa"/>
            <w:vAlign w:val="bottom"/>
            <w:tcBorders>
              <w:bottom w:val="single" w:sz="8" w:color="9A9A9A"/>
            </w:tcBorders>
          </w:tcPr>
          <w:p>
            <w:pPr>
              <w:spacing w:after="0"/>
              <w:rPr>
                <w:sz w:val="24"/>
                <w:szCs w:val="24"/>
                <w:color w:val="auto"/>
              </w:rPr>
            </w:pPr>
          </w:p>
        </w:tc>
        <w:tc>
          <w:tcPr>
            <w:tcW w:w="60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6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400" w:type="dxa"/>
            <w:vAlign w:val="bottom"/>
            <w:tcBorders>
              <w:bottom w:val="single" w:sz="8" w:color="9A9A9A"/>
            </w:tcBorders>
          </w:tcPr>
          <w:p>
            <w:pPr>
              <w:spacing w:after="0"/>
              <w:rPr>
                <w:sz w:val="24"/>
                <w:szCs w:val="24"/>
                <w:color w:val="auto"/>
              </w:rPr>
            </w:pPr>
          </w:p>
        </w:tc>
        <w:tc>
          <w:tcPr>
            <w:tcW w:w="64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6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32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6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820" w:type="dxa"/>
            <w:vAlign w:val="bottom"/>
            <w:tcBorders>
              <w:bottom w:val="single" w:sz="8" w:color="9A9A9A"/>
            </w:tcBorders>
          </w:tcPr>
          <w:p>
            <w:pPr>
              <w:spacing w:after="0"/>
              <w:rPr>
                <w:sz w:val="24"/>
                <w:szCs w:val="24"/>
                <w:color w:val="auto"/>
              </w:rPr>
            </w:pPr>
          </w:p>
        </w:tc>
        <w:tc>
          <w:tcPr>
            <w:tcW w:w="40" w:type="dxa"/>
            <w:vAlign w:val="bottom"/>
            <w:tcBorders>
              <w:bottom w:val="single" w:sz="8" w:color="9A9A9A"/>
            </w:tcBorders>
          </w:tcPr>
          <w:p>
            <w:pPr>
              <w:spacing w:after="0"/>
              <w:rPr>
                <w:sz w:val="24"/>
                <w:szCs w:val="24"/>
                <w:color w:val="auto"/>
              </w:rPr>
            </w:pPr>
          </w:p>
        </w:tc>
        <w:tc>
          <w:tcPr>
            <w:tcW w:w="440" w:type="dxa"/>
            <w:vAlign w:val="bottom"/>
            <w:tcBorders>
              <w:bottom w:val="single" w:sz="8" w:color="9A9A9A"/>
            </w:tcBorders>
          </w:tcPr>
          <w:p>
            <w:pPr>
              <w:spacing w:after="0"/>
              <w:rPr>
                <w:sz w:val="24"/>
                <w:szCs w:val="24"/>
                <w:color w:val="auto"/>
              </w:rPr>
            </w:pPr>
          </w:p>
        </w:tc>
        <w:tc>
          <w:tcPr>
            <w:tcW w:w="760" w:type="dxa"/>
            <w:vAlign w:val="bottom"/>
            <w:tcBorders>
              <w:bottom w:val="single" w:sz="8" w:color="9A9A9A"/>
            </w:tcBorders>
          </w:tcPr>
          <w:p>
            <w:pPr>
              <w:spacing w:after="0"/>
              <w:rPr>
                <w:sz w:val="24"/>
                <w:szCs w:val="24"/>
                <w:color w:val="auto"/>
              </w:rPr>
            </w:pPr>
          </w:p>
        </w:tc>
        <w:tc>
          <w:tcPr>
            <w:tcW w:w="260" w:type="dxa"/>
            <w:vAlign w:val="bottom"/>
            <w:tcBorders>
              <w:bottom w:val="single" w:sz="8" w:color="9A9A9A"/>
            </w:tcBorders>
          </w:tcPr>
          <w:p>
            <w:pPr>
              <w:spacing w:after="0"/>
              <w:rPr>
                <w:sz w:val="24"/>
                <w:szCs w:val="24"/>
                <w:color w:val="auto"/>
              </w:rPr>
            </w:pPr>
          </w:p>
        </w:tc>
        <w:tc>
          <w:tcPr>
            <w:tcW w:w="580" w:type="dxa"/>
            <w:vAlign w:val="bottom"/>
            <w:tcBorders>
              <w:bottom w:val="single" w:sz="8" w:color="9A9A9A"/>
            </w:tcBorders>
          </w:tcPr>
          <w:p>
            <w:pPr>
              <w:spacing w:after="0"/>
              <w:rPr>
                <w:sz w:val="24"/>
                <w:szCs w:val="24"/>
                <w:color w:val="auto"/>
              </w:rPr>
            </w:pPr>
          </w:p>
        </w:tc>
        <w:tc>
          <w:tcPr>
            <w:tcW w:w="520" w:type="dxa"/>
            <w:vAlign w:val="bottom"/>
            <w:tcBorders>
              <w:bottom w:val="single" w:sz="8" w:color="9A9A9A"/>
            </w:tcBorders>
          </w:tcPr>
          <w:p>
            <w:pPr>
              <w:spacing w:after="0"/>
              <w:rPr>
                <w:sz w:val="24"/>
                <w:szCs w:val="24"/>
                <w:color w:val="auto"/>
              </w:rPr>
            </w:pPr>
          </w:p>
        </w:tc>
        <w:tc>
          <w:tcPr>
            <w:tcW w:w="100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800" w:type="dxa"/>
            <w:vAlign w:val="bottom"/>
            <w:tcBorders>
              <w:bottom w:val="single" w:sz="8" w:color="9A9A9A"/>
            </w:tcBorders>
          </w:tcPr>
          <w:p>
            <w:pPr>
              <w:spacing w:after="0"/>
              <w:rPr>
                <w:sz w:val="24"/>
                <w:szCs w:val="24"/>
                <w:color w:val="auto"/>
              </w:rPr>
            </w:pPr>
          </w:p>
        </w:tc>
        <w:tc>
          <w:tcPr>
            <w:tcW w:w="820" w:type="dxa"/>
            <w:vAlign w:val="bottom"/>
            <w:tcBorders>
              <w:bottom w:val="single" w:sz="8" w:color="9A9A9A"/>
            </w:tcBorders>
          </w:tcPr>
          <w:p>
            <w:pPr>
              <w:spacing w:after="0"/>
              <w:rPr>
                <w:sz w:val="24"/>
                <w:szCs w:val="24"/>
                <w:color w:val="auto"/>
              </w:rPr>
            </w:pPr>
          </w:p>
        </w:tc>
        <w:tc>
          <w:tcPr>
            <w:tcW w:w="1420" w:type="dxa"/>
            <w:vAlign w:val="bottom"/>
            <w:tcBorders>
              <w:bottom w:val="single" w:sz="8" w:color="9A9A9A"/>
            </w:tcBorders>
          </w:tcPr>
          <w:p>
            <w:pPr>
              <w:spacing w:after="0"/>
              <w:rPr>
                <w:sz w:val="24"/>
                <w:szCs w:val="24"/>
                <w:color w:val="auto"/>
              </w:rPr>
            </w:pPr>
          </w:p>
        </w:tc>
        <w:tc>
          <w:tcPr>
            <w:tcW w:w="56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2" w:name="page3"/>
    <w:bookmarkEnd w:id="2"/>
    <w:p>
      <w:pPr>
        <w:jc w:val="both"/>
        <w:spacing w:after="0" w:line="261" w:lineRule="auto"/>
        <w:rPr>
          <w:sz w:val="20"/>
          <w:szCs w:val="20"/>
          <w:color w:val="auto"/>
        </w:rPr>
      </w:pPr>
      <w:r>
        <w:rPr>
          <w:rFonts w:ascii="Times New Roman" w:cs="Times New Roman" w:eastAsia="Times New Roman" w:hAnsi="Times New Roman"/>
          <w:sz w:val="18"/>
          <w:szCs w:val="18"/>
          <w:color w:val="auto"/>
        </w:rPr>
        <w:t>The trademarks and registered trademarks of MicroStrategy Incorporated d/b/a Strategy and its subsidiaries referred to herein include, but are not limited to, Strategy, MicroStrategy, Strategy One, Strategy Auto, Intelligence Everywhere, HyperIntelligence, Strategy Consulting, Strategy Education, Strategy Cloud, Enterprise Semantic Graph, Strategy Services, Strategy Professional Services, Strategy Support, and Intelligent Enterprise. Third-party product and company names mentioned herein may be the trademarks of their respective owners.</w:t>
      </w:r>
    </w:p>
    <w:p>
      <w:pPr>
        <w:spacing w:after="0" w:line="396"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5" w:right="339" w:bottom="1440" w:gutter="0" w:footer="0" w:header="0"/>
        </w:sectPr>
      </w:pPr>
    </w:p>
    <w:bookmarkStart w:id="3" w:name="page4"/>
    <w:bookmarkEnd w:id="3"/>
    <w:p>
      <w:pPr>
        <w:spacing w:after="0"/>
        <w:rPr>
          <w:sz w:val="20"/>
          <w:szCs w:val="20"/>
          <w:color w:val="auto"/>
        </w:rPr>
      </w:pPr>
      <w:r>
        <w:rPr>
          <w:rFonts w:ascii="Times New Roman" w:cs="Times New Roman" w:eastAsia="Times New Roman" w:hAnsi="Times New Roman"/>
          <w:sz w:val="18"/>
          <w:szCs w:val="18"/>
          <w:b w:val="1"/>
          <w:bCs w:val="1"/>
          <w:color w:val="auto"/>
        </w:rPr>
        <w:t>CERTAIN DEFINITIONS</w:t>
      </w:r>
    </w:p>
    <w:p>
      <w:pPr>
        <w:spacing w:after="0" w:line="121"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All references in this Annual Report on Form 10-K (“Annual Report”) to “Strategy”, “MicroStrategy,” the “Company,” “we,” “us,” and “our” refer to MicroStrategy Incorporated d/b/a Strategy and its consolidated subsidiaries (unless the context otherwise indicates).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INFORMATION AND RISK FACTOR SUMMARY</w:t>
      </w:r>
    </w:p>
    <w:p>
      <w:pPr>
        <w:spacing w:after="0" w:line="12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This Annual Report contains forward-looking statements within the meaning of Section 21E of the Securities Exchange Act of 1934, as amended (the “Exchange Act”). For this purpose, any statements contained herein that are not statements of historical fact, including, without limitation, certain statements under “Item 1. Business,” “Item 1A. Risk Factors,” and “Item 7. Management’s Discussion and Analysis of Financial Condition and Results of Operations” and located elsewhere herein concerning our plans, objectives, goals, beliefs, business strategies, future events, business conditions, results of operations, financial position, business outlook, business trends and other information, may be forward-looking statements. Without limiting the foregoing, words such as “might,” “will,” “may,” “should,” “estimates,” “expects,” “continues,” “contemplates,” “anticipates,” “projects,” “plans,” “potential,” “predicts,” “intends,” “believes,” “forecasts,” “future,” “targeted,” “goal” and variations of such words or similar expressions are intended to identify forward-looking statements. The forward-looking statements are not historical facts, and are based upon our current expectations, beliefs, estimates and projections, and various assumptions, many of which, by their nature, are inherently uncertain and beyond our control. Our expectations, beliefs, estimates and projections are expressed in good faith and we believe there is a reasonable basis for them. However, there can be no assurance that management’s expectations, beliefs, estimates and projections will be achieved and actual results may vary materially from what is expressed in or indicated by the forward-looking statements.</w:t>
      </w:r>
    </w:p>
    <w:p>
      <w:pPr>
        <w:spacing w:after="0" w:line="8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There are a number of risks, uncertainties and other important factors, many of which are beyond our control, that could cause our actual results to differ materially from the forward-looking statements contained herein and presented elsewhere by management from time to time. These principal risks, uncertainties and other important factors are discussed more fully under “Item 1A. Risk Factors” and include, but are not limited to, the following:</w:t>
      </w:r>
    </w:p>
    <w:p>
      <w:pPr>
        <w:spacing w:after="0" w:line="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Risks Related to Our Business in General</w:t>
      </w:r>
    </w:p>
    <w:p>
      <w:pPr>
        <w:spacing w:after="0" w:line="119" w:lineRule="exact"/>
        <w:rPr>
          <w:sz w:val="20"/>
          <w:szCs w:val="20"/>
          <w:color w:val="auto"/>
        </w:rPr>
      </w:pPr>
    </w:p>
    <w:p>
      <w:pPr>
        <w:ind w:left="780" w:hanging="203"/>
        <w:spacing w:after="0" w:line="282" w:lineRule="auto"/>
        <w:tabs>
          <w:tab w:leader="none" w:pos="78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quarterly operating results, revenues, and expenses may fluctuate significantly, which could have an adverse effect on the market price of our class A common stock and series A perpetual strike preferred stock, which we refer to collectively as our “listed securities”;</w:t>
      </w:r>
    </w:p>
    <w:p>
      <w:pPr>
        <w:spacing w:after="0" w:line="53" w:lineRule="exact"/>
        <w:rPr>
          <w:rFonts w:ascii="Times New Roman" w:cs="Times New Roman" w:eastAsia="Times New Roman" w:hAnsi="Times New Roman"/>
          <w:sz w:val="18"/>
          <w:szCs w:val="18"/>
          <w:color w:val="auto"/>
        </w:rPr>
      </w:pPr>
    </w:p>
    <w:p>
      <w:pPr>
        <w:ind w:left="780" w:hanging="203"/>
        <w:spacing w:after="0"/>
        <w:tabs>
          <w:tab w:leader="none" w:pos="78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 may not be able to regain profitability in future periods;</w:t>
      </w:r>
    </w:p>
    <w:p>
      <w:pPr>
        <w:spacing w:after="0" w:line="117" w:lineRule="exact"/>
        <w:rPr>
          <w:rFonts w:ascii="Times New Roman" w:cs="Times New Roman" w:eastAsia="Times New Roman" w:hAnsi="Times New Roman"/>
          <w:sz w:val="18"/>
          <w:szCs w:val="18"/>
          <w:color w:val="auto"/>
        </w:rPr>
      </w:pPr>
    </w:p>
    <w:p>
      <w:pPr>
        <w:ind w:left="780" w:hanging="203"/>
        <w:spacing w:after="0"/>
        <w:tabs>
          <w:tab w:leader="none" w:pos="78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significant decrease in the market value of our bitcoin holdings could adversely affect our ability to satisfy our financial obligations;</w:t>
      </w:r>
    </w:p>
    <w:p>
      <w:pPr>
        <w:spacing w:after="0" w:line="117" w:lineRule="exact"/>
        <w:rPr>
          <w:rFonts w:ascii="Times New Roman" w:cs="Times New Roman" w:eastAsia="Times New Roman" w:hAnsi="Times New Roman"/>
          <w:sz w:val="18"/>
          <w:szCs w:val="18"/>
          <w:color w:val="auto"/>
        </w:rPr>
      </w:pPr>
    </w:p>
    <w:p>
      <w:pPr>
        <w:ind w:left="780" w:right="20" w:hanging="203"/>
        <w:spacing w:after="0" w:line="282" w:lineRule="auto"/>
        <w:tabs>
          <w:tab w:leader="none" w:pos="78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Unrealized fair value gains on our bitcoin holdings could cause us to become subject to the corporate alternative minimum tax under the Inflation Reduction Act of 2022;</w:t>
      </w:r>
    </w:p>
    <w:p>
      <w:pPr>
        <w:spacing w:after="0" w:line="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Risks Related to Our Bitcoin Strategy and Holdings</w:t>
      </w:r>
    </w:p>
    <w:p>
      <w:pPr>
        <w:spacing w:after="0" w:line="119" w:lineRule="exact"/>
        <w:rPr>
          <w:sz w:val="20"/>
          <w:szCs w:val="20"/>
          <w:color w:val="auto"/>
        </w:rPr>
      </w:pPr>
    </w:p>
    <w:p>
      <w:pPr>
        <w:ind w:left="780" w:hanging="203"/>
        <w:spacing w:after="0"/>
        <w:tabs>
          <w:tab w:leader="none" w:pos="7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bitcoin strategy exposes us to various risks, including risks associated with bitcoin;</w:t>
      </w:r>
    </w:p>
    <w:p>
      <w:pPr>
        <w:spacing w:after="0" w:line="117" w:lineRule="exact"/>
        <w:rPr>
          <w:rFonts w:ascii="Times New Roman" w:cs="Times New Roman" w:eastAsia="Times New Roman" w:hAnsi="Times New Roman"/>
          <w:sz w:val="18"/>
          <w:szCs w:val="18"/>
          <w:color w:val="auto"/>
        </w:rPr>
      </w:pPr>
    </w:p>
    <w:p>
      <w:pPr>
        <w:ind w:left="780" w:right="20" w:hanging="203"/>
        <w:spacing w:after="0" w:line="282" w:lineRule="auto"/>
        <w:tabs>
          <w:tab w:leader="none" w:pos="7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Bitcoin is a highly volatile asset, and fluctuations in the price of bitcoin have in the past influenced and are likely to continue to influence our financial results and the market price of our listed securities;</w:t>
      </w:r>
    </w:p>
    <w:p>
      <w:pPr>
        <w:spacing w:after="0" w:line="53" w:lineRule="exact"/>
        <w:rPr>
          <w:rFonts w:ascii="Times New Roman" w:cs="Times New Roman" w:eastAsia="Times New Roman" w:hAnsi="Times New Roman"/>
          <w:sz w:val="18"/>
          <w:szCs w:val="18"/>
          <w:color w:val="auto"/>
        </w:rPr>
      </w:pPr>
    </w:p>
    <w:p>
      <w:pPr>
        <w:ind w:left="780" w:hanging="203"/>
        <w:spacing w:after="0"/>
        <w:tabs>
          <w:tab w:leader="none" w:pos="7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Bitcoin and other digital assets are novel assets, and are subject to significant legal, commercial, regulatory and technical uncertainty</w:t>
      </w:r>
    </w:p>
    <w:p>
      <w:pPr>
        <w:spacing w:after="0" w:line="117" w:lineRule="exact"/>
        <w:rPr>
          <w:rFonts w:ascii="Times New Roman" w:cs="Times New Roman" w:eastAsia="Times New Roman" w:hAnsi="Times New Roman"/>
          <w:sz w:val="18"/>
          <w:szCs w:val="18"/>
          <w:color w:val="auto"/>
        </w:rPr>
      </w:pPr>
    </w:p>
    <w:p>
      <w:pPr>
        <w:ind w:left="780" w:right="20" w:hanging="203"/>
        <w:spacing w:after="0" w:line="282" w:lineRule="auto"/>
        <w:tabs>
          <w:tab w:leader="none" w:pos="7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historical financial statements do not reflect the potential variability in earnings that we may experience in the future relating to our bitcoin holdings;</w:t>
      </w:r>
    </w:p>
    <w:p>
      <w:pPr>
        <w:spacing w:after="0" w:line="53"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availability of spot exchange-traded products (“ETPs”) for bitcoin and other digital assets may adversely affect the market price of our listed securities;</w:t>
      </w:r>
    </w:p>
    <w:p>
      <w:pPr>
        <w:spacing w:after="0" w:line="53" w:lineRule="exact"/>
        <w:rPr>
          <w:rFonts w:ascii="Times New Roman" w:cs="Times New Roman" w:eastAsia="Times New Roman" w:hAnsi="Times New Roman"/>
          <w:sz w:val="18"/>
          <w:szCs w:val="18"/>
          <w:color w:val="auto"/>
        </w:rPr>
      </w:pPr>
    </w:p>
    <w:p>
      <w:pPr>
        <w:ind w:left="780" w:hanging="203"/>
        <w:spacing w:after="0"/>
        <w:tabs>
          <w:tab w:leader="none" w:pos="7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bitcoin strategy subjects us to enhanced regulatory oversight;</w:t>
      </w:r>
    </w:p>
    <w:p>
      <w:pPr>
        <w:spacing w:after="0" w:line="117"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Bitcoin trading venues may experience greater fraud, security failures or regulatory or operational problems than trading venues for more established asset classes;</w:t>
      </w:r>
    </w:p>
    <w:p>
      <w:pPr>
        <w:spacing w:after="0" w:line="53" w:lineRule="exact"/>
        <w:rPr>
          <w:rFonts w:ascii="Times New Roman" w:cs="Times New Roman" w:eastAsia="Times New Roman" w:hAnsi="Times New Roman"/>
          <w:sz w:val="18"/>
          <w:szCs w:val="18"/>
          <w:color w:val="auto"/>
        </w:rPr>
      </w:pPr>
    </w:p>
    <w:p>
      <w:pPr>
        <w:ind w:left="780" w:hanging="203"/>
        <w:spacing w:after="0"/>
        <w:tabs>
          <w:tab w:leader="none" w:pos="7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concentration of our bitcoin holdings enhances the risks inherent in our bitcoin strategy;</w:t>
      </w:r>
    </w:p>
    <w:p>
      <w:pPr>
        <w:spacing w:after="0" w:line="117"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bitcoin holdings are less liquid than our existing cash and cash equivalents and may not be able to serve as a source of liquidity for us to the same extent as cash and cash equivalents;</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4" w:name="page5"/>
    <w:bookmarkEnd w:id="4"/>
    <w:p>
      <w:pPr>
        <w:jc w:val="both"/>
        <w:ind w:left="780" w:hanging="203"/>
        <w:spacing w:after="0" w:line="266" w:lineRule="auto"/>
        <w:tabs>
          <w:tab w:leader="none" w:pos="78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we or our third-party service providers experience a security breach or cyberattack and unauthorized parties obtain access to our bitcoin, or if our private keys are lost or destroyed, or other similar circumstances or events occur, we may lose some or all of our bitcoin and our financial condition and results of operations could be materially adversely affected;</w:t>
      </w:r>
    </w:p>
    <w:p>
      <w:pPr>
        <w:spacing w:after="0" w:line="67" w:lineRule="exact"/>
        <w:rPr>
          <w:rFonts w:ascii="Times New Roman" w:cs="Times New Roman" w:eastAsia="Times New Roman" w:hAnsi="Times New Roman"/>
          <w:sz w:val="18"/>
          <w:szCs w:val="18"/>
          <w:color w:val="auto"/>
        </w:rPr>
      </w:pPr>
    </w:p>
    <w:p>
      <w:pPr>
        <w:ind w:left="780" w:right="20" w:hanging="203"/>
        <w:spacing w:after="0" w:line="282" w:lineRule="auto"/>
        <w:tabs>
          <w:tab w:leader="none" w:pos="78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 face risks relating to the custody of our bitcoin, including the loss or destruction of private keys required to access our bitcoin and cyberattacks or other data loss relating to our bitcoin;</w:t>
      </w:r>
    </w:p>
    <w:p>
      <w:pPr>
        <w:spacing w:after="0" w:line="53"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Regulatory change reclassifying bitcoin as a security could lead to our classification as an “investment company” under the Investment Company Act of 1940 and could adversely affect the market price of bitcoin and the market price of our listed securities;</w:t>
      </w:r>
    </w:p>
    <w:p>
      <w:pPr>
        <w:spacing w:after="0" w:line="53" w:lineRule="exact"/>
        <w:rPr>
          <w:rFonts w:ascii="Times New Roman" w:cs="Times New Roman" w:eastAsia="Times New Roman" w:hAnsi="Times New Roman"/>
          <w:sz w:val="18"/>
          <w:szCs w:val="18"/>
          <w:color w:val="auto"/>
        </w:rPr>
      </w:pPr>
    </w:p>
    <w:p>
      <w:pPr>
        <w:ind w:left="780" w:right="20" w:hanging="203"/>
        <w:spacing w:after="0" w:line="282" w:lineRule="auto"/>
        <w:tabs>
          <w:tab w:leader="none" w:pos="78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 are not subject to legal and regulatory obligations that apply to investment companies such as mutual funds and exchange-traded funds, or to obligations applicable to investment advisers;</w:t>
      </w:r>
    </w:p>
    <w:p>
      <w:pPr>
        <w:spacing w:after="0" w:line="53" w:lineRule="exact"/>
        <w:rPr>
          <w:rFonts w:ascii="Times New Roman" w:cs="Times New Roman" w:eastAsia="Times New Roman" w:hAnsi="Times New Roman"/>
          <w:sz w:val="18"/>
          <w:szCs w:val="18"/>
          <w:color w:val="auto"/>
        </w:rPr>
      </w:pPr>
    </w:p>
    <w:p>
      <w:pPr>
        <w:ind w:left="780" w:hanging="203"/>
        <w:spacing w:after="0"/>
        <w:tabs>
          <w:tab w:leader="none" w:pos="78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bitcoin strategy exposes us to risk of non-performance by counterparties;</w:t>
      </w:r>
    </w:p>
    <w:p>
      <w:pPr>
        <w:spacing w:after="0" w:line="11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Risks Related to Our Enterprise Analytics Software Business Strategy</w:t>
      </w:r>
    </w:p>
    <w:p>
      <w:pPr>
        <w:spacing w:after="0" w:line="119" w:lineRule="exact"/>
        <w:rPr>
          <w:sz w:val="20"/>
          <w:szCs w:val="20"/>
          <w:color w:val="auto"/>
        </w:rPr>
      </w:pPr>
    </w:p>
    <w:p>
      <w:pPr>
        <w:ind w:left="780" w:hanging="203"/>
        <w:spacing w:after="0"/>
        <w:tabs>
          <w:tab w:leader="none" w:pos="78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 derive revenue from a single software platform and related services as well as revenue from our installed customer base;</w:t>
      </w:r>
    </w:p>
    <w:p>
      <w:pPr>
        <w:spacing w:after="0" w:line="117"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As our customers increasingly shift from a product license model to a cloud subscription model, we could face higher future rates of attrition, and such a shift could continue to affect the timing of revenue recognition or reduce product licenses and product support revenues;</w:t>
      </w:r>
    </w:p>
    <w:p>
      <w:pPr>
        <w:spacing w:after="0" w:line="53"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Integration of artificial intelligence into our enterprise analytics product offerings and our use of artificial intelligence in our operations could result in reputational or competitive harm, legal liability, and other adverse effects on our business;</w:t>
      </w:r>
    </w:p>
    <w:p>
      <w:pPr>
        <w:spacing w:after="0" w:line="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Risks Related to Our Technology and Intellectual Property</w:t>
      </w:r>
    </w:p>
    <w:p>
      <w:pPr>
        <w:spacing w:after="0" w:line="119" w:lineRule="exact"/>
        <w:rPr>
          <w:sz w:val="20"/>
          <w:szCs w:val="20"/>
          <w:color w:val="auto"/>
        </w:rPr>
      </w:pPr>
    </w:p>
    <w:p>
      <w:pPr>
        <w:ind w:left="780" w:hanging="203"/>
        <w:spacing w:after="0"/>
        <w:tabs>
          <w:tab w:leader="none" w:pos="780"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Third parties may claim we infringe their intellectual property rights;</w:t>
      </w:r>
    </w:p>
    <w:p>
      <w:pPr>
        <w:spacing w:after="0" w:line="117" w:lineRule="exact"/>
        <w:rPr>
          <w:rFonts w:ascii="Times New Roman" w:cs="Times New Roman" w:eastAsia="Times New Roman" w:hAnsi="Times New Roman"/>
          <w:sz w:val="18"/>
          <w:szCs w:val="18"/>
          <w:color w:val="auto"/>
        </w:rPr>
      </w:pPr>
    </w:p>
    <w:p>
      <w:pPr>
        <w:ind w:left="780" w:right="20" w:hanging="203"/>
        <w:spacing w:after="0" w:line="282" w:lineRule="auto"/>
        <w:tabs>
          <w:tab w:leader="none" w:pos="780"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in third-party software or systems or the emergence of new industry standards could materially adversely affect the operation of and demand for our existing software;</w:t>
      </w:r>
    </w:p>
    <w:p>
      <w:pPr>
        <w:spacing w:after="0" w:line="53"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nature of our software makes it particularly susceptible to undetected errors, bugs, or security vulnerabilities, which could cause problems with how the software performs and, in turn, reduce demand for our software, reduce our revenue, and lead to litigation claims against us;</w:t>
      </w:r>
    </w:p>
    <w:p>
      <w:pPr>
        <w:spacing w:after="0" w:line="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Risks Related to Our Operations</w:t>
      </w:r>
    </w:p>
    <w:p>
      <w:pPr>
        <w:spacing w:after="0" w:line="119" w:lineRule="exact"/>
        <w:rPr>
          <w:sz w:val="20"/>
          <w:szCs w:val="20"/>
          <w:color w:val="auto"/>
        </w:rPr>
      </w:pPr>
    </w:p>
    <w:p>
      <w:pPr>
        <w:ind w:left="780" w:hanging="203"/>
        <w:spacing w:after="0"/>
        <w:tabs>
          <w:tab w:leader="none" w:pos="78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Business disruptions could materially adversely affect our operating results or result in a material weakness in our internal controls;</w:t>
      </w:r>
    </w:p>
    <w:p>
      <w:pPr>
        <w:spacing w:after="0" w:line="117" w:lineRule="exact"/>
        <w:rPr>
          <w:rFonts w:ascii="Times New Roman" w:cs="Times New Roman" w:eastAsia="Times New Roman" w:hAnsi="Times New Roman"/>
          <w:sz w:val="18"/>
          <w:szCs w:val="18"/>
          <w:color w:val="auto"/>
        </w:rPr>
      </w:pPr>
    </w:p>
    <w:p>
      <w:pPr>
        <w:jc w:val="both"/>
        <w:ind w:left="780" w:hanging="203"/>
        <w:spacing w:after="0" w:line="266" w:lineRule="auto"/>
        <w:tabs>
          <w:tab w:leader="none" w:pos="78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 face a variety of risks in doing business with U.S. and foreign federal, state, and local governments and government agencies, including risks related to the procurement process, budget constraints and cycles, termination of contracts, and compliance with government contracting requirements;</w:t>
      </w:r>
    </w:p>
    <w:p>
      <w:pPr>
        <w:spacing w:after="0" w:line="67"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we are unable to recruit or retain skilled personnel, or if we lose the services of Michael J. Saylor, our business, operating results, and financial condition could be materially adversely affected;</w:t>
      </w:r>
    </w:p>
    <w:p>
      <w:pPr>
        <w:spacing w:after="0" w:line="53" w:lineRule="exact"/>
        <w:rPr>
          <w:rFonts w:ascii="Times New Roman" w:cs="Times New Roman" w:eastAsia="Times New Roman" w:hAnsi="Times New Roman"/>
          <w:sz w:val="18"/>
          <w:szCs w:val="18"/>
          <w:color w:val="auto"/>
        </w:rPr>
      </w:pPr>
    </w:p>
    <w:p>
      <w:pPr>
        <w:jc w:val="both"/>
        <w:ind w:left="780" w:hanging="203"/>
        <w:spacing w:after="0" w:line="266" w:lineRule="auto"/>
        <w:tabs>
          <w:tab w:leader="none" w:pos="78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in laws or regulations relating to privacy or the collection, processing, disclosure, storage, localization, or transmission of personal data, or any actual or perceived failure by us or our third-party service providers to comply with such laws and regulations, contractual obligations, or applicable privacy policies, could materially adversely affect our business;</w:t>
      </w:r>
    </w:p>
    <w:p>
      <w:pPr>
        <w:spacing w:after="0" w:line="67"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we experience a disruption due to a cybersecurity attack or security breach and unauthorized parties obtain access to data, networks or other systems, we may incur significant legal and financial liabilities, and our business could be materially adversely affected;</w:t>
      </w:r>
    </w:p>
    <w:p>
      <w:pPr>
        <w:spacing w:after="0" w:line="53" w:lineRule="exact"/>
        <w:rPr>
          <w:rFonts w:ascii="Times New Roman" w:cs="Times New Roman" w:eastAsia="Times New Roman" w:hAnsi="Times New Roman"/>
          <w:sz w:val="18"/>
          <w:szCs w:val="18"/>
          <w:color w:val="auto"/>
        </w:rPr>
      </w:pPr>
    </w:p>
    <w:p>
      <w:pPr>
        <w:jc w:val="both"/>
        <w:ind w:left="780" w:hanging="203"/>
        <w:spacing w:after="0" w:line="266" w:lineRule="auto"/>
        <w:tabs>
          <w:tab w:leader="none" w:pos="78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having entered into an indemnification agreement with Michael J. Saylor, our Chairman of the Board of Directors and Executive Chairman, that supplements our conventional director and officer liability insurance provided by third-party insurance carriers could negatively affect our business and the market price of our listed securities;</w:t>
      </w:r>
    </w:p>
    <w:p>
      <w:pPr>
        <w:spacing w:after="0" w:line="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Risks Related to Our Listed Securities Generally</w:t>
      </w:r>
    </w:p>
    <w:p>
      <w:pPr>
        <w:spacing w:after="0" w:line="119" w:lineRule="exact"/>
        <w:rPr>
          <w:sz w:val="20"/>
          <w:szCs w:val="20"/>
          <w:color w:val="auto"/>
        </w:rPr>
      </w:pPr>
    </w:p>
    <w:p>
      <w:pPr>
        <w:ind w:left="780" w:hanging="203"/>
        <w:spacing w:after="0"/>
        <w:tabs>
          <w:tab w:leader="none" w:pos="780"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market price of our class A common stock has been and may continue to be volatile;</w:t>
      </w:r>
    </w:p>
    <w:p>
      <w:pPr>
        <w:spacing w:after="0" w:line="117" w:lineRule="exact"/>
        <w:rPr>
          <w:rFonts w:ascii="Times New Roman" w:cs="Times New Roman" w:eastAsia="Times New Roman" w:hAnsi="Times New Roman"/>
          <w:sz w:val="18"/>
          <w:szCs w:val="18"/>
          <w:color w:val="auto"/>
        </w:rPr>
      </w:pPr>
    </w:p>
    <w:p>
      <w:pPr>
        <w:ind w:left="780" w:right="20" w:hanging="203"/>
        <w:spacing w:after="0" w:line="282" w:lineRule="auto"/>
        <w:tabs>
          <w:tab w:leader="none" w:pos="780"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Because of the rights of our two classes of common stock and because Michael J. Saylor, who beneficially owns the majority of our class B common stock, controls a significant portion of our total voting power, Mr. Saylor has significant influence over</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 w:name="page6"/>
    <w:bookmarkEnd w:id="5"/>
    <w:p>
      <w:pPr>
        <w:ind w:left="780" w:right="20"/>
        <w:spacing w:after="0" w:line="282" w:lineRule="auto"/>
        <w:rPr>
          <w:sz w:val="20"/>
          <w:szCs w:val="20"/>
          <w:color w:val="auto"/>
        </w:rPr>
      </w:pPr>
      <w:r>
        <w:rPr>
          <w:rFonts w:ascii="Times New Roman" w:cs="Times New Roman" w:eastAsia="Times New Roman" w:hAnsi="Times New Roman"/>
          <w:sz w:val="18"/>
          <w:szCs w:val="18"/>
          <w:color w:val="auto"/>
        </w:rPr>
        <w:t>matters that require approval of our stockholders and as a result could impede a third party from acquiring us, or limit the ability of our other stockholders to influence corporate matters;</w:t>
      </w:r>
    </w:p>
    <w:p>
      <w:pPr>
        <w:spacing w:after="0" w:line="54" w:lineRule="exact"/>
        <w:rPr>
          <w:sz w:val="20"/>
          <w:szCs w:val="20"/>
          <w:color w:val="auto"/>
        </w:rPr>
      </w:pPr>
    </w:p>
    <w:p>
      <w:pPr>
        <w:ind w:right="4860" w:firstLine="569"/>
        <w:spacing w:after="0" w:line="375" w:lineRule="auto"/>
        <w:rPr>
          <w:sz w:val="20"/>
          <w:szCs w:val="20"/>
          <w:color w:val="auto"/>
        </w:rPr>
      </w:pPr>
      <w:r>
        <w:rPr>
          <w:rFonts w:ascii="Times New Roman" w:cs="Times New Roman" w:eastAsia="Times New Roman" w:hAnsi="Times New Roman"/>
          <w:sz w:val="18"/>
          <w:szCs w:val="18"/>
          <w:color w:val="auto"/>
        </w:rPr>
        <w:t xml:space="preserve">• Future sales of securities by us could depress the price of our listed securities; </w:t>
      </w:r>
      <w:r>
        <w:rPr>
          <w:rFonts w:ascii="Times New Roman" w:cs="Times New Roman" w:eastAsia="Times New Roman" w:hAnsi="Times New Roman"/>
          <w:sz w:val="18"/>
          <w:szCs w:val="18"/>
          <w:i w:val="1"/>
          <w:iCs w:val="1"/>
          <w:color w:val="auto"/>
        </w:rPr>
        <w:t>Risks Relating to Our Series A Perpetual Strike Preferred Stock</w:t>
      </w:r>
    </w:p>
    <w:p>
      <w:pPr>
        <w:spacing w:after="0" w:line="1" w:lineRule="exact"/>
        <w:rPr>
          <w:sz w:val="20"/>
          <w:szCs w:val="20"/>
          <w:color w:val="auto"/>
        </w:rPr>
      </w:pPr>
    </w:p>
    <w:p>
      <w:pPr>
        <w:jc w:val="both"/>
        <w:ind w:left="780" w:hanging="203"/>
        <w:spacing w:after="0" w:line="266" w:lineRule="auto"/>
        <w:tabs>
          <w:tab w:leader="none" w:pos="780"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series A perpetual strike preferred stock is senior to our class A common stock, junior to our existing and future indebtedness, structurally junior to the liabilities of our subsidiaries and subject to the rights and preferences of any other class or series of preferred stock then outstanding;</w:t>
      </w:r>
    </w:p>
    <w:p>
      <w:pPr>
        <w:spacing w:after="0" w:line="67" w:lineRule="exact"/>
        <w:rPr>
          <w:rFonts w:ascii="Times New Roman" w:cs="Times New Roman" w:eastAsia="Times New Roman" w:hAnsi="Times New Roman"/>
          <w:sz w:val="18"/>
          <w:szCs w:val="18"/>
          <w:color w:val="auto"/>
        </w:rPr>
      </w:pPr>
    </w:p>
    <w:p>
      <w:pPr>
        <w:jc w:val="both"/>
        <w:ind w:left="780" w:hanging="203"/>
        <w:spacing w:after="0" w:line="266" w:lineRule="auto"/>
        <w:tabs>
          <w:tab w:leader="none" w:pos="780"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 may not have sufficient funds to pay dividends in cash on our series A perpetual strike preferred stock, or we may choose not to pay dividends on our series A perpetual strike preferred stock and regulatory and contractual restrictions may prevent us from declaring or paying dividends;</w:t>
      </w:r>
    </w:p>
    <w:p>
      <w:pPr>
        <w:spacing w:after="0" w:line="67"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 may issue preferred stock in the future that ranks equally with or senior to our series A perpetual strike preferred stock with respect to dividends and liquidation rights, which may adversely affect the rights of holders of our series A perpetual strike preferred stock;</w:t>
      </w:r>
    </w:p>
    <w:p>
      <w:pPr>
        <w:spacing w:after="0" w:line="53" w:lineRule="exact"/>
        <w:rPr>
          <w:rFonts w:ascii="Times New Roman" w:cs="Times New Roman" w:eastAsia="Times New Roman" w:hAnsi="Times New Roman"/>
          <w:sz w:val="18"/>
          <w:szCs w:val="18"/>
          <w:color w:val="auto"/>
        </w:rPr>
      </w:pPr>
    </w:p>
    <w:p>
      <w:pPr>
        <w:ind w:left="780" w:hanging="203"/>
        <w:spacing w:after="0"/>
        <w:tabs>
          <w:tab w:leader="none" w:pos="780"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tax rules applicable to “fast-pay stock” could result in adverse consequences to holders of perpetual strike preferred stock;</w:t>
      </w:r>
    </w:p>
    <w:p>
      <w:pPr>
        <w:spacing w:after="0" w:line="11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Risks Related to Our Outstanding and Potential Future Indebtedness</w:t>
      </w:r>
    </w:p>
    <w:p>
      <w:pPr>
        <w:spacing w:after="0" w:line="119" w:lineRule="exact"/>
        <w:rPr>
          <w:sz w:val="20"/>
          <w:szCs w:val="20"/>
          <w:color w:val="auto"/>
        </w:rPr>
      </w:pPr>
    </w:p>
    <w:p>
      <w:pPr>
        <w:ind w:left="780" w:hanging="203"/>
        <w:spacing w:after="0" w:line="282" w:lineRule="auto"/>
        <w:tabs>
          <w:tab w:leader="none" w:pos="78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level and terms of indebtedness could adversely affect our ability to raise additional capital to further execute on our bitcoin strategy, fund our enterprise analytics software operations, and take advantage of new business opportunities;</w:t>
      </w:r>
    </w:p>
    <w:p>
      <w:pPr>
        <w:spacing w:after="0" w:line="53" w:lineRule="exact"/>
        <w:rPr>
          <w:rFonts w:ascii="Times New Roman" w:cs="Times New Roman" w:eastAsia="Times New Roman" w:hAnsi="Times New Roman"/>
          <w:sz w:val="18"/>
          <w:szCs w:val="18"/>
          <w:color w:val="auto"/>
        </w:rPr>
      </w:pPr>
    </w:p>
    <w:p>
      <w:pPr>
        <w:ind w:left="780" w:right="20" w:hanging="203"/>
        <w:spacing w:after="0" w:line="282" w:lineRule="auto"/>
        <w:tabs>
          <w:tab w:leader="none" w:pos="78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 may be unable to service our indebtedness, which could cause us to default on our debt obligations and could force us into bankruptcy or liquidation;</w:t>
      </w:r>
    </w:p>
    <w:p>
      <w:pPr>
        <w:spacing w:after="0" w:line="53" w:lineRule="exact"/>
        <w:rPr>
          <w:rFonts w:ascii="Times New Roman" w:cs="Times New Roman" w:eastAsia="Times New Roman" w:hAnsi="Times New Roman"/>
          <w:sz w:val="18"/>
          <w:szCs w:val="18"/>
          <w:color w:val="auto"/>
        </w:rPr>
      </w:pPr>
    </w:p>
    <w:p>
      <w:pPr>
        <w:jc w:val="both"/>
        <w:ind w:left="780" w:hanging="203"/>
        <w:spacing w:after="0" w:line="266" w:lineRule="auto"/>
        <w:tabs>
          <w:tab w:leader="none" w:pos="78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 may not have the ability to raise the funds necessary to settle conversions of our outstanding convertible notes in cash or to repurchase the convertible notes for cash upon a fundamental change, or to repurchase convertible notes if noteholders exercise their repurchase rights, and any future debt may contain limitations on our ability to engage in cash settled conversions or repurchases of convertible notes;</w:t>
      </w:r>
    </w:p>
    <w:p>
      <w:pPr>
        <w:spacing w:after="0" w:line="67" w:lineRule="exact"/>
        <w:rPr>
          <w:rFonts w:ascii="Times New Roman" w:cs="Times New Roman" w:eastAsia="Times New Roman" w:hAnsi="Times New Roman"/>
          <w:sz w:val="18"/>
          <w:szCs w:val="18"/>
          <w:color w:val="auto"/>
        </w:rPr>
      </w:pPr>
    </w:p>
    <w:p>
      <w:pPr>
        <w:ind w:left="780" w:hanging="203"/>
        <w:spacing w:after="0" w:line="282" w:lineRule="auto"/>
        <w:tabs>
          <w:tab w:leader="none" w:pos="78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Despite our current level of indebtedness, we may incur substantially more indebtedness and enter into other transactions in the future which could further exacerbate the risks related to our indebtedness.</w:t>
      </w:r>
    </w:p>
    <w:p>
      <w:pPr>
        <w:spacing w:after="0" w:line="16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caution you that the foregoing list of important factors may not contain all of the material factors that are important to you. In addition, in light of these risks and uncertainties, the matters referred to in the forward-looking statements contained herein may not in fact occur. The forward-looking statements made herein relate only to events as of the date on which the statements were made. Except as may be required by law, we undertake no obligation to update our forward-looking statements to reflect events and circumstances after the date on which the statements were made or to reflect the occurrence of unanticipated events.</w:t>
      </w:r>
    </w:p>
    <w:p>
      <w:pPr>
        <w:spacing w:after="0" w:line="18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 w:name="page7"/>
    <w:bookmarkEnd w:id="6"/>
    <w:p>
      <w:pPr>
        <w:jc w:val="center"/>
        <w:spacing w:after="0"/>
        <w:rPr>
          <w:sz w:val="20"/>
          <w:szCs w:val="20"/>
          <w:color w:val="auto"/>
        </w:rPr>
      </w:pPr>
      <w:r>
        <w:rPr>
          <w:rFonts w:ascii="Times New Roman" w:cs="Times New Roman" w:eastAsia="Times New Roman" w:hAnsi="Times New Roman"/>
          <w:sz w:val="18"/>
          <w:szCs w:val="18"/>
          <w:b w:val="1"/>
          <w:bCs w:val="1"/>
          <w:color w:val="auto"/>
        </w:rPr>
        <w:t>PART I</w:t>
      </w:r>
    </w:p>
    <w:p>
      <w:pPr>
        <w:spacing w:after="0" w:line="225" w:lineRule="exact"/>
        <w:rPr>
          <w:sz w:val="20"/>
          <w:szCs w:val="20"/>
          <w:color w:val="auto"/>
        </w:rPr>
      </w:pPr>
    </w:p>
    <w:p>
      <w:pPr>
        <w:spacing w:after="0"/>
        <w:tabs>
          <w:tab w:leader="none" w:pos="700" w:val="left"/>
        </w:tabs>
        <w:rPr>
          <w:sz w:val="20"/>
          <w:szCs w:val="20"/>
          <w:color w:val="auto"/>
        </w:rPr>
      </w:pPr>
      <w:r>
        <w:rPr>
          <w:rFonts w:ascii="Times New Roman" w:cs="Times New Roman" w:eastAsia="Times New Roman" w:hAnsi="Times New Roman"/>
          <w:sz w:val="18"/>
          <w:szCs w:val="18"/>
          <w:b w:val="1"/>
          <w:bCs w:val="1"/>
          <w:color w:val="auto"/>
        </w:rPr>
        <w:t>Item 1.</w:t>
      </w:r>
      <w:r>
        <w:rPr>
          <w:sz w:val="20"/>
          <w:szCs w:val="20"/>
          <w:color w:val="auto"/>
        </w:rPr>
        <w:tab/>
      </w:r>
      <w:r>
        <w:rPr>
          <w:rFonts w:ascii="Times New Roman" w:cs="Times New Roman" w:eastAsia="Times New Roman" w:hAnsi="Times New Roman"/>
          <w:sz w:val="17"/>
          <w:szCs w:val="17"/>
          <w:b w:val="1"/>
          <w:bCs w:val="1"/>
          <w:color w:val="auto"/>
        </w:rPr>
        <w:t>Business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Overview</w:t>
      </w:r>
    </w:p>
    <w:p>
      <w:pPr>
        <w:spacing w:after="0" w:line="121" w:lineRule="exact"/>
        <w:rPr>
          <w:sz w:val="20"/>
          <w:szCs w:val="20"/>
          <w:color w:val="auto"/>
        </w:rPr>
      </w:pPr>
    </w:p>
    <w:p>
      <w:pPr>
        <w:jc w:val="both"/>
        <w:spacing w:after="0" w:line="247" w:lineRule="auto"/>
        <w:rPr>
          <w:sz w:val="20"/>
          <w:szCs w:val="20"/>
          <w:color w:val="auto"/>
        </w:rPr>
      </w:pPr>
      <w:r>
        <w:rPr>
          <w:rFonts w:ascii="Times New Roman" w:cs="Times New Roman" w:eastAsia="Times New Roman" w:hAnsi="Times New Roman"/>
          <w:sz w:val="18"/>
          <w:szCs w:val="18"/>
          <w:color w:val="auto"/>
        </w:rPr>
        <w:t>Strategy</w:t>
      </w:r>
      <w:r>
        <w:rPr>
          <w:rFonts w:ascii="Times New Roman" w:cs="Times New Roman" w:eastAsia="Times New Roman" w:hAnsi="Times New Roman"/>
          <w:sz w:val="21"/>
          <w:szCs w:val="21"/>
          <w:color w:val="auto"/>
          <w:vertAlign w:val="superscript"/>
        </w:rPr>
        <w:t>TM</w:t>
      </w:r>
      <w:r>
        <w:rPr>
          <w:rFonts w:ascii="Times New Roman" w:cs="Times New Roman" w:eastAsia="Times New Roman" w:hAnsi="Times New Roman"/>
          <w:sz w:val="18"/>
          <w:szCs w:val="18"/>
          <w:color w:val="auto"/>
        </w:rPr>
        <w:t xml:space="preserve">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 income instruments.</w:t>
      </w:r>
    </w:p>
    <w:p>
      <w:pPr>
        <w:spacing w:after="0" w:line="8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Bitcoin Strategy</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231F20"/>
        </w:rPr>
        <w:t>We believe that bitcoin is an attractive asset because (i) it can serve as a store of value, supported by a robust and public open-source architecture, that is untethered to sovereign monetary policy, (ii) due to its limited supply, bitcoin offers the potential to serve as a hedge against inflation in the long-term and, if its adoption increases, the opportunity for appreciation in value, and (iii) the Bitcoin network provides the infrastructure and opportunity for the development of financial and technological innovations.</w:t>
      </w:r>
    </w:p>
    <w:p>
      <w:pPr>
        <w:spacing w:after="0" w:line="72"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231F20"/>
        </w:rPr>
        <w:t xml:space="preserve">In </w:t>
      </w:r>
      <w:r>
        <w:rPr>
          <w:rFonts w:ascii="Times New Roman" w:cs="Times New Roman" w:eastAsia="Times New Roman" w:hAnsi="Times New Roman"/>
          <w:sz w:val="18"/>
          <w:szCs w:val="18"/>
          <w:color w:val="000000"/>
        </w:rPr>
        <w:t>September</w:t>
      </w:r>
      <w:r>
        <w:rPr>
          <w:rFonts w:ascii="Times New Roman" w:cs="Times New Roman" w:eastAsia="Times New Roman" w:hAnsi="Times New Roman"/>
          <w:sz w:val="18"/>
          <w:szCs w:val="18"/>
          <w:color w:val="231F20"/>
        </w:rPr>
        <w:t xml:space="preserve"> 2020, our Board of Directors adopted a Treasury Reserve Policy (as amended to date, the “Treasury Reserve Policy”) that updated our treasury management and capital allocation strategies, under which our treasury reserve assets will consist of:</w:t>
      </w:r>
    </w:p>
    <w:p>
      <w:pPr>
        <w:spacing w:after="0" w:line="54" w:lineRule="exact"/>
        <w:rPr>
          <w:sz w:val="20"/>
          <w:szCs w:val="20"/>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231F20"/>
        </w:rPr>
      </w:pPr>
      <w:r>
        <w:rPr>
          <w:rFonts w:ascii="Times New Roman" w:cs="Times New Roman" w:eastAsia="Times New Roman" w:hAnsi="Times New Roman"/>
          <w:sz w:val="18"/>
          <w:szCs w:val="18"/>
          <w:color w:val="231F20"/>
        </w:rPr>
        <w:t>cash and cash equivalents and short-term investments (“Cash Assets”) held by us that exceed working capital requirements; and</w:t>
      </w:r>
    </w:p>
    <w:p>
      <w:pPr>
        <w:spacing w:after="0" w:line="117" w:lineRule="exact"/>
        <w:rPr>
          <w:rFonts w:ascii="Times New Roman" w:cs="Times New Roman" w:eastAsia="Times New Roman" w:hAnsi="Times New Roman"/>
          <w:sz w:val="18"/>
          <w:szCs w:val="18"/>
          <w:color w:val="231F20"/>
        </w:rPr>
      </w:pPr>
    </w:p>
    <w:p>
      <w:pPr>
        <w:ind w:left="1020" w:hanging="503"/>
        <w:spacing w:after="0" w:line="282" w:lineRule="auto"/>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bitcoin held </w:t>
      </w:r>
      <w:r>
        <w:rPr>
          <w:rFonts w:ascii="Times New Roman" w:cs="Times New Roman" w:eastAsia="Times New Roman" w:hAnsi="Times New Roman"/>
          <w:sz w:val="18"/>
          <w:szCs w:val="18"/>
          <w:color w:val="231F20"/>
        </w:rPr>
        <w:t>by</w:t>
      </w:r>
      <w:r>
        <w:rPr>
          <w:rFonts w:ascii="Times New Roman" w:cs="Times New Roman" w:eastAsia="Times New Roman" w:hAnsi="Times New Roman"/>
          <w:sz w:val="18"/>
          <w:szCs w:val="18"/>
          <w:color w:val="auto"/>
        </w:rPr>
        <w:t xml:space="preserve"> us, with bitcoin serving as the primary treasury reserve asset on an ongoing basis, subject to market conditions and anticipated needs of the business for Cash Assets.</w:t>
      </w:r>
    </w:p>
    <w:p>
      <w:pPr>
        <w:spacing w:after="0" w:line="54"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In the first quarter of 2021, we adopted, in addition to and in conjunction with our Treasury Reserve Policy, a corporate strategy of acquiring and holding bitcoin, including with the proceeds of capital raising transactions.</w:t>
      </w:r>
    </w:p>
    <w:p>
      <w:pPr>
        <w:spacing w:after="0" w:line="5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231F20"/>
        </w:rPr>
        <w:t>Our bitcoin strategy generally involves from time to time, subject to market conditions, (i) issuing debt or equity securities or engaging in other capital raising transactions with the objective of using the proceeds to purchase bitcoin and (ii) acquiring bitcoin with our liquid assets that exceed working capital requirements. We intend to fund further bitcoin acquisitions primarily through issuances of common stock and a variety of fixed-income instruments, including debt, convertible notes and preferred stock.</w:t>
      </w:r>
    </w:p>
    <w:p>
      <w:pPr>
        <w:spacing w:after="0" w:line="7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231F20"/>
        </w:rPr>
        <w:t>We view our bitcoin holdings as long-term holdings and expect to continue to accumulate bitcoin. We have not set any specific target for the amount of bitcoin we seek to hold, and we will continue to monitor market conditions in determining whether to engage in additional financings to purchase additional bitcoin. This overall strategy also contemplates that we may (i) periodically sell bitcoin for general corporate purposes or in connection with strategies that generate tax benefits in accordance with applicable law, (ii) enter into additional capital raising transactions that are collateralized by our bitcoin holdings, and (iii) consider pursuing strategies to create income streams or otherwise generate funds using our bitcoin holdings.</w:t>
      </w:r>
    </w:p>
    <w:p>
      <w:pPr>
        <w:spacing w:after="0" w:line="7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231F20"/>
        </w:rPr>
        <w:t xml:space="preserve">Additionally, we periodically engage in advocacy and educational activities, </w:t>
      </w:r>
      <w:r>
        <w:rPr>
          <w:rFonts w:ascii="Times New Roman" w:cs="Times New Roman" w:eastAsia="Times New Roman" w:hAnsi="Times New Roman"/>
          <w:sz w:val="18"/>
          <w:szCs w:val="18"/>
          <w:color w:val="000000"/>
        </w:rPr>
        <w:t>such as our Bitcoin for Corporations sessions at our annual World</w:t>
      </w:r>
      <w:r>
        <w:rPr>
          <w:rFonts w:ascii="Times New Roman" w:cs="Times New Roman" w:eastAsia="Times New Roman" w:hAnsi="Times New Roman"/>
          <w:sz w:val="18"/>
          <w:szCs w:val="18"/>
          <w:color w:val="231F20"/>
        </w:rPr>
        <w:t xml:space="preserve"> </w:t>
      </w:r>
      <w:r>
        <w:rPr>
          <w:rFonts w:ascii="Times New Roman" w:cs="Times New Roman" w:eastAsia="Times New Roman" w:hAnsi="Times New Roman"/>
          <w:sz w:val="18"/>
          <w:szCs w:val="18"/>
          <w:color w:val="000000"/>
        </w:rPr>
        <w:t xml:space="preserve">conferences, </w:t>
      </w:r>
      <w:r>
        <w:rPr>
          <w:rFonts w:ascii="Times New Roman" w:cs="Times New Roman" w:eastAsia="Times New Roman" w:hAnsi="Times New Roman"/>
          <w:sz w:val="18"/>
          <w:szCs w:val="18"/>
          <w:color w:val="231F20"/>
        </w:rPr>
        <w:t>regarding the continued acceptance and value of Bitcoin as an open, secure protocol for an internet-native digital capital asset, and we</w:t>
      </w:r>
      <w:r>
        <w:rPr>
          <w:rFonts w:ascii="Times New Roman" w:cs="Times New Roman" w:eastAsia="Times New Roman" w:hAnsi="Times New Roman"/>
          <w:sz w:val="18"/>
          <w:szCs w:val="18"/>
          <w:color w:val="000000"/>
        </w:rPr>
        <w:t xml:space="preserve"> </w:t>
      </w:r>
      <w:r>
        <w:rPr>
          <w:rFonts w:ascii="Times New Roman" w:cs="Times New Roman" w:eastAsia="Times New Roman" w:hAnsi="Times New Roman"/>
          <w:sz w:val="18"/>
          <w:szCs w:val="18"/>
          <w:color w:val="231F20"/>
        </w:rPr>
        <w:t>leverage our software development capabilities to explore innovation in Bitcoin applications.</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Bitcoin Holdings</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During 2024, we purchased a total of approximately 258,320 bitcoins at an aggregate purchase price of approximately $22.073 billion for an average purchase price of approximately $85,447 per bitcoin, inclusive of fees and expenses. During 2023, we purchased a total of approximately 56,650 bitcoins at an aggregate purchase price of approximately $1.902 billion for an average purchase price of approximately $33,580 per bitcoin, inclusive of fees and expenses. We did not sell any bitcoin during 2024 or 2023. During the period between January 1, 2025 and February 14, 2025, we purchased a total of approximately 31,270 bitcoins at an aggregate purchase price of approximately $3.165 billion for an average purchase price of approximately $101,225 per bitcoin, inclusive of fees and expenses. We did not sell any bitcoins during the period between January 1, 2025 and February 14, 2025. Refer to the “Our Bitcoin Strategy”</w:t>
      </w:r>
    </w:p>
    <w:p>
      <w:pPr>
        <w:spacing w:after="0" w:line="18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7" w:name="page8"/>
    <w:bookmarkEnd w:id="7"/>
    <w:p>
      <w:pPr>
        <w:jc w:val="both"/>
        <w:spacing w:after="0" w:line="282" w:lineRule="auto"/>
        <w:rPr>
          <w:sz w:val="20"/>
          <w:szCs w:val="20"/>
          <w:color w:val="auto"/>
        </w:rPr>
      </w:pPr>
      <w:r>
        <w:rPr>
          <w:rFonts w:ascii="Times New Roman" w:cs="Times New Roman" w:eastAsia="Times New Roman" w:hAnsi="Times New Roman"/>
          <w:sz w:val="18"/>
          <w:szCs w:val="18"/>
          <w:color w:val="auto"/>
        </w:rPr>
        <w:t>section under “Item 7. Management’s Discussion and Analysis of Financial Condition and Results of Operations” for further information regarding our bitcoin purchases, including the source of capital used to purchase bitcoin.</w:t>
      </w:r>
    </w:p>
    <w:p>
      <w:pPr>
        <w:spacing w:after="0" w:line="54"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 xml:space="preserve">At December 31, 2024, we carried $23.909 billion of digital assets on our balance sheet, consisting of approximately 447,470 bitcoins and reflecting $4.059 billion in cumulative impairment losses attributable to bitcoin trading price fluctuations, and held $38.1 million in cash and cash equivalents. At December 31, 2023, we carried $3.626 billion of digital assets on our balance sheet, consisting of approximately 189,150 bitcoins and reflecting $2.269 billion in cumulative impairment losses attributable to bitcoin trading price fluctuations, and held $46.8 million in cash and cash equivalents. On January 1, 2025, we adopted Accounting Standards Update No. 2023-08, </w:t>
      </w:r>
      <w:r>
        <w:rPr>
          <w:rFonts w:ascii="Times New Roman" w:cs="Times New Roman" w:eastAsia="Times New Roman" w:hAnsi="Times New Roman"/>
          <w:sz w:val="18"/>
          <w:szCs w:val="18"/>
          <w:i w:val="1"/>
          <w:iCs w:val="1"/>
          <w:color w:val="auto"/>
        </w:rPr>
        <w:t>Intangibles—Goodwill and Other—Crypto Assets (Subtopic 350-60): Accounting for and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 xml:space="preserve">Disclosure of Crypto Assets </w:t>
      </w:r>
      <w:r>
        <w:rPr>
          <w:rFonts w:ascii="Times New Roman" w:cs="Times New Roman" w:eastAsia="Times New Roman" w:hAnsi="Times New Roman"/>
          <w:sz w:val="18"/>
          <w:szCs w:val="18"/>
          <w:color w:val="auto"/>
        </w:rPr>
        <w:t>(“ASU 2023-08”). ASU 2023-08 requires us to measure our bitcoin holdings at fair value in our statement of financial position,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with gains and losses from changes in the fair value of our bitcoin recognized in net income each reporting period. As a result of our adoption of ASU 2023-08, as of January 1, 2025, we are required to apply a cumulative-effect net increase to the opening balance of our retained earnings of $12.745 billion.</w:t>
      </w:r>
    </w:p>
    <w:p>
      <w:pPr>
        <w:spacing w:after="0" w:line="192" w:lineRule="exact"/>
        <w:rPr>
          <w:sz w:val="20"/>
          <w:szCs w:val="20"/>
          <w:color w:val="auto"/>
        </w:rPr>
      </w:pPr>
    </w:p>
    <w:p>
      <w:pPr>
        <w:ind w:right="120"/>
        <w:spacing w:after="0" w:line="266" w:lineRule="auto"/>
        <w:rPr>
          <w:sz w:val="20"/>
          <w:szCs w:val="20"/>
          <w:color w:val="auto"/>
        </w:rPr>
      </w:pPr>
      <w:r>
        <w:rPr>
          <w:rFonts w:ascii="Times New Roman" w:cs="Times New Roman" w:eastAsia="Times New Roman" w:hAnsi="Times New Roman"/>
          <w:sz w:val="18"/>
          <w:szCs w:val="18"/>
          <w:color w:val="auto"/>
        </w:rPr>
        <w:t>As of February 14, 2025, we held approximately 478,740 bitcoins that were acquired at an aggregate purchase price of $31.134 billion and an average purchase price of approximately $65,033 per bitcoin, inclusive of fees and expenses. As of February 14, 2025, at 4:00 p.m. Eastern Time, the market price of one bitcoin reported on the Coinbase exchange (our principal market) was $97,236.98.</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Overview of the Bitcoin Industry and Market</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Bitcoin is a digital asset that is issued by and transmitted through an open-source protocol, known as the Bitcoin protocol, collectively maintained by a peer-to-peer network of decentralized user nodes. This network hosts a public transaction ledger, known as the Bitcoin blockchain, on which bitcoin holdings and all validated transactions that have ever taken place on the Bitcoin network are recorded. Balances of bitcoin are stored in individual “wallet” functions, which associate network public addresses with one or more “private keys” that control the transfer of bitcoin. The Bitcoin blockchain can be updated without any single entity owning or operating the network.</w:t>
      </w:r>
    </w:p>
    <w:p>
      <w:pPr>
        <w:spacing w:after="0" w:line="7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Creation of New Bitcoin and Limits on Supply</w:t>
      </w:r>
    </w:p>
    <w:p>
      <w:pPr>
        <w:spacing w:after="0" w:line="11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Bitcoin protocol limits the total number of bitcoins that can be generated over time to 21 million. As of February 14, 2025, approximately 20.0 million bitcoins have been generated. New bitcoins are created and allocated by the Bitcoin protocol through a “mining” process that rewards users that validate transactions in the Bitcoin blockchain. Validated transactions are added in “blocks” approximately every 10 minutes. The mining process serves to validate transactions and secure the Bitcoin network. Mining is a competitive and costly operation that requires a large amount of computational power to solve complex mathematical algorithms. This expenditure of computing power is known as “proof of work.”</w:t>
      </w:r>
    </w:p>
    <w:p>
      <w:pPr>
        <w:spacing w:after="0" w:line="7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To incentivize miners to incur the costs of mining bitcoin, the Bitcoin protocol rewards miners that successfully validate a block of transactions with newly generated bitcoin. The current reward for miners that successfully validate a block of transactions is 3.125 bitcoin per mined block. The mining reward is reduced by half, which is referred to as a bitcoin halving, after every 210,000 blocks are mined. This has historically occurred approximately every four years. The most recent bitcoin halving occurred in April 2024, and the next bitcoin halving is expected to occur sometime in 2028.</w:t>
      </w:r>
    </w:p>
    <w:p>
      <w:pPr>
        <w:spacing w:after="0" w:line="7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Modifications to the Bitcoin Protocol</w:t>
      </w:r>
    </w:p>
    <w:p>
      <w:pPr>
        <w:spacing w:after="0" w:line="11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Bitcoin is an open-source network that has no central authority, so no one person can unilaterally make changes to the software that runs the network. However, there is a core group of developers that maintains the code for the Bitcoin protocol, and they can propose changes to the source code and release periodic updates and other changes. Unlike most software that has a central entity that can push updates to users, bitcoin is a peer-to-peer network in which individual network participants, called nodes, decide whether to upgrade the software and accept the new changes. As a practical matter, a modification becomes part of the Bitcoin protocol only if the proposed changes are accepted by participants collectively having more than 50% of the processing power, known as hash rate, on the network. If a certain percentage of the nodes reject the changes, then a “fork” takes place, and participants can choose the version of the software they want to run.</w:t>
      </w:r>
    </w:p>
    <w:p>
      <w:pPr>
        <w:spacing w:after="0" w:line="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Forms of Attack Against the Bitcoin Network and Wallets</w:t>
      </w:r>
    </w:p>
    <w:p>
      <w:pPr>
        <w:spacing w:after="0" w:line="11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Blockchain technology has many built-in security features that make it difficult for hackers and other malicious actors to corrupt the protocol or blockchain. However, as with any computer network, the Bitcoin network may be subject to certain attacks. Some forms of attack include unauthorized access to wallets that hold bitcoin and direct attacks, like “51% attacks” or “denial-of-service attacks” on the Bitcoin network.</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Bitcoin is controllable only by the possessor of both the unique public key and private key(s) relating to the local or online digital wallet in which the bitcoin is held. Private keys used to access bitcoin balances are not widely distributed and are typically held on hardware (which can be physically controlled by the holder or by a third party such as a custodian) or via software programs on third-party servers. One form of obtaining unauthorized access to a wallet occurs following a phishing attack where the attacker deceives the victim and</w:t>
      </w:r>
    </w:p>
    <w:p>
      <w:pPr>
        <w:spacing w:after="0" w:line="28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8" w:name="page9"/>
    <w:bookmarkEnd w:id="8"/>
    <w:p>
      <w:pPr>
        <w:jc w:val="both"/>
        <w:spacing w:after="0" w:line="261" w:lineRule="auto"/>
        <w:rPr>
          <w:sz w:val="20"/>
          <w:szCs w:val="20"/>
          <w:color w:val="auto"/>
        </w:rPr>
      </w:pPr>
      <w:r>
        <w:rPr>
          <w:rFonts w:ascii="Times New Roman" w:cs="Times New Roman" w:eastAsia="Times New Roman" w:hAnsi="Times New Roman"/>
          <w:sz w:val="18"/>
          <w:szCs w:val="18"/>
          <w:color w:val="auto"/>
        </w:rPr>
        <w:t>manipulates them into sharing their private keys for their digital wallet or other sensitive information. Other similar attacks may also result in the loss of private keys and the inability to access, and effective loss of, the corresponding bitcoin. See “Item 1A. Risk Factors – Risks Related to Our Bitcoin Strategy and Holdings – We face risks relating to the custody of our bitcoin, including the loss or destruction of private keys required to access our bitcoin and cyberattacks or other data loss relating to our bitcoin.”</w:t>
      </w:r>
    </w:p>
    <w:p>
      <w:pPr>
        <w:spacing w:after="0" w:line="72"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 “51% attack” may occur when a group of miners attain more than 50% of the Bitcoin network’s mining power, thereby enabling them to control the Bitcoin network and protocol and manipulate the blockchain. A “denial-of-service attack” occurs when legitimate users are unable to access information systems, devices, or other network resources due to the actions of a malicious actor flooding the network with traffic until the network is unable to respond or crashes. The Bitcoin network has been, and can be in the future, subject to denial-of-service attacks, which can result in temporary delays in block creation and in the transfer of bitcoin. See “Item 1A. Risk Factors – Risks Related to Our Bitcoin Strategy and Holdings – Bitcoin and other digital assets are novel assets, and are subject to significant legal, commercial, regulatory and technical uncertainty.”</w:t>
      </w:r>
    </w:p>
    <w:p>
      <w:pPr>
        <w:spacing w:after="0" w:line="7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Bitcoin Industry Participants</w:t>
      </w:r>
    </w:p>
    <w:p>
      <w:pPr>
        <w:spacing w:after="0" w:line="119"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The primary Bitcoin industry participants are miners, investors and traders, digital asset exchanges and service providers, including custodians, brokers, payment processors, wallet providers and financial institutions.</w:t>
      </w:r>
    </w:p>
    <w:p>
      <w:pPr>
        <w:spacing w:after="0" w:line="52" w:lineRule="exact"/>
        <w:rPr>
          <w:sz w:val="20"/>
          <w:szCs w:val="20"/>
          <w:color w:val="auto"/>
        </w:rPr>
      </w:pPr>
    </w:p>
    <w:p>
      <w:pPr>
        <w:jc w:val="both"/>
        <w:spacing w:after="0" w:line="267" w:lineRule="auto"/>
        <w:rPr>
          <w:sz w:val="20"/>
          <w:szCs w:val="20"/>
          <w:color w:val="auto"/>
        </w:rPr>
      </w:pPr>
      <w:r>
        <w:rPr>
          <w:rFonts w:ascii="Times New Roman" w:cs="Times New Roman" w:eastAsia="Times New Roman" w:hAnsi="Times New Roman"/>
          <w:sz w:val="18"/>
          <w:szCs w:val="18"/>
          <w:i w:val="1"/>
          <w:iCs w:val="1"/>
          <w:color w:val="auto"/>
        </w:rPr>
        <w:t>Miners</w:t>
      </w:r>
      <w:r>
        <w:rPr>
          <w:rFonts w:ascii="Times New Roman" w:cs="Times New Roman" w:eastAsia="Times New Roman" w:hAnsi="Times New Roman"/>
          <w:sz w:val="18"/>
          <w:szCs w:val="18"/>
          <w:color w:val="auto"/>
        </w:rPr>
        <w:t>. Miners range from bitcoin enthusiasts to professional mining operations that design and build dedicated mining machines and data centers,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including mining pools, which are groups of miners that act cohesively and combine their processing power to mine bitcoin blocks. See “—Creation of New Bitcoin and Limits on Supply” above.</w:t>
      </w:r>
    </w:p>
    <w:p>
      <w:pPr>
        <w:spacing w:after="0" w:line="65" w:lineRule="exact"/>
        <w:rPr>
          <w:sz w:val="20"/>
          <w:szCs w:val="20"/>
          <w:color w:val="auto"/>
        </w:rPr>
      </w:pPr>
    </w:p>
    <w:p>
      <w:pPr>
        <w:jc w:val="both"/>
        <w:spacing w:after="0" w:line="257" w:lineRule="auto"/>
        <w:rPr>
          <w:sz w:val="20"/>
          <w:szCs w:val="20"/>
          <w:color w:val="auto"/>
        </w:rPr>
      </w:pPr>
      <w:r>
        <w:rPr>
          <w:rFonts w:ascii="Times New Roman" w:cs="Times New Roman" w:eastAsia="Times New Roman" w:hAnsi="Times New Roman"/>
          <w:sz w:val="18"/>
          <w:szCs w:val="18"/>
          <w:i w:val="1"/>
          <w:iCs w:val="1"/>
          <w:color w:val="auto"/>
        </w:rPr>
        <w:t>Investors and Traders</w:t>
      </w:r>
      <w:r>
        <w:rPr>
          <w:rFonts w:ascii="Times New Roman" w:cs="Times New Roman" w:eastAsia="Times New Roman" w:hAnsi="Times New Roman"/>
          <w:sz w:val="18"/>
          <w:szCs w:val="18"/>
          <w:color w:val="auto"/>
        </w:rPr>
        <w:t>. Bitcoin investors and traders include individuals and institutional investors who, directly or indirectly, purchase, hold, and sell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bitcoin or bitcoin-based derivatives. On January 10, 2024, the Securities and Exchange Commission (“SEC”) issued an order approving several applications for the listing and trading of shares of spot bitcoin exchange-traded products (“ETPs”) on U.S. national securities exchanges. While the SEC had previously approved exchange-traded funds where the underlying assets were bitcoin futures contracts, this order represented the first time the SEC approved the listing and trading of ETPs that acquire, hold and sell bitcoin directly. ETPs can be bought and sold on a stock exchange like traditional stocks, and provide investors with another means of gaining economic exposure to bitcoin through traditional brokerage accounts.</w:t>
      </w:r>
    </w:p>
    <w:p>
      <w:pPr>
        <w:spacing w:after="0" w:line="74"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i w:val="1"/>
          <w:iCs w:val="1"/>
          <w:color w:val="auto"/>
        </w:rPr>
        <w:t xml:space="preserve">Digital Asset Exchanges. </w:t>
      </w:r>
      <w:r>
        <w:rPr>
          <w:rFonts w:ascii="Times New Roman" w:cs="Times New Roman" w:eastAsia="Times New Roman" w:hAnsi="Times New Roman"/>
          <w:sz w:val="18"/>
          <w:szCs w:val="18"/>
          <w:color w:val="auto"/>
        </w:rPr>
        <w:t>Digital asset exchanges provide trading venues for purchases and sales of bitcoin in exchange for fiat or other digital assets.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Bitcoin can be exchanged for fiat currencies, such as the U.S. dollar, at rates of exchange determined by market forces on bitcoin trading platforms, which are not regulated in the same manner as traditional securities exchanges. In addition to these platforms, over-the-counter markets and derivatives markets for bitcoin also exist. The value of bitcoin within the market is determined, in part, by the supply of and demand for bitcoin in the global bitcoin market, market expectations for the adoption of bitcoin as a store of value, the number of merchants that accept bitcoin as a form of payment, and the volume of peer-to-peer transactions, among other factors. For a discussion of risks associated with digital asset exchanges, see “Item 1A. Risk Factors—Risks Related to Our Bitcoin Strategy and Holdings—Due to the unregulated nature and lack of transparency surrounding the operations of many bitcoin trading venues, bitcoin trading venues may experience greater fraud, security failures or regulatory or operational problems than trading venues for more established asset classes, which may result in a loss of confidence in bitcoin trading venues and adversely affect the value of our bitcoin.”</w:t>
      </w:r>
    </w:p>
    <w:p>
      <w:pPr>
        <w:spacing w:after="0" w:line="8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i w:val="1"/>
          <w:iCs w:val="1"/>
          <w:color w:val="auto"/>
        </w:rPr>
        <w:t>Service providers</w:t>
      </w:r>
      <w:r>
        <w:rPr>
          <w:rFonts w:ascii="Times New Roman" w:cs="Times New Roman" w:eastAsia="Times New Roman" w:hAnsi="Times New Roman"/>
          <w:sz w:val="18"/>
          <w:szCs w:val="18"/>
          <w:color w:val="auto"/>
        </w:rPr>
        <w:t>. Service providers offer a multitude of services to other participants in the Bitcoin industry, including custodial and trade execution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services, commercial and retail payment processing, loans secured by bitcoin collateral, and financial advisory services. If adoption of the Bitcoin network continues to materially increase, we anticipate that service providers may expand the currently available range of services and that additional parties will enter the service sector for the Bitcoin network.</w:t>
      </w:r>
    </w:p>
    <w:p>
      <w:pPr>
        <w:spacing w:after="0" w:line="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Other Digital Assets</w:t>
      </w:r>
    </w:p>
    <w:p>
      <w:pPr>
        <w:spacing w:after="0" w:line="11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As of the date of this Annual Report, bitcoin was the largest digital asset by market capitalization. However, numerous alternative digital assets exist, and many entities, including consortia and financial institutions, are actively researching and investing resources in blockchain platforms and digital assets that utilize consensus mechanisms other than proof-of-work mining, which is employed by the Bitcoin network. For example, in late 2022, the Ethereum network transitioned to a “proof-of-stake” mechanism for validating transactions that requires significantly less computing power than proof-of-work mining. Other alternative digital assets that compete with bitcoin in certain ways include “stablecoins,” which are designed to maintain a constant price because of their issuers’ promise to hold high-quality liquid assets (such as U.S. dollar deposits and short-term U.S. treasury securities) equal to the total value of stablecoins in circulation. Stablecoins have grown rapidly as an alternative to bitcoin and other digital assets as a medium of exchange and store of value, particularly on digital asset trading platforms. As of December 31, 2024, two of the eight largest digital assets by market capitalization were U.S. dollar-backed stablecoins.</w:t>
      </w:r>
    </w:p>
    <w:p>
      <w:pPr>
        <w:spacing w:after="0" w:line="8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Additionally, central banks in some countries have started to introduce digital forms of legal tender. For example, China’s central bank digital currency (“CBDC”) project was made available to consumers in January 2022, and governments including the United States and the European Union have discussed the potential creation of new CBDCs. For a discussion of risks relating to the emergence of other digital assets, see “Item 1A. Risk Factors – Risks Related to Our Bitcoin Strategy and Holdings—The emergence or growth of other</w:t>
      </w:r>
    </w:p>
    <w:p>
      <w:pPr>
        <w:spacing w:after="0" w:line="28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9" w:name="page10"/>
    <w:bookmarkEnd w:id="9"/>
    <w:p>
      <w:pPr>
        <w:jc w:val="both"/>
        <w:spacing w:after="0" w:line="282" w:lineRule="auto"/>
        <w:rPr>
          <w:sz w:val="20"/>
          <w:szCs w:val="20"/>
          <w:color w:val="auto"/>
        </w:rPr>
      </w:pPr>
      <w:r>
        <w:rPr>
          <w:rFonts w:ascii="Times New Roman" w:cs="Times New Roman" w:eastAsia="Times New Roman" w:hAnsi="Times New Roman"/>
          <w:sz w:val="18"/>
          <w:szCs w:val="18"/>
          <w:color w:val="auto"/>
        </w:rPr>
        <w:t>digital assets, including those with significant private or public sector backing, could have a negative impact on the price of bitcoin and adversely affect our business.”</w:t>
      </w:r>
    </w:p>
    <w:p>
      <w:pPr>
        <w:spacing w:after="0" w:line="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Competition</w:t>
      </w:r>
    </w:p>
    <w:p>
      <w:pPr>
        <w:spacing w:after="0" w:line="11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231F20"/>
        </w:rPr>
        <w:t xml:space="preserve">Our bitcoin strategy generally involves from time to time, subject to market conditions, (i) issuing debt or equity securities or engaging in other capital raising transactions with the objective of using the proceeds to purchase bitcoin and (ii) acquiring bitcoin with our liquid assets that exceed working capital requirements. When we engage in such capital raising transactions, we </w:t>
      </w:r>
      <w:r>
        <w:rPr>
          <w:rFonts w:ascii="Times New Roman" w:cs="Times New Roman" w:eastAsia="Times New Roman" w:hAnsi="Times New Roman"/>
          <w:sz w:val="18"/>
          <w:szCs w:val="18"/>
          <w:color w:val="000000"/>
        </w:rPr>
        <w:t>compete for capital with, among others, ETPs, bitcoin miners, digital assets</w:t>
      </w:r>
      <w:r>
        <w:rPr>
          <w:rFonts w:ascii="Times New Roman" w:cs="Times New Roman" w:eastAsia="Times New Roman" w:hAnsi="Times New Roman"/>
          <w:sz w:val="18"/>
          <w:szCs w:val="18"/>
          <w:color w:val="231F20"/>
        </w:rPr>
        <w:t xml:space="preserve"> </w:t>
      </w:r>
      <w:r>
        <w:rPr>
          <w:rFonts w:ascii="Times New Roman" w:cs="Times New Roman" w:eastAsia="Times New Roman" w:hAnsi="Times New Roman"/>
          <w:sz w:val="18"/>
          <w:szCs w:val="18"/>
          <w:color w:val="000000"/>
        </w:rPr>
        <w:t>exchanges, other digital assets service providers, other companies that hold bitcoin or other digital assets as treasury reserve assets, private funds that invest in bitcoin and other digital assets, and similar vehicles. An increase in the competition for sources of capital could adversely affect the availability and cost of financing for our bitcoin purchases, and thereby could adversely affect the market price of our listed securities.</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Custody of our Bitcoin</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hold substantially all of our bitcoin in custody accounts at U.S.-based, institutional-grade custodians that have demonstrated records of regulatory compliance and information security. As a result, the primary counterparty risk we are exposed to with respect to our bitcoin is performance obligations under the various custody arrangements into which we have entered. We custody our bitcoin across multiple custodians to diversify our potential risk exposure to any one custodian. Our custodial services contracts do not restrict our ability to reallocate our bitcoin among our custodians, and our bitcoin holdings may be concentrated with a single custodian from time to time. In light of the significant amount of bitcoin we hold, we continually seek to engage additional digital asset custodians to further diversify the custody of our bitcoin.</w:t>
      </w:r>
    </w:p>
    <w:p>
      <w:pPr>
        <w:spacing w:after="0" w:line="7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We carefully select the custodians that custody our bitcoin after undertaking a due diligence process. As part of our custodian selection process, we evaluate and select custodians that can demonstrate that they operate with strict security protocols, including multifactor authentication procedures designed to safekeep our bitcoin. In addition, our custodial services agreements generally specify that the private keys that control our bitcoin will be held in offline or “cold” storage, which is designed to mitigate risks that a system may be susceptible to when connected to the internet, including the risks associated with unauthorized network access and cyberattacks. We also negotiate liability provisions in our custodial contracts, pursuant to which our custodians are held liable for their failure to safekeep our bitcoin. In addition to our custodial arrangements, we also utilize affiliates of our bitcoin custodians to execute bitcoin acquisition and disposition transactions on our behalf. We leverage the due diligence we conduct in connection with our custodial arrangements when conducting due diligence of these trade execution service providers.</w:t>
      </w:r>
    </w:p>
    <w:p>
      <w:pPr>
        <w:spacing w:after="0" w:line="84"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also conduct due diligence reviews during the custodial relationship to monitor the safekeeping of our bitcoin. As part of our process, we obtain and review our custodians’ Services Organization Controls reports. We are also contractually entitled to review our custodians’ relevant internal controls through a variety of methods. We have in the past conducted, and expect to conduct in the future, supplemental due diligence when we believe it is warranted by market circumstances or otherwise. For example, in response to the collapse of FTX, in 2022 we obtained supporting documentation to verify certain factual information, including documentation and analysis regarding financial solvency, exposure to troubled exchanges, regulatory compliance, security protocols and our ownership of our bitcoin.</w:t>
      </w:r>
    </w:p>
    <w:p>
      <w:pPr>
        <w:spacing w:after="0" w:line="7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We negotiate specific contractual terms and conditions with our custodians that we believe will help establish, under existing law, that our property interest in the bitcoin held by our custodians is not subject to the claims of the custodian’s creditors in the event the custodian enters bankruptcy, receivership or similar insolvency proceedings. All of our custodians are subject to regulatory regimes intended to protect customers in the event that a custodian enters bankruptcy, receivership or similar insolvency proceedings. Based on existing law and the terms and conditions of our contractual arrangements with our custodians, we believe that the bitcoin held on our behalf by our custodians would not be considered part of a custodian’s bankruptcy estate were one or more of our custodians to enter bankruptcy, receivership or similar insolvency proceedings. For a discussion of risks relating to the custody of our bitcoin, see “Item 1A. Risk Factors—Risks Related to Our Bitcoin Strategy and Holdings—Our bitcoin strategy exposes us to various risks, including risks associated with bitcoin,” and “—Our bitcoin strategy exposes us to risk of non-performance by counterparties.”</w:t>
      </w:r>
    </w:p>
    <w:p>
      <w:pPr>
        <w:spacing w:after="0" w:line="1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Potential Advantages and Disadvantages of Holding Bitcoin</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believe that bitcoin is an attractive asset because it can serve as a store of value, supported by a robust and public open-source architecture, that is untethered to sovereign monetary policy. We also believe that, due to its limited supply, bitcoin offers the potential to serve as a hedge against inflation in the long-term and, if its adoption increases, the opportunity for appreciation in value.</w:t>
      </w:r>
    </w:p>
    <w:p>
      <w:pPr>
        <w:spacing w:after="0" w:line="68"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Bitcoin exists entirely in electronic form, as virtually irreversible public transaction ledger entries on the blockchain, and transactions in bitcoin are recorded and authenticated not by a central repository, but by a decentralized peer-to-peer network. This decentralization mitigates the risks of certain threats common to centralized computer networks, such as denial-of-service attacks, and reduces the dependency of the bitcoin network on any single system. The decentralization of user nodes and miners also mitigates the risk of a 51% attack, which would be very costly and difficult to execute with respect to bitcoin because the Bitcoin network is open source and widely distributed, and transactions on the blockchain require significant computing power to be validated. However, while the Bitcoin network as a whole is decentralized, the private keys used to access bitcoin balances are not widely distributed and are susceptible to phishing</w:t>
      </w:r>
    </w:p>
    <w:p>
      <w:pPr>
        <w:spacing w:after="0" w:line="29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0" w:name="page11"/>
    <w:bookmarkEnd w:id="10"/>
    <w:p>
      <w:pPr>
        <w:jc w:val="both"/>
        <w:spacing w:after="0" w:line="254" w:lineRule="auto"/>
        <w:rPr>
          <w:sz w:val="20"/>
          <w:szCs w:val="20"/>
          <w:color w:val="auto"/>
        </w:rPr>
      </w:pPr>
      <w:r>
        <w:rPr>
          <w:rFonts w:ascii="Times New Roman" w:cs="Times New Roman" w:eastAsia="Times New Roman" w:hAnsi="Times New Roman"/>
          <w:sz w:val="18"/>
          <w:szCs w:val="18"/>
          <w:color w:val="auto"/>
        </w:rPr>
        <w:t>and other attacks designed to obtain sensitive information or gain access to password-protected systems. Loss of such private keys can result in an inability to access, and effective loss of, the corresponding bitcoin. Consequently, bitcoin holdings are susceptible to all of the risks inherent in holding any electronic data, such as power failure, data corruption, security breach, communication failure and user error, among others. These risks, in turn, make bitcoin substantially more susceptible to theft, destruction, or loss of value from hackers, corruption, viruses and other technology-specific factors as compared to conventional fiat currency or other conventional financial assets. See “Item 1A. Risk Factors—Risks Related to Our Bitcoin Strategy and Holdings—If we or our third-party service providers experience a security breach or cyberattack and unauthorized parties obtain access to our bitcoin, or if our private keys are lost or destroyed, or other similar circumstances or events occur, we may lose some or all of our bitcoin and our financial condition and results of operations could be materially adversely affected.”</w:t>
      </w:r>
    </w:p>
    <w:p>
      <w:pPr>
        <w:spacing w:after="0" w:line="8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addition, the Bitcoin network relies on open-source developers to maintain and improve the Bitcoin protocol. Accordingly, bitcoin may be subject to protocol design changes, governance disputes such as “forked” protocols, competing protocols, and other open source-specific risks that do not affect conventional proprietary software.</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Government Regulation</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laws and regulations applicable to bitcoin and digital assets are evolving and subject to interpretation and change.</w:t>
      </w:r>
    </w:p>
    <w:p>
      <w:pPr>
        <w:spacing w:after="0" w:line="11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Governments around the world have reacted differently to digital assets; certain governments have deemed them illegal, and others have allowed their use and trade without restriction, while in some jurisdictions, such as the U.S., digital assets are subject to overlapping, uncertain and evolving regulatory requirements.</w:t>
      </w:r>
    </w:p>
    <w:p>
      <w:pPr>
        <w:spacing w:after="0" w:line="68"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As digital assets have grown in both popularity and market size, the U.S. Executive Branch, Congress and a number of U.S. federal and state agencies, including the Financial Crimes Enforcement Network, the Commodity Futures Trading Commission (“CFTC”), the SEC, the Financial Industry Regulatory Authority, the Consumer Financial Protection Bureau, the Department of Justice, the Department of Homeland Security, the Federal Bureau of Investigation, the IRS and state financial regulators, have been examining the operations of digital asset networks, digital asset users and digital asset exchanges, with particular focus on the extent to which digital assets can be used to violate state or federal laws, including to facilitate the laundering of proceeds of illegal activities or the funding of criminal or terrorist enterprises, and the safety and soundness and consumer-protective safeguards of exchanges or other service-providers that hold, transfer, trade or exchange digital assets for users. Many of these state and federal agencies have issued consumer advisories regarding the risks posed by digital assets to investors. In addition, federal and state agencies, and other countries have issued rules or guidance regarding the treatment of digital asset transactions and requirements for businesses engaged in activities related to digital assets.</w:t>
      </w:r>
    </w:p>
    <w:p>
      <w:pPr>
        <w:spacing w:after="0" w:line="80"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Depending on the regulatory characterization of bitcoin, the markets for bitcoin in general, and our activities in particular, our business and our bitcoin strategy may be subject to regulation by one or more regulators in the United States and globally. Ongoing and future regulatory actions may alter, to a materially adverse extent, the nature of digital assets markets, the participation of industry participants, including service providers and financial institutions in these markets, and our ability to pursue our bitcoin strategy. Additionally, U.S. state and federal and foreign regulators and legislatures have taken action against industry participants, including digital assets businesses, and enacted restrictive regimes in response to adverse publicity arising from hacks, consumer harm, or criminal activity stemming from digital assets activity. U.S. federal and state energy regulatory authorities are also monitoring the total electricity consumption of cryptocurrency mining, and the potential impacts of cryptocurrency mining to the supply and dispatch functionality of the wholesale grid and retail distribution systems. Many state legislative bodies have passed, or are actively considering, legislation to address the impact of cryptocurrency mining in their respective states.</w:t>
      </w:r>
    </w:p>
    <w:p>
      <w:pPr>
        <w:spacing w:after="0" w:line="80"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CFTC takes the position that some digital assets, including bitcoin, fall within the definition of a “commodity” under the Commodities Exchange Act of 1936, as amended (the “CEA”). Under the CEA, the CFTC has broad enforcement authority to police market manipulation and fraud in spot digital assets markets in which we may transact. Beyond instances of fraud or manipulation, the CFTC generally does not oversee cash or spot market exchanges or transactions involving digital asset commodities that do not utilize margin, leverage, or financing. In addition, CFTC regulations and CFTC oversight and enforcement authority apply with respect to futures, swaps, other derivative products and certain retail leveraged commodity transactions involving digital asset commodities, including the markets on which these products trade.</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SEC and its staff have taken the position that certain other digital assets fall within the definition of a “security” under the U.S. federal securities laws. Public statements made by senior officials and senior members of the staff at the SEC indicate that the SEC does not consider bitcoin to be a security under the federal securities laws. However, such statements are not official policy statements by the SEC and reflect only the speakers’ views, which are not binding on the SEC or any other agency or court and cannot be generalized to any other digital assets.</w:t>
      </w:r>
    </w:p>
    <w:p>
      <w:pPr>
        <w:spacing w:after="0" w:line="7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In addition, since transactions in bitcoin provide a degree of anonymity, they are susceptible to misuse for criminal activities, such as money laundering. This misuse, or the perception of such misuse, could lead to greater regulatory oversight of bitcoin and Bitcoin platforms, and there is the possibility that law enforcement agencies could close or blacklist bitcoin platforms or other bitcoin-related infrastructure with little or no notice and prevent users from accessing or retrieving bitcoin held via such platforms or infrastructure. For example, the U.S. Treasury Department’s Office of Foreign Assets Control has issued updated advisories regarding the use of virtual</w:t>
      </w:r>
    </w:p>
    <w:p>
      <w:pPr>
        <w:spacing w:after="0" w:line="29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1" w:name="page12"/>
    <w:bookmarkEnd w:id="11"/>
    <w:p>
      <w:pPr>
        <w:jc w:val="both"/>
        <w:spacing w:after="0" w:line="258" w:lineRule="auto"/>
        <w:rPr>
          <w:sz w:val="20"/>
          <w:szCs w:val="20"/>
          <w:color w:val="auto"/>
        </w:rPr>
      </w:pPr>
      <w:r>
        <w:rPr>
          <w:rFonts w:ascii="Times New Roman" w:cs="Times New Roman" w:eastAsia="Times New Roman" w:hAnsi="Times New Roman"/>
          <w:sz w:val="18"/>
          <w:szCs w:val="18"/>
          <w:color w:val="auto"/>
        </w:rPr>
        <w:t>currencies, added a number of digital asset exchanges and service providers to the Specially Designated Nationals and Blocked Persons list and engaged in several enforcement actions, including a series of enforcement actions that have either shut down or significantly curtailed the operations of several smaller digital asset exchanges associated with Russian and/or North Korean nationals. Additionally, in January 2025, the Consumer Financial Protection Bureau announced that it is seeking public input on privacy protections and surveillance in digital payments, particularly those offered through large technology platforms</w:t>
      </w:r>
    </w:p>
    <w:p>
      <w:pPr>
        <w:spacing w:after="0" w:line="75"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As noted above, activities involving bitcoin and other digital assets may fall within the jurisdiction of more than one financial regulator and various courts and such laws and regulations are rapidly evolving and increasing in scope. On January 23, 2025, President Trump issued an executive order titled, Strengthening American Leadership in Digital Financial Technology. While the executive order did not mandate the adoption of any specific regulations, the executive order identifies certain key objectives to guide agencies involved in crypto regulation, including (i) protecting the sovereignty of the United States dollar by promoting the development of United States dollar-backed stablecoins, (ii) providing regulatory clarity and certainty built on technology-neutral regulations for individuals and firms involved in digital assets, including through well-defined jurisdictional regulatory boundaries, and (iii) taking measures to protect Americans from the risks of Central Bank Digital Currencies. To achieve these objectives, the executive order established a working group on digital asset markets within the National Economic Council, comprised of representatives from key federal agencies, with a tight timeline for examining existing regulations and proposing a new regulatory framework. There have also been several bills introduced in Congress that propose to establish additional regulation and oversight of the digital asset markets.</w:t>
      </w:r>
    </w:p>
    <w:p>
      <w:pPr>
        <w:spacing w:after="0" w:line="29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Enterprise Analytics Software Strategy</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Strategy is a pioneer in AI-powered business intelligence (BI), and a global leader in enterprise analytics solutions. We provide software and services designed to turn complex, chaotic data environments into rich, reliable, and convenient information feeds for our customers. Our vision is to drive growth and competitive advantage for our customers by delivering Intelligence Everywhere™.</w:t>
      </w:r>
    </w:p>
    <w:p>
      <w:pPr>
        <w:spacing w:after="0" w:line="6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cloud-native flagship, Strategy One™, powers some of the largest analytics deployments in the world for customers spanning a wide range of industries, including retail, banking, technology, manufacturing, insurance, consulting, healthcare, telecommunications, and the public sector.</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Integral to the Strategy One platform are Generative AI capabilities that are designed to automate and accelerate the deployment of AI-enabled applications across the enterprise. By making advanced analytics accessible through conversational AI, Strategy One provides non-technical users with timely, actionable insights for decision-making.</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Strategy One Platform</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Strategy One combines the flexibility and scalability afforded by a modern, cloud application with the reliability and security of our robust data governance model. It empowers users by making rich analytics easily accessible and personalized, while enabling organizations to harness the value of their data wherever it is needed.</w:t>
      </w:r>
    </w:p>
    <w:p>
      <w:pPr>
        <w:spacing w:after="0" w:line="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Key Capabilities and Competitive Differentiators:</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Our key capabilities and competitive differentiators include the following:</w:t>
      </w:r>
    </w:p>
    <w:p>
      <w:pPr>
        <w:spacing w:after="0" w:line="113" w:lineRule="exact"/>
        <w:rPr>
          <w:sz w:val="20"/>
          <w:szCs w:val="20"/>
          <w:color w:val="auto"/>
        </w:rPr>
      </w:pPr>
    </w:p>
    <w:p>
      <w:pPr>
        <w:ind w:left="1020" w:hanging="503"/>
        <w:spacing w:after="0" w:line="286" w:lineRule="auto"/>
        <w:tabs>
          <w:tab w:leader="none" w:pos="1020" w:val="left"/>
        </w:tabs>
        <w:numPr>
          <w:ilvl w:val="0"/>
          <w:numId w:val="13"/>
        </w:numPr>
        <w:rPr>
          <w:rFonts w:ascii="Times New Roman" w:cs="Times New Roman" w:eastAsia="Times New Roman" w:hAnsi="Times New Roman"/>
          <w:sz w:val="18"/>
          <w:szCs w:val="18"/>
          <w:b w:val="1"/>
          <w:bCs w:val="1"/>
          <w:i w:val="1"/>
          <w:iCs w:val="1"/>
          <w:color w:val="auto"/>
        </w:rPr>
      </w:pPr>
      <w:r>
        <w:rPr>
          <w:rFonts w:ascii="Times New Roman" w:cs="Times New Roman" w:eastAsia="Times New Roman" w:hAnsi="Times New Roman"/>
          <w:sz w:val="18"/>
          <w:szCs w:val="18"/>
          <w:b w:val="1"/>
          <w:bCs w:val="1"/>
          <w:i w:val="1"/>
          <w:iCs w:val="1"/>
          <w:color w:val="auto"/>
        </w:rPr>
        <w:t xml:space="preserve">Built for the cloud. </w:t>
      </w:r>
      <w:r>
        <w:rPr>
          <w:rFonts w:ascii="Times New Roman" w:cs="Times New Roman" w:eastAsia="Times New Roman" w:hAnsi="Times New Roman"/>
          <w:sz w:val="18"/>
          <w:szCs w:val="18"/>
          <w:color w:val="auto"/>
        </w:rPr>
        <w:t>Our cloud-native, containerized architecture has been optimized for all three hyperscalers – AWS, Azure, and GCP –</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giving our customers freedom of choice and making it easy to embed analytics into custom or third-party cloud and mobile applications.</w:t>
      </w:r>
    </w:p>
    <w:p>
      <w:pPr>
        <w:spacing w:after="0" w:line="46" w:lineRule="exact"/>
        <w:rPr>
          <w:rFonts w:ascii="Times New Roman" w:cs="Times New Roman" w:eastAsia="Times New Roman" w:hAnsi="Times New Roman"/>
          <w:sz w:val="18"/>
          <w:szCs w:val="18"/>
          <w:b w:val="1"/>
          <w:bCs w:val="1"/>
          <w:i w:val="1"/>
          <w:iCs w:val="1"/>
          <w:color w:val="auto"/>
        </w:rPr>
      </w:pPr>
    </w:p>
    <w:p>
      <w:pPr>
        <w:jc w:val="both"/>
        <w:ind w:left="1020" w:hanging="503"/>
        <w:spacing w:after="0" w:line="262" w:lineRule="auto"/>
        <w:tabs>
          <w:tab w:leader="none" w:pos="1020" w:val="left"/>
        </w:tabs>
        <w:numPr>
          <w:ilvl w:val="0"/>
          <w:numId w:val="13"/>
        </w:numPr>
        <w:rPr>
          <w:rFonts w:ascii="Times New Roman" w:cs="Times New Roman" w:eastAsia="Times New Roman" w:hAnsi="Times New Roman"/>
          <w:sz w:val="18"/>
          <w:szCs w:val="18"/>
          <w:b w:val="1"/>
          <w:bCs w:val="1"/>
          <w:i w:val="1"/>
          <w:iCs w:val="1"/>
          <w:color w:val="auto"/>
        </w:rPr>
      </w:pPr>
      <w:r>
        <w:rPr>
          <w:rFonts w:ascii="Times New Roman" w:cs="Times New Roman" w:eastAsia="Times New Roman" w:hAnsi="Times New Roman"/>
          <w:sz w:val="18"/>
          <w:szCs w:val="18"/>
          <w:b w:val="1"/>
          <w:bCs w:val="1"/>
          <w:i w:val="1"/>
          <w:iCs w:val="1"/>
          <w:color w:val="auto"/>
        </w:rPr>
        <w:t xml:space="preserve">Auto, the AI assistant. </w:t>
      </w:r>
      <w:r>
        <w:rPr>
          <w:rFonts w:ascii="Times New Roman" w:cs="Times New Roman" w:eastAsia="Times New Roman" w:hAnsi="Times New Roman"/>
          <w:sz w:val="18"/>
          <w:szCs w:val="18"/>
          <w:color w:val="auto"/>
        </w:rPr>
        <w:t>Our AI bot, Auto, simplifies and automates complex functions using a natural language interface, including SQL</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generation, dashboard creation, data discovery and advanced analytics like forecasting and key driver analysis. Auto is designed to make analytics accessible to non-technical users and extend data-driven decision making across the organization. With Auto, customers also can build their own fully customized bot for any application in a matter of minutes.</w:t>
      </w:r>
    </w:p>
    <w:p>
      <w:pPr>
        <w:spacing w:after="0" w:line="68" w:lineRule="exact"/>
        <w:rPr>
          <w:rFonts w:ascii="Times New Roman" w:cs="Times New Roman" w:eastAsia="Times New Roman" w:hAnsi="Times New Roman"/>
          <w:sz w:val="18"/>
          <w:szCs w:val="18"/>
          <w:b w:val="1"/>
          <w:bCs w:val="1"/>
          <w:i w:val="1"/>
          <w:iCs w:val="1"/>
          <w:color w:val="auto"/>
        </w:rPr>
      </w:pPr>
    </w:p>
    <w:p>
      <w:pPr>
        <w:ind w:left="1020" w:right="20" w:hanging="503"/>
        <w:spacing w:after="0" w:line="286" w:lineRule="auto"/>
        <w:tabs>
          <w:tab w:leader="none" w:pos="1020" w:val="left"/>
        </w:tabs>
        <w:numPr>
          <w:ilvl w:val="0"/>
          <w:numId w:val="13"/>
        </w:numPr>
        <w:rPr>
          <w:rFonts w:ascii="Times New Roman" w:cs="Times New Roman" w:eastAsia="Times New Roman" w:hAnsi="Times New Roman"/>
          <w:sz w:val="18"/>
          <w:szCs w:val="18"/>
          <w:b w:val="1"/>
          <w:bCs w:val="1"/>
          <w:i w:val="1"/>
          <w:iCs w:val="1"/>
          <w:color w:val="auto"/>
        </w:rPr>
      </w:pPr>
      <w:r>
        <w:rPr>
          <w:rFonts w:ascii="Times New Roman" w:cs="Times New Roman" w:eastAsia="Times New Roman" w:hAnsi="Times New Roman"/>
          <w:sz w:val="18"/>
          <w:szCs w:val="18"/>
          <w:b w:val="1"/>
          <w:bCs w:val="1"/>
          <w:i w:val="1"/>
          <w:iCs w:val="1"/>
          <w:color w:val="auto"/>
        </w:rPr>
        <w:t>HyperIntelligence</w:t>
      </w:r>
      <w:r>
        <w:rPr>
          <w:rFonts w:ascii="Times New Roman" w:cs="Times New Roman" w:eastAsia="Times New Roman" w:hAnsi="Times New Roman"/>
          <w:sz w:val="18"/>
          <w:szCs w:val="18"/>
          <w:i w:val="1"/>
          <w:iCs w:val="1"/>
          <w:color w:val="auto"/>
        </w:rPr>
        <w:t>™</w:t>
      </w:r>
      <w:r>
        <w:rPr>
          <w:rFonts w:ascii="Times New Roman" w:cs="Times New Roman" w:eastAsia="Times New Roman" w:hAnsi="Times New Roman"/>
          <w:sz w:val="18"/>
          <w:szCs w:val="18"/>
          <w:color w:val="auto"/>
        </w:rPr>
        <w:t>. This innovative feature presents context-based, click-free insights to the user by hovering over keywords on the screen.</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It can be implemented on mobile, web, or custom applications to enrich understanding and streamline workflows.</w:t>
      </w:r>
    </w:p>
    <w:p>
      <w:pPr>
        <w:spacing w:after="0" w:line="46" w:lineRule="exact"/>
        <w:rPr>
          <w:rFonts w:ascii="Times New Roman" w:cs="Times New Roman" w:eastAsia="Times New Roman" w:hAnsi="Times New Roman"/>
          <w:sz w:val="18"/>
          <w:szCs w:val="18"/>
          <w:b w:val="1"/>
          <w:bCs w:val="1"/>
          <w:i w:val="1"/>
          <w:iCs w:val="1"/>
          <w:color w:val="auto"/>
        </w:rPr>
      </w:pPr>
    </w:p>
    <w:p>
      <w:pPr>
        <w:ind w:left="1020" w:hanging="503"/>
        <w:spacing w:after="0" w:line="286" w:lineRule="auto"/>
        <w:tabs>
          <w:tab w:leader="none" w:pos="1020"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Our </w:t>
      </w:r>
      <w:r>
        <w:rPr>
          <w:rFonts w:ascii="Times New Roman" w:cs="Times New Roman" w:eastAsia="Times New Roman" w:hAnsi="Times New Roman"/>
          <w:sz w:val="18"/>
          <w:szCs w:val="18"/>
          <w:b w:val="1"/>
          <w:bCs w:val="1"/>
          <w:i w:val="1"/>
          <w:iCs w:val="1"/>
          <w:color w:val="auto"/>
        </w:rPr>
        <w:t>Enterprise Semantic Graph™</w:t>
      </w:r>
      <w:r>
        <w:rPr>
          <w:rFonts w:ascii="Times New Roman" w:cs="Times New Roman" w:eastAsia="Times New Roman" w:hAnsi="Times New Roman"/>
          <w:sz w:val="18"/>
          <w:szCs w:val="18"/>
          <w:color w:val="auto"/>
        </w:rPr>
        <w:t xml:space="preserve"> is a powerful metadata layer that helps ensure data insights are trustworthy regardless of how far-reaching the applications and users of data may reside.</w:t>
      </w:r>
    </w:p>
    <w:p>
      <w:pPr>
        <w:spacing w:after="0" w:line="46" w:lineRule="exact"/>
        <w:rPr>
          <w:rFonts w:ascii="Times New Roman" w:cs="Times New Roman" w:eastAsia="Times New Roman" w:hAnsi="Times New Roman"/>
          <w:sz w:val="18"/>
          <w:szCs w:val="18"/>
          <w:color w:val="auto"/>
        </w:rPr>
      </w:pPr>
    </w:p>
    <w:p>
      <w:pPr>
        <w:ind w:left="1020" w:right="20" w:hanging="503"/>
        <w:spacing w:after="0" w:line="286" w:lineRule="auto"/>
        <w:tabs>
          <w:tab w:leader="none" w:pos="1020" w:val="left"/>
        </w:tabs>
        <w:numPr>
          <w:ilvl w:val="0"/>
          <w:numId w:val="13"/>
        </w:numPr>
        <w:rPr>
          <w:rFonts w:ascii="Times New Roman" w:cs="Times New Roman" w:eastAsia="Times New Roman" w:hAnsi="Times New Roman"/>
          <w:sz w:val="18"/>
          <w:szCs w:val="18"/>
          <w:b w:val="1"/>
          <w:bCs w:val="1"/>
          <w:i w:val="1"/>
          <w:iCs w:val="1"/>
          <w:color w:val="auto"/>
        </w:rPr>
      </w:pPr>
      <w:r>
        <w:rPr>
          <w:rFonts w:ascii="Times New Roman" w:cs="Times New Roman" w:eastAsia="Times New Roman" w:hAnsi="Times New Roman"/>
          <w:sz w:val="18"/>
          <w:szCs w:val="18"/>
          <w:b w:val="1"/>
          <w:bCs w:val="1"/>
          <w:i w:val="1"/>
          <w:iCs w:val="1"/>
          <w:color w:val="auto"/>
        </w:rPr>
        <w:t xml:space="preserve">Flexible deployment. </w:t>
      </w:r>
      <w:r>
        <w:rPr>
          <w:rFonts w:ascii="Times New Roman" w:cs="Times New Roman" w:eastAsia="Times New Roman" w:hAnsi="Times New Roman"/>
          <w:sz w:val="18"/>
          <w:szCs w:val="18"/>
          <w:color w:val="auto"/>
        </w:rPr>
        <w:t>Customers can choose to deploy our platform on premises, using their own cloud environment, or through our fully</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managed cloud environments for commercial or government use.</w:t>
      </w:r>
    </w:p>
    <w:p>
      <w:pPr>
        <w:spacing w:after="0" w:line="46" w:lineRule="exact"/>
        <w:rPr>
          <w:rFonts w:ascii="Times New Roman" w:cs="Times New Roman" w:eastAsia="Times New Roman" w:hAnsi="Times New Roman"/>
          <w:sz w:val="18"/>
          <w:szCs w:val="18"/>
          <w:b w:val="1"/>
          <w:bCs w:val="1"/>
          <w:i w:val="1"/>
          <w:iCs w:val="1"/>
          <w:color w:val="auto"/>
        </w:rPr>
      </w:pPr>
    </w:p>
    <w:p>
      <w:pPr>
        <w:ind w:left="1020" w:hanging="503"/>
        <w:spacing w:after="0" w:line="286" w:lineRule="auto"/>
        <w:tabs>
          <w:tab w:leader="none" w:pos="1020" w:val="left"/>
        </w:tabs>
        <w:numPr>
          <w:ilvl w:val="0"/>
          <w:numId w:val="13"/>
        </w:numPr>
        <w:rPr>
          <w:rFonts w:ascii="Times New Roman" w:cs="Times New Roman" w:eastAsia="Times New Roman" w:hAnsi="Times New Roman"/>
          <w:sz w:val="18"/>
          <w:szCs w:val="18"/>
          <w:b w:val="1"/>
          <w:bCs w:val="1"/>
          <w:i w:val="1"/>
          <w:iCs w:val="1"/>
          <w:color w:val="auto"/>
        </w:rPr>
      </w:pPr>
      <w:r>
        <w:rPr>
          <w:rFonts w:ascii="Times New Roman" w:cs="Times New Roman" w:eastAsia="Times New Roman" w:hAnsi="Times New Roman"/>
          <w:sz w:val="18"/>
          <w:szCs w:val="18"/>
          <w:b w:val="1"/>
          <w:bCs w:val="1"/>
          <w:i w:val="1"/>
          <w:iCs w:val="1"/>
          <w:color w:val="auto"/>
        </w:rPr>
        <w:t xml:space="preserve">Open and interoperable. </w:t>
      </w:r>
      <w:r>
        <w:rPr>
          <w:rFonts w:ascii="Times New Roman" w:cs="Times New Roman" w:eastAsia="Times New Roman" w:hAnsi="Times New Roman"/>
          <w:sz w:val="18"/>
          <w:szCs w:val="18"/>
          <w:color w:val="auto"/>
        </w:rPr>
        <w:t>Developers can leverage scripts, APIs, and 200+ connectors (local and cloud) to embed the platform or build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predictive, machine learning-enhanced data models on top of a secure and trusted foundation.</w:t>
      </w:r>
    </w:p>
    <w:p>
      <w:pPr>
        <w:spacing w:after="0" w:line="15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2" w:name="page13"/>
    <w:bookmarkEnd w:id="12"/>
    <w:p>
      <w:pPr>
        <w:spacing w:after="0"/>
        <w:rPr>
          <w:sz w:val="20"/>
          <w:szCs w:val="20"/>
          <w:color w:val="auto"/>
        </w:rPr>
      </w:pPr>
      <w:r>
        <w:rPr>
          <w:rFonts w:ascii="Times New Roman" w:cs="Times New Roman" w:eastAsia="Times New Roman" w:hAnsi="Times New Roman"/>
          <w:sz w:val="18"/>
          <w:szCs w:val="18"/>
          <w:b w:val="1"/>
          <w:bCs w:val="1"/>
          <w:i w:val="1"/>
          <w:iCs w:val="1"/>
          <w:color w:val="auto"/>
        </w:rPr>
        <w:t>FedRAMP Authorization</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Strategy’s cloud solution for government is authorized to operate under the Federal Risk and Authorization Management Program (“FedRAMP”) guidelines, which certifies compliance with essential cloud security and data protection standards set by the U.S. Federal government. The solution offers always-on threat monitoring that meets the rigorous technical and regulatory needs of governments and financial institutions worldwide. Strategy’s government cloud solution achieved this designation through collaboration with the U.S. Department of Health and Human Services.</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Strategy Professional Services™</w:t>
      </w:r>
    </w:p>
    <w:p>
      <w:pPr>
        <w:spacing w:after="0" w:line="2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Strategy Support</w:t>
      </w:r>
    </w:p>
    <w:p>
      <w:pPr>
        <w:spacing w:after="0" w:line="11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Our global network of Strategy-certified technical support experts help our customers achieve their system availability and usage goals through highly responsive troubleshooting and assistance. Standard support is included in every maintenance plan or subscription license. Premium support options are also available for extended coverage and enhanced service at each touchpoint.</w:t>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Strategy Consulting</w:t>
      </w:r>
    </w:p>
    <w:p>
      <w:pPr>
        <w:spacing w:after="0" w:line="11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Many companies lack the internal expertise needed to design solutions for managing and optimizing their data stores. Strategy consultants deliver architecture and implementation services to help customers realize their desired results. With thousands of successful projects delivered to customers worldwide, our consultants apply industry best practices to define, develop, and deliver AI-powered analytics solutions for virtually any business intelligence need.</w:t>
      </w:r>
    </w:p>
    <w:p>
      <w:pPr>
        <w:spacing w:after="0" w:line="17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Strategy Education</w:t>
      </w:r>
    </w:p>
    <w:p>
      <w:pPr>
        <w:spacing w:after="0" w:line="11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To help organizations maximize the adoption and performance of their Strategy solutions, the Strategy education team offers free and paid learning options, available worldwide in multiple languages and a variety of formats—both in person and online, live and on-demand.</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Sales and Marketing</w:t>
      </w:r>
    </w:p>
    <w:p>
      <w:pPr>
        <w:spacing w:after="0" w:line="2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Licensing Models</w:t>
      </w:r>
    </w:p>
    <w:p>
      <w:pPr>
        <w:spacing w:after="0" w:line="11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Strategy sells its software platform under two pricing models: (i) simple user-based subscriptions for cloud-based deployments, and (ii) legacy enterprise software licensing for on premise deployments. Subscriptions for cloud-based deployments typically are for 36 months and include standard support. Enterprise software license terms are often perpetual, but term licenses typically range from 12 to 36 months and include standard support and maintenance for the term of the license. Premium support services are available with either licensing model for added fees.</w:t>
      </w:r>
    </w:p>
    <w:p>
      <w:pPr>
        <w:spacing w:after="0" w:line="17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Dedicated Sales and Customer Success Teams</w:t>
      </w:r>
    </w:p>
    <w:p>
      <w:pPr>
        <w:spacing w:after="0" w:line="11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Strategy sells its offerings chiefly through a direct sales force, with sales offices throughout the world. We also support customers post-sale through a dedicated Customer Success team that manages the customer lifecycle, from onboarding and training through license renewal and expansion. This separation allows our Sales team to focus on new business development and acquisition, while our Customer Success team focuses on customer experience, satisfaction, and lifetime value.</w:t>
      </w:r>
    </w:p>
    <w:p>
      <w:pPr>
        <w:spacing w:after="0" w:line="17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Strategic Partnerships</w:t>
      </w:r>
    </w:p>
    <w:p>
      <w:pPr>
        <w:spacing w:after="0" w:line="11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Strategy has established strategic partnerships with a wide variety of third-party vendors, including cloud hosting providers (AWS, Microsoft, STACKIT, and Google), system integrators, consulting firms, value added resellers (VARs), managed service providers (MSPs), and independent software vendors (ISVs). These firms resell, support, or extend the Strategy platform for a variety of commercial purposes, and our agreements with them generally provide non-exclusive rights to our software, marketing materials, product training, and direct sales force for field-level assistance.</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make significant financial investments with our channel partners, including technical training, certifications, pre-sales and sales enablement, and co-marketing programs. Through our joint efforts, we believe customers can minimize their risk and maximize the return on their business intelligence projects. Our channel partners allow us to extend sales and service coverage and industry-specific expertise across regions, languages, and business types.</w:t>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Marketing</w:t>
      </w:r>
    </w:p>
    <w:p>
      <w:pPr>
        <w:spacing w:after="0" w:line="2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13" w:name="page14"/>
    <w:bookmarkEnd w:id="13"/>
    <w:p>
      <w:pPr>
        <w:spacing w:after="0"/>
        <w:rPr>
          <w:sz w:val="20"/>
          <w:szCs w:val="20"/>
          <w:color w:val="auto"/>
        </w:rPr>
      </w:pPr>
      <w:r>
        <w:rPr>
          <w:rFonts w:ascii="Times New Roman" w:cs="Times New Roman" w:eastAsia="Times New Roman" w:hAnsi="Times New Roman"/>
          <w:sz w:val="18"/>
          <w:szCs w:val="18"/>
          <w:color w:val="auto"/>
        </w:rPr>
        <w:t>Strategy’s marketing programs target the following principal audiences:</w:t>
      </w:r>
    </w:p>
    <w:p>
      <w:pPr>
        <w:spacing w:after="0" w:line="117" w:lineRule="exact"/>
        <w:rPr>
          <w:sz w:val="20"/>
          <w:szCs w:val="20"/>
          <w:color w:val="auto"/>
        </w:rPr>
      </w:pPr>
    </w:p>
    <w:p>
      <w:pPr>
        <w:ind w:left="1020" w:hanging="503"/>
        <w:spacing w:after="0"/>
        <w:tabs>
          <w:tab w:leader="none" w:pos="102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technology and line-of-business executives across large, global enterprises and mid-size organizations;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government technology buyers and vendors to the government community;</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ISVs that want to embed analytics technology in their applications; and</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system integrators that have technology relationships with large enterprises, governments, and information-intensive businesses.</w:t>
      </w:r>
    </w:p>
    <w:p>
      <w:pPr>
        <w:spacing w:after="0" w:line="117"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channels we use to reach prospective buyers and partners include digital and social media, search and display advertising, industry and hosted events, webinars, email, partner co-marketing activities, and educational forums.</w:t>
      </w:r>
    </w:p>
    <w:p>
      <w:pPr>
        <w:spacing w:after="0" w:line="16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Competition</w:t>
      </w:r>
    </w:p>
    <w:p>
      <w:pPr>
        <w:spacing w:after="0" w:line="11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analytics market is highly competitive and subject to rapidly changing technology and market conditions. For enterprise analytics, Strategy competes with global ISVs, such as IBM, Microsoft, Oracle, Salesforce, and SAP. Our ability to compete successfully depends on various factors within and outside of our control. Some of these factors include software quality, performance and reliability; the quality of our service and support teams; marketing and prospecting effectiveness; the ability to incorporate artificial intelligence and other technically advanced features; and our ability to differentiate our products. Failure to perform in these or other areas may reduce the demand for our offerings and materially adversely affect our revenue from both existing and prospective customers.</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Government Regulation</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Aspects of our business involve collecting, processing, disclosing, storing, and transmitting personal data, which are subject to certain privacy policies, contractual obligations, and U.S. and foreign laws, regulations, and directives relating to privacy and data protection.</w:t>
      </w:r>
    </w:p>
    <w:p>
      <w:pPr>
        <w:spacing w:after="0" w:line="54"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There are a broad variety of other data protection laws in the United States that are or may be applicable to our activities, and a wide range of enforcement agencies at both the state and federal levels that can review companies for privacy and data security concerns based on general consumer protection laws. The Federal Trade Commission and state Attorneys General all are aggressive in reviewing privacy and data security protections for consumers. New laws also are being considered at both the state and federal levels. A broad range of legislative measures also have been introduced at the federal level. Accordingly, failure to comply with federal and state laws (both those currently in effect and future legislation) regarding privacy and security of personal information could expose us to fines and penalties under such laws. In the event of a security breach, we also may have obligations to notify our customers or other parties or individuals about this breach, and this can lead to significant costs and the risk of potential enforcement and/or litigation. There is also a threat of consumer class actions related to these laws and the overall protection of personal data. Even if we are not determined to have violated these laws, government investigations into these issues typically require the expenditure of significant resources and generate negative publicity, which could harm our reputation and our business.</w:t>
      </w:r>
    </w:p>
    <w:p>
      <w:pPr>
        <w:spacing w:after="0" w:line="86"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There are similar laws in other countries, including the General Data Protection Regulation (“GDPR”) in the European Union which imposes requirements regarding the handling and security of personal data, requires disclosure of data breaches to individuals, customers, and data protection authorities in certain circumstances, requires companies to honor data subjects’ requests relating to their personal data, permits regulators to impose fines of up to €20,000,000 or 4% of global annual revenue, whichever is higher, and establishes a private right of action.</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addition to these specific laws, we also are subject to other privacy, security, and data protection laws around the world. In addition to the laws in place already, other countries are also considering new or expanded laws governing privacy and data security that may impact our business practices. These laws may impact our ongoing business activities and our relationships with our business partners, customers and service providers.</w:t>
      </w:r>
    </w:p>
    <w:p>
      <w:pPr>
        <w:spacing w:after="0" w:line="68"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Furthermore, the U.S. Congress is considering comprehensive privacy legislation. At this time, it is unclear whether Congress will pass such a law and if so, when and what it will require and prohibit. Moreover, it is not clear whether any such legislation would give the Federal Trade Commission (“FTC”) any new authority to impose civil penalties for violations of the Federal Trade Commission Act in the first instance, whether Congress will grant the FTC rulemaking authority over privacy and information security, or whether Congress will vest some or all privacy and data security regulatory authority and enforcement power in a new agency, akin to EU data protection authorities.</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Employees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of December 31, 2024, we had a total of 1,534 employees, of whom 453 were based in the United States and 1,081 were based internationally. None of our employees in the United States is represented by a labor union; however, employees of certain of our foreign subsidiaries are members of trade or local unions. For example, in France, our employees are represented by a works council as required by local law. We have not experienced any work stoppages and generally consider our relations with our employees to be good.</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4" w:name="page15"/>
    <w:bookmarkEnd w:id="14"/>
    <w:p>
      <w:pPr>
        <w:spacing w:after="0"/>
        <w:rPr>
          <w:sz w:val="20"/>
          <w:szCs w:val="20"/>
          <w:color w:val="auto"/>
        </w:rPr>
      </w:pPr>
      <w:r>
        <w:rPr>
          <w:rFonts w:ascii="Times New Roman" w:cs="Times New Roman" w:eastAsia="Times New Roman" w:hAnsi="Times New Roman"/>
          <w:sz w:val="18"/>
          <w:szCs w:val="18"/>
          <w:color w:val="auto"/>
        </w:rPr>
        <w:t>The following table summarizes employee headcount as of the dates indicated:</w:t>
      </w:r>
    </w:p>
    <w:p>
      <w:pPr>
        <w:spacing w:after="0" w:line="206" w:lineRule="exact"/>
        <w:rPr>
          <w:sz w:val="20"/>
          <w:szCs w:val="20"/>
          <w:color w:val="auto"/>
        </w:rPr>
      </w:pPr>
    </w:p>
    <w:tbl>
      <w:tblPr>
        <w:tblLayout w:type="fixed"/>
        <w:tblInd w:w="1140" w:type="dxa"/>
        <w:tblCellMar>
          <w:top w:w="0" w:type="dxa"/>
          <w:left w:w="0" w:type="dxa"/>
          <w:bottom w:w="0" w:type="dxa"/>
          <w:right w:w="0" w:type="dxa"/>
        </w:tblCellMar>
      </w:tblPr>
      <w:tr>
        <w:trPr>
          <w:trHeight w:val="161"/>
        </w:trPr>
        <w:tc>
          <w:tcPr>
            <w:tcW w:w="5300" w:type="dxa"/>
            <w:vAlign w:val="bottom"/>
          </w:tcPr>
          <w:p>
            <w:pPr>
              <w:spacing w:after="0"/>
              <w:rPr>
                <w:sz w:val="13"/>
                <w:szCs w:val="13"/>
                <w:color w:val="auto"/>
              </w:rPr>
            </w:pPr>
          </w:p>
        </w:tc>
        <w:tc>
          <w:tcPr>
            <w:tcW w:w="1080" w:type="dxa"/>
            <w:vAlign w:val="bottom"/>
          </w:tcPr>
          <w:p>
            <w:pPr>
              <w:jc w:val="right"/>
              <w:ind w:right="54"/>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220" w:type="dxa"/>
            <w:vAlign w:val="bottom"/>
          </w:tcPr>
          <w:p>
            <w:pPr>
              <w:spacing w:after="0"/>
              <w:rPr>
                <w:sz w:val="13"/>
                <w:szCs w:val="13"/>
                <w:color w:val="auto"/>
              </w:rPr>
            </w:pPr>
          </w:p>
        </w:tc>
        <w:tc>
          <w:tcPr>
            <w:tcW w:w="1060" w:type="dxa"/>
            <w:vAlign w:val="bottom"/>
          </w:tcPr>
          <w:p>
            <w:pPr>
              <w:jc w:val="right"/>
              <w:ind w:right="42"/>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200" w:type="dxa"/>
            <w:vAlign w:val="bottom"/>
          </w:tcPr>
          <w:p>
            <w:pPr>
              <w:spacing w:after="0"/>
              <w:rPr>
                <w:sz w:val="13"/>
                <w:szCs w:val="13"/>
                <w:color w:val="auto"/>
              </w:rPr>
            </w:pPr>
          </w:p>
        </w:tc>
        <w:tc>
          <w:tcPr>
            <w:tcW w:w="1120" w:type="dxa"/>
            <w:vAlign w:val="bottom"/>
            <w:gridSpan w:val="2"/>
          </w:tcPr>
          <w:p>
            <w:pPr>
              <w:ind w:left="80"/>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73"/>
        </w:trPr>
        <w:tc>
          <w:tcPr>
            <w:tcW w:w="5300" w:type="dxa"/>
            <w:vAlign w:val="bottom"/>
          </w:tcPr>
          <w:p>
            <w:pPr>
              <w:spacing w:after="0"/>
              <w:rPr>
                <w:sz w:val="15"/>
                <w:szCs w:val="15"/>
                <w:color w:val="auto"/>
              </w:rPr>
            </w:pPr>
          </w:p>
        </w:tc>
        <w:tc>
          <w:tcPr>
            <w:tcW w:w="1080" w:type="dxa"/>
            <w:vAlign w:val="bottom"/>
            <w:tcBorders>
              <w:bottom w:val="single" w:sz="8" w:color="auto"/>
            </w:tcBorders>
          </w:tcPr>
          <w:p>
            <w:pPr>
              <w:jc w:val="right"/>
              <w:ind w:right="314"/>
              <w:spacing w:after="0"/>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5"/>
                <w:szCs w:val="15"/>
                <w:color w:val="auto"/>
              </w:rPr>
            </w:pPr>
          </w:p>
        </w:tc>
        <w:tc>
          <w:tcPr>
            <w:tcW w:w="1060" w:type="dxa"/>
            <w:vAlign w:val="bottom"/>
            <w:tcBorders>
              <w:bottom w:val="single" w:sz="8" w:color="auto"/>
            </w:tcBorders>
          </w:tcPr>
          <w:p>
            <w:pPr>
              <w:jc w:val="right"/>
              <w:ind w:right="322"/>
              <w:spacing w:after="0"/>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5"/>
                <w:szCs w:val="15"/>
                <w:color w:val="auto"/>
              </w:rPr>
            </w:pPr>
          </w:p>
        </w:tc>
        <w:tc>
          <w:tcPr>
            <w:tcW w:w="1040" w:type="dxa"/>
            <w:vAlign w:val="bottom"/>
            <w:tcBorders>
              <w:bottom w:val="single" w:sz="8" w:color="auto"/>
            </w:tcBorders>
          </w:tcPr>
          <w:p>
            <w:pPr>
              <w:jc w:val="right"/>
              <w:ind w:right="322"/>
              <w:spacing w:after="0"/>
              <w:rPr>
                <w:sz w:val="20"/>
                <w:szCs w:val="20"/>
                <w:color w:val="auto"/>
              </w:rPr>
            </w:pPr>
            <w:r>
              <w:rPr>
                <w:rFonts w:ascii="Times New Roman" w:cs="Times New Roman" w:eastAsia="Times New Roman" w:hAnsi="Times New Roman"/>
                <w:sz w:val="14"/>
                <w:szCs w:val="14"/>
                <w:b w:val="1"/>
                <w:bCs w:val="1"/>
                <w:color w:val="auto"/>
              </w:rPr>
              <w:t>2022</w:t>
            </w:r>
          </w:p>
        </w:tc>
        <w:tc>
          <w:tcPr>
            <w:tcW w:w="80" w:type="dxa"/>
            <w:vAlign w:val="bottom"/>
          </w:tcPr>
          <w:p>
            <w:pPr>
              <w:spacing w:after="0"/>
              <w:rPr>
                <w:sz w:val="15"/>
                <w:szCs w:val="15"/>
                <w:color w:val="auto"/>
              </w:rPr>
            </w:pPr>
          </w:p>
        </w:tc>
      </w:tr>
      <w:tr>
        <w:trPr>
          <w:trHeight w:val="210"/>
        </w:trPr>
        <w:tc>
          <w:tcPr>
            <w:tcW w:w="53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Subscription services</w:t>
            </w: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95</w:t>
            </w:r>
          </w:p>
        </w:tc>
        <w:tc>
          <w:tcPr>
            <w:tcW w:w="12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100</w:t>
            </w:r>
          </w:p>
        </w:tc>
        <w:tc>
          <w:tcPr>
            <w:tcW w:w="1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110</w:t>
            </w:r>
          </w:p>
        </w:tc>
        <w:tc>
          <w:tcPr>
            <w:tcW w:w="80" w:type="dxa"/>
            <w:vAlign w:val="bottom"/>
            <w:shd w:val="clear" w:color="auto" w:fill="CFF0FC"/>
          </w:tcPr>
          <w:p>
            <w:pPr>
              <w:spacing w:after="0"/>
              <w:rPr>
                <w:sz w:val="18"/>
                <w:szCs w:val="18"/>
                <w:color w:val="auto"/>
              </w:rPr>
            </w:pPr>
          </w:p>
        </w:tc>
      </w:tr>
      <w:tr>
        <w:trPr>
          <w:trHeight w:val="216"/>
        </w:trPr>
        <w:tc>
          <w:tcPr>
            <w:tcW w:w="5300" w:type="dxa"/>
            <w:vAlign w:val="bottom"/>
          </w:tcPr>
          <w:p>
            <w:pPr>
              <w:spacing w:after="0"/>
              <w:rPr>
                <w:sz w:val="20"/>
                <w:szCs w:val="20"/>
                <w:color w:val="auto"/>
              </w:rPr>
            </w:pPr>
            <w:r>
              <w:rPr>
                <w:rFonts w:ascii="Times New Roman" w:cs="Times New Roman" w:eastAsia="Times New Roman" w:hAnsi="Times New Roman"/>
                <w:sz w:val="18"/>
                <w:szCs w:val="18"/>
                <w:color w:val="auto"/>
              </w:rPr>
              <w:t>Product support</w:t>
            </w: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w:t>
            </w:r>
          </w:p>
        </w:tc>
        <w:tc>
          <w:tcPr>
            <w:tcW w:w="12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154</w:t>
            </w:r>
          </w:p>
        </w:tc>
        <w:tc>
          <w:tcPr>
            <w:tcW w:w="12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183</w:t>
            </w:r>
          </w:p>
        </w:tc>
        <w:tc>
          <w:tcPr>
            <w:tcW w:w="80" w:type="dxa"/>
            <w:vAlign w:val="bottom"/>
          </w:tcPr>
          <w:p>
            <w:pPr>
              <w:spacing w:after="0"/>
              <w:rPr>
                <w:sz w:val="18"/>
                <w:szCs w:val="18"/>
                <w:color w:val="auto"/>
              </w:rPr>
            </w:pPr>
          </w:p>
        </w:tc>
      </w:tr>
      <w:tr>
        <w:trPr>
          <w:trHeight w:val="216"/>
        </w:trPr>
        <w:tc>
          <w:tcPr>
            <w:tcW w:w="53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Consulting</w:t>
            </w: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275</w:t>
            </w:r>
          </w:p>
        </w:tc>
        <w:tc>
          <w:tcPr>
            <w:tcW w:w="12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399</w:t>
            </w:r>
          </w:p>
        </w:tc>
        <w:tc>
          <w:tcPr>
            <w:tcW w:w="1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447</w:t>
            </w:r>
          </w:p>
        </w:tc>
        <w:tc>
          <w:tcPr>
            <w:tcW w:w="80" w:type="dxa"/>
            <w:vAlign w:val="bottom"/>
            <w:shd w:val="clear" w:color="auto" w:fill="CFF0FC"/>
          </w:tcPr>
          <w:p>
            <w:pPr>
              <w:spacing w:after="0"/>
              <w:rPr>
                <w:sz w:val="18"/>
                <w:szCs w:val="18"/>
                <w:color w:val="auto"/>
              </w:rPr>
            </w:pPr>
          </w:p>
        </w:tc>
      </w:tr>
      <w:tr>
        <w:trPr>
          <w:trHeight w:val="216"/>
        </w:trPr>
        <w:tc>
          <w:tcPr>
            <w:tcW w:w="5300" w:type="dxa"/>
            <w:vAlign w:val="bottom"/>
          </w:tcPr>
          <w:p>
            <w:pPr>
              <w:spacing w:after="0"/>
              <w:rPr>
                <w:sz w:val="20"/>
                <w:szCs w:val="20"/>
                <w:color w:val="auto"/>
              </w:rPr>
            </w:pPr>
            <w:r>
              <w:rPr>
                <w:rFonts w:ascii="Times New Roman" w:cs="Times New Roman" w:eastAsia="Times New Roman" w:hAnsi="Times New Roman"/>
                <w:sz w:val="18"/>
                <w:szCs w:val="18"/>
                <w:color w:val="auto"/>
              </w:rPr>
              <w:t>Education</w:t>
            </w: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w:t>
            </w:r>
          </w:p>
        </w:tc>
        <w:tc>
          <w:tcPr>
            <w:tcW w:w="12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13</w:t>
            </w:r>
          </w:p>
        </w:tc>
        <w:tc>
          <w:tcPr>
            <w:tcW w:w="12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16</w:t>
            </w:r>
          </w:p>
        </w:tc>
        <w:tc>
          <w:tcPr>
            <w:tcW w:w="80" w:type="dxa"/>
            <w:vAlign w:val="bottom"/>
          </w:tcPr>
          <w:p>
            <w:pPr>
              <w:spacing w:after="0"/>
              <w:rPr>
                <w:sz w:val="18"/>
                <w:szCs w:val="18"/>
                <w:color w:val="auto"/>
              </w:rPr>
            </w:pPr>
          </w:p>
        </w:tc>
      </w:tr>
      <w:tr>
        <w:trPr>
          <w:trHeight w:val="216"/>
        </w:trPr>
        <w:tc>
          <w:tcPr>
            <w:tcW w:w="53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Sales and marketing</w:t>
            </w: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295</w:t>
            </w:r>
          </w:p>
        </w:tc>
        <w:tc>
          <w:tcPr>
            <w:tcW w:w="12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390</w:t>
            </w:r>
          </w:p>
        </w:tc>
        <w:tc>
          <w:tcPr>
            <w:tcW w:w="1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434</w:t>
            </w:r>
          </w:p>
        </w:tc>
        <w:tc>
          <w:tcPr>
            <w:tcW w:w="80" w:type="dxa"/>
            <w:vAlign w:val="bottom"/>
            <w:shd w:val="clear" w:color="auto" w:fill="CFF0FC"/>
          </w:tcPr>
          <w:p>
            <w:pPr>
              <w:spacing w:after="0"/>
              <w:rPr>
                <w:sz w:val="18"/>
                <w:szCs w:val="18"/>
                <w:color w:val="auto"/>
              </w:rPr>
            </w:pPr>
          </w:p>
        </w:tc>
      </w:tr>
      <w:tr>
        <w:trPr>
          <w:trHeight w:val="216"/>
        </w:trPr>
        <w:tc>
          <w:tcPr>
            <w:tcW w:w="5300" w:type="dxa"/>
            <w:vAlign w:val="bottom"/>
          </w:tcPr>
          <w:p>
            <w:pPr>
              <w:spacing w:after="0"/>
              <w:rPr>
                <w:sz w:val="20"/>
                <w:szCs w:val="20"/>
                <w:color w:val="auto"/>
              </w:rPr>
            </w:pPr>
            <w:r>
              <w:rPr>
                <w:rFonts w:ascii="Times New Roman" w:cs="Times New Roman" w:eastAsia="Times New Roman" w:hAnsi="Times New Roman"/>
                <w:sz w:val="18"/>
                <w:szCs w:val="18"/>
                <w:color w:val="auto"/>
              </w:rPr>
              <w:t>Research and development</w:t>
            </w: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498</w:t>
            </w:r>
          </w:p>
        </w:tc>
        <w:tc>
          <w:tcPr>
            <w:tcW w:w="12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642</w:t>
            </w:r>
          </w:p>
        </w:tc>
        <w:tc>
          <w:tcPr>
            <w:tcW w:w="12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688</w:t>
            </w:r>
          </w:p>
        </w:tc>
        <w:tc>
          <w:tcPr>
            <w:tcW w:w="80" w:type="dxa"/>
            <w:vAlign w:val="bottom"/>
          </w:tcPr>
          <w:p>
            <w:pPr>
              <w:spacing w:after="0"/>
              <w:rPr>
                <w:sz w:val="18"/>
                <w:szCs w:val="18"/>
                <w:color w:val="auto"/>
              </w:rPr>
            </w:pPr>
          </w:p>
        </w:tc>
      </w:tr>
      <w:tr>
        <w:trPr>
          <w:trHeight w:val="216"/>
        </w:trPr>
        <w:tc>
          <w:tcPr>
            <w:tcW w:w="530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10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197</w:t>
            </w:r>
          </w:p>
        </w:tc>
        <w:tc>
          <w:tcPr>
            <w:tcW w:w="220" w:type="dxa"/>
            <w:vAlign w:val="bottom"/>
            <w:tcBorders>
              <w:bottom w:val="single" w:sz="8" w:color="CFF0FC"/>
            </w:tcBorders>
            <w:shd w:val="clear" w:color="auto" w:fill="CFF0FC"/>
          </w:tcPr>
          <w:p>
            <w:pPr>
              <w:spacing w:after="0"/>
              <w:rPr>
                <w:sz w:val="18"/>
                <w:szCs w:val="18"/>
                <w:color w:val="auto"/>
              </w:rPr>
            </w:pPr>
          </w:p>
        </w:tc>
        <w:tc>
          <w:tcPr>
            <w:tcW w:w="10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236</w:t>
            </w:r>
          </w:p>
        </w:tc>
        <w:tc>
          <w:tcPr>
            <w:tcW w:w="200" w:type="dxa"/>
            <w:vAlign w:val="bottom"/>
            <w:tcBorders>
              <w:bottom w:val="single" w:sz="8" w:color="CFF0FC"/>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274</w:t>
            </w:r>
          </w:p>
        </w:tc>
        <w:tc>
          <w:tcPr>
            <w:tcW w:w="80" w:type="dxa"/>
            <w:vAlign w:val="bottom"/>
            <w:tcBorders>
              <w:bottom w:val="single" w:sz="8" w:color="CFF0FC"/>
            </w:tcBorders>
            <w:shd w:val="clear" w:color="auto" w:fill="CFF0FC"/>
          </w:tcPr>
          <w:p>
            <w:pPr>
              <w:spacing w:after="0"/>
              <w:rPr>
                <w:sz w:val="18"/>
                <w:szCs w:val="18"/>
                <w:color w:val="auto"/>
              </w:rPr>
            </w:pPr>
          </w:p>
        </w:tc>
      </w:tr>
      <w:tr>
        <w:trPr>
          <w:trHeight w:val="209"/>
        </w:trPr>
        <w:tc>
          <w:tcPr>
            <w:tcW w:w="530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headcount</w:t>
            </w: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1,534</w:t>
            </w:r>
          </w:p>
        </w:tc>
        <w:tc>
          <w:tcPr>
            <w:tcW w:w="12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1,934</w:t>
            </w:r>
          </w:p>
        </w:tc>
        <w:tc>
          <w:tcPr>
            <w:tcW w:w="12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2,152</w:t>
            </w:r>
          </w:p>
        </w:tc>
        <w:tc>
          <w:tcPr>
            <w:tcW w:w="80" w:type="dxa"/>
            <w:vAlign w:val="bottom"/>
          </w:tcPr>
          <w:p>
            <w:pPr>
              <w:spacing w:after="0"/>
              <w:rPr>
                <w:sz w:val="18"/>
                <w:szCs w:val="18"/>
                <w:color w:val="auto"/>
              </w:rPr>
            </w:pPr>
          </w:p>
        </w:tc>
      </w:tr>
      <w:tr>
        <w:trPr>
          <w:trHeight w:val="20"/>
        </w:trPr>
        <w:tc>
          <w:tcPr>
            <w:tcW w:w="5300" w:type="dxa"/>
            <w:vAlign w:val="bottom"/>
          </w:tcPr>
          <w:p>
            <w:pPr>
              <w:spacing w:after="0" w:line="20" w:lineRule="exact"/>
              <w:rPr>
                <w:sz w:val="1"/>
                <w:szCs w:val="1"/>
                <w:color w:val="auto"/>
              </w:rPr>
            </w:pPr>
          </w:p>
        </w:tc>
        <w:tc>
          <w:tcPr>
            <w:tcW w:w="10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06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04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4771390</wp:posOffset>
            </wp:positionH>
            <wp:positionV relativeFrom="paragraph">
              <wp:posOffset>-170815</wp:posOffset>
            </wp:positionV>
            <wp:extent cx="60325" cy="825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5585460</wp:posOffset>
            </wp:positionH>
            <wp:positionV relativeFrom="paragraph">
              <wp:posOffset>-170815</wp:posOffset>
            </wp:positionV>
            <wp:extent cx="51435" cy="825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6374130</wp:posOffset>
            </wp:positionH>
            <wp:positionV relativeFrom="paragraph">
              <wp:posOffset>-170815</wp:posOffset>
            </wp:positionV>
            <wp:extent cx="51435" cy="825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51435" cy="8255"/>
                    </a:xfrm>
                    <a:prstGeom prst="rect">
                      <a:avLst/>
                    </a:prstGeom>
                    <a:noFill/>
                  </pic:spPr>
                </pic:pic>
              </a:graphicData>
            </a:graphic>
          </wp:anchor>
        </w:drawing>
      </w:r>
    </w:p>
    <w:p>
      <w:pPr>
        <w:spacing w:after="0" w:line="70"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recognize and value the contribution of all our employees. Due to their dedication, hard work, loyalty, and commitment, we have had continued success as a company. Our philosophy is to create an agile, evolving environment that allows all of our employees to grow and thrive, with initiatives and platforms that reward and recognize employees for their hard work and commitment to delivering personal excellence and creativity at Strategy.</w:t>
      </w:r>
    </w:p>
    <w:p>
      <w:pPr>
        <w:spacing w:after="0" w:line="68"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Our human capital management objectives are to attract, retain, and develop leading talent to deliver on our business strategies. To accomplish these objectives, we constantly strive to understand the drivers of talent attraction, retention, and sustainable engagement with our employees in each of the geographies in which we operate. As part of this process, we regularly benchmark the benefits we offer our employees against those offered within our industry generally and the local markets in which we operate. During 2024, we continued to offer our equity compensation programs worldwide to provide our employees with greater opportunities to share in any appreciation of our class A common stock. In addition, we pride ourselves on preparing a highly skilled workforce through technical boot camps, regular training workshops, and a variety of other learning experiences. Our initiative-driven teams work with a modern technology stack, and they meet and learn from some of the most experienced innovators in their field. Through these efforts we seek to create an environment in which our employees can flourish, respond quickly to client demand and enhance their connections with colleagues and towards the communities they are a part of globally.</w:t>
      </w:r>
    </w:p>
    <w:p>
      <w:pPr>
        <w:spacing w:after="0" w:line="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Available Information</w:t>
      </w:r>
    </w:p>
    <w:p>
      <w:pPr>
        <w:spacing w:after="0" w:line="12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 xml:space="preserve">Our website is located at </w:t>
      </w:r>
      <w:r>
        <w:rPr>
          <w:rFonts w:ascii="Times New Roman" w:cs="Times New Roman" w:eastAsia="Times New Roman" w:hAnsi="Times New Roman"/>
          <w:sz w:val="18"/>
          <w:szCs w:val="18"/>
          <w:u w:val="single" w:color="auto"/>
          <w:color w:val="auto"/>
        </w:rPr>
        <w:t>www.strategy.com</w:t>
      </w:r>
      <w:r>
        <w:rPr>
          <w:rFonts w:ascii="Times New Roman" w:cs="Times New Roman" w:eastAsia="Times New Roman" w:hAnsi="Times New Roman"/>
          <w:sz w:val="18"/>
          <w:szCs w:val="18"/>
          <w:color w:val="auto"/>
        </w:rPr>
        <w:t>. We make available free of charge, on or through the Investor Relations section of our website (</w:t>
      </w:r>
      <w:r>
        <w:rPr>
          <w:rFonts w:ascii="Times New Roman" w:cs="Times New Roman" w:eastAsia="Times New Roman" w:hAnsi="Times New Roman"/>
          <w:sz w:val="18"/>
          <w:szCs w:val="18"/>
          <w:u w:val="single" w:color="auto"/>
          <w:color w:val="auto"/>
        </w:rPr>
        <w:t>www.strategy.com/investor-relations)</w:t>
      </w:r>
      <w:r>
        <w:rPr>
          <w:rFonts w:ascii="Times New Roman" w:cs="Times New Roman" w:eastAsia="Times New Roman" w:hAnsi="Times New Roman"/>
          <w:sz w:val="18"/>
          <w:szCs w:val="18"/>
          <w:color w:val="auto"/>
        </w:rPr>
        <w:t xml:space="preserve">, our annual reports on Form 10-K, quarterly reports on Form 10-Q, current reports on Form 8-K, and all amendments to those reports filed or furnished pursuant to Section 13(a) or 15(d) of the Exchange Act, as soon as reasonably practicable after electronically filing or furnishing such reports with the SEC. Information found on our website is not part of this Annual Report or any other report filed with the SEC. The SEC maintains an Internet site that contains reports, proxy and information statements, and other information regarding issuers, including us, that file or furnish electronically with the SEC at </w:t>
      </w:r>
      <w:r>
        <w:rPr>
          <w:rFonts w:ascii="Times New Roman" w:cs="Times New Roman" w:eastAsia="Times New Roman" w:hAnsi="Times New Roman"/>
          <w:sz w:val="18"/>
          <w:szCs w:val="18"/>
          <w:u w:val="single" w:color="auto"/>
          <w:color w:val="auto"/>
        </w:rPr>
        <w:t>www.sec.gov</w:t>
      </w:r>
      <w:r>
        <w:rPr>
          <w:rFonts w:ascii="Times New Roman" w:cs="Times New Roman" w:eastAsia="Times New Roman" w:hAnsi="Times New Roman"/>
          <w:sz w:val="18"/>
          <w:szCs w:val="18"/>
          <w:color w:val="auto"/>
        </w:rPr>
        <w:t>. We also maintain a dashboard on our website (</w:t>
      </w:r>
      <w:r>
        <w:rPr>
          <w:rFonts w:ascii="Times New Roman" w:cs="Times New Roman" w:eastAsia="Times New Roman" w:hAnsi="Times New Roman"/>
          <w:sz w:val="18"/>
          <w:szCs w:val="18"/>
          <w:u w:val="single" w:color="auto"/>
          <w:color w:val="auto"/>
        </w:rPr>
        <w:t>www.strategy.com</w:t>
      </w:r>
      <w:r>
        <w:rPr>
          <w:rFonts w:ascii="Times New Roman" w:cs="Times New Roman" w:eastAsia="Times New Roman" w:hAnsi="Times New Roman"/>
          <w:sz w:val="18"/>
          <w:szCs w:val="18"/>
          <w:color w:val="auto"/>
        </w:rPr>
        <w:t>) as a disclosure channel for providing broad, non-exclusionary distribution of information regarding the Company to the public, including information regarding market prices of our outstanding securities, bitcoin purchases and holdings, certain KPI metrics and other supplemental information, and as one means of disclosing non-public information in compliance with our disclosure obligations under Regulation FD. Investors and others are encouraged to regularly review the information that we make public via the website dashboard.</w:t>
      </w:r>
    </w:p>
    <w:p>
      <w:pPr>
        <w:spacing w:after="0" w:line="1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01" w:right="339" w:bottom="1440" w:gutter="0" w:footer="0" w:header="0"/>
        </w:sectPr>
      </w:pPr>
    </w:p>
    <w:bookmarkStart w:id="15" w:name="page16"/>
    <w:bookmarkEnd w:id="15"/>
    <w:p>
      <w:pPr>
        <w:spacing w:after="0"/>
        <w:rPr>
          <w:sz w:val="20"/>
          <w:szCs w:val="20"/>
          <w:color w:val="auto"/>
        </w:rPr>
      </w:pPr>
      <w:r>
        <w:rPr>
          <w:rFonts w:ascii="Times New Roman" w:cs="Times New Roman" w:eastAsia="Times New Roman" w:hAnsi="Times New Roman"/>
          <w:sz w:val="18"/>
          <w:szCs w:val="18"/>
          <w:b w:val="1"/>
          <w:bCs w:val="1"/>
          <w:color w:val="auto"/>
        </w:rPr>
        <w:t>Item 1A. Risk Factors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You should carefully consider the risks described below before making an investment decision. The risks and uncertainties described below are not the only ones we face. Additional risks and uncertainties not presently known to us or that we currently deem immaterial may also impact us, our business, our bitcoin holdings, or our securities.</w:t>
      </w:r>
    </w:p>
    <w:p>
      <w:pPr>
        <w:spacing w:after="0" w:line="68" w:lineRule="exact"/>
        <w:rPr>
          <w:sz w:val="20"/>
          <w:szCs w:val="20"/>
          <w:color w:val="auto"/>
        </w:rPr>
      </w:pPr>
    </w:p>
    <w:p>
      <w:pPr>
        <w:jc w:val="both"/>
        <w:ind w:right="20"/>
        <w:spacing w:after="0" w:line="266" w:lineRule="auto"/>
        <w:rPr>
          <w:sz w:val="20"/>
          <w:szCs w:val="20"/>
          <w:color w:val="auto"/>
        </w:rPr>
      </w:pPr>
      <w:r>
        <w:rPr>
          <w:rFonts w:ascii="Times New Roman" w:cs="Times New Roman" w:eastAsia="Times New Roman" w:hAnsi="Times New Roman"/>
          <w:sz w:val="18"/>
          <w:szCs w:val="18"/>
          <w:color w:val="auto"/>
        </w:rPr>
        <w:t>If any of the following risks occur, our business, financial condition, or results of operations could be materially adversely affected. In such case, the market price of our class A common stock and our series A perpetual strike preferred stock, which we refer to collectively as our “listed securities,” could decline, and you may lose all or part of your investment.</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On August 7, 2024, we completed a 10-for-1 stock split of our class A and class B common stock. See Note 2(a), Summary of Significant Accounting Policies – Basis of Presentation, to the Consolidated Financial Statements, for further information. As a result of the stock split, all applicable share and per share information presented within this Item 1A. Risk Factors has been retroactively adjusted to reflect the stock split for all periods presented.</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Business in General</w:t>
      </w:r>
    </w:p>
    <w:p>
      <w:pPr>
        <w:spacing w:after="0" w:line="225"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quarterly operating results, revenues, and expenses may fluctuate significantly, which could have an adverse effect on the market price of our listed securities</w:t>
      </w:r>
    </w:p>
    <w:p>
      <w:pPr>
        <w:spacing w:after="0" w:line="5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For many reasons, including those described below, our operating results, revenues, and expenses have varied in the past and may vary significantly in the future from quarter to quarter. These fluctuations could have an adverse effect on the market price of our listed securities.</w:t>
      </w:r>
    </w:p>
    <w:p>
      <w:pPr>
        <w:spacing w:after="0" w:line="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 xml:space="preserve">Fluctuations in Quarterly Operating Results. </w:t>
      </w:r>
      <w:r>
        <w:rPr>
          <w:rFonts w:ascii="Times New Roman" w:cs="Times New Roman" w:eastAsia="Times New Roman" w:hAnsi="Times New Roman"/>
          <w:sz w:val="18"/>
          <w:szCs w:val="18"/>
          <w:color w:val="auto"/>
        </w:rPr>
        <w:t>Our quarterly operating results may fluctuate, in part, as a result of:</w:t>
      </w:r>
    </w:p>
    <w:p>
      <w:pPr>
        <w:spacing w:after="0" w:line="119" w:lineRule="exact"/>
        <w:rPr>
          <w:sz w:val="20"/>
          <w:szCs w:val="20"/>
          <w:color w:val="auto"/>
        </w:rPr>
      </w:pPr>
    </w:p>
    <w:p>
      <w:pPr>
        <w:ind w:left="1020" w:hanging="503"/>
        <w:spacing w:after="0" w:line="282"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fluctuations in the price of bitcoin, of which we have significant holdings and with respect to which we expect to continue to make significant future purchases, and potential fair value changes associated therewith;</w:t>
      </w:r>
    </w:p>
    <w:p>
      <w:pPr>
        <w:spacing w:after="0" w:line="53"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sales by us of our bitcoin at prices above or below their carrying value, which would result in our recording gains or losses upon sale of our bitcoin;</w:t>
      </w:r>
    </w:p>
    <w:p>
      <w:pPr>
        <w:spacing w:after="0" w:line="53" w:lineRule="exact"/>
        <w:rPr>
          <w:rFonts w:ascii="Times New Roman" w:cs="Times New Roman" w:eastAsia="Times New Roman" w:hAnsi="Times New Roman"/>
          <w:sz w:val="18"/>
          <w:szCs w:val="18"/>
          <w:color w:val="auto"/>
        </w:rPr>
      </w:pPr>
    </w:p>
    <w:p>
      <w:pPr>
        <w:ind w:left="1020" w:right="20" w:hanging="503"/>
        <w:spacing w:after="0" w:line="282"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incurrence of tax liabilities on future unrealized gains on our bitcoin or as result of the cumulative-effect net increase of $12.745 billion to the opening balance of our retained earnings as of January 1, 2025 in connection with the adoption of ASU 2023-08;</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regulatory, commercial, and technical developments related to bitcoin or the Bitcoin blockchain, or digital assets more generally;</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incurrence of additional fixed interest charges or dividend obligations on preferred stock;</w:t>
      </w:r>
    </w:p>
    <w:p>
      <w:pPr>
        <w:spacing w:after="0" w:line="117" w:lineRule="exact"/>
        <w:rPr>
          <w:rFonts w:ascii="Times New Roman" w:cs="Times New Roman" w:eastAsia="Times New Roman" w:hAnsi="Times New Roman"/>
          <w:sz w:val="18"/>
          <w:szCs w:val="18"/>
          <w:color w:val="auto"/>
        </w:rPr>
      </w:pPr>
    </w:p>
    <w:p>
      <w:pPr>
        <w:ind w:left="1020" w:right="20" w:hanging="503"/>
        <w:spacing w:after="0" w:line="282"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impact of war, terrorism, infectious diseases (such as COVID-19), natural disasters and other global events, and government responses to such events, on the global economy and the market for and price of bitcoin;</w:t>
      </w:r>
    </w:p>
    <w:p>
      <w:pPr>
        <w:spacing w:after="0" w:line="53" w:lineRule="exact"/>
        <w:rPr>
          <w:rFonts w:ascii="Times New Roman" w:cs="Times New Roman" w:eastAsia="Times New Roman" w:hAnsi="Times New Roman"/>
          <w:sz w:val="18"/>
          <w:szCs w:val="18"/>
          <w:color w:val="auto"/>
        </w:rPr>
      </w:pPr>
    </w:p>
    <w:p>
      <w:pPr>
        <w:ind w:left="1020" w:right="20" w:hanging="503"/>
        <w:spacing w:after="0" w:line="282"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significant changes to our software business, including significant changes in our software sales or operating expenses, or the timing of announcements of new offerings or research and development projects by us or our competitors;</w:t>
      </w:r>
    </w:p>
    <w:p>
      <w:pPr>
        <w:spacing w:after="0" w:line="53" w:lineRule="exact"/>
        <w:rPr>
          <w:rFonts w:ascii="Times New Roman" w:cs="Times New Roman" w:eastAsia="Times New Roman" w:hAnsi="Times New Roman"/>
          <w:sz w:val="18"/>
          <w:szCs w:val="18"/>
          <w:color w:val="auto"/>
        </w:rPr>
      </w:pPr>
    </w:p>
    <w:p>
      <w:pPr>
        <w:ind w:left="1020" w:right="20" w:hanging="503"/>
        <w:spacing w:after="0" w:line="282"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profitability and expectations for future profitability and their effect on our deferred tax balances and net income for the period in which any adjustment to our net deferred tax asset valuation allowance may be made; and</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increases or decreases in our unrecognized tax benefits.</w:t>
      </w:r>
    </w:p>
    <w:p>
      <w:pPr>
        <w:spacing w:after="0" w:line="11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i w:val="1"/>
          <w:iCs w:val="1"/>
          <w:color w:val="auto"/>
        </w:rPr>
        <w:t xml:space="preserve">Limited Ability to Adjust Expenses. </w:t>
      </w:r>
      <w:r>
        <w:rPr>
          <w:rFonts w:ascii="Times New Roman" w:cs="Times New Roman" w:eastAsia="Times New Roman" w:hAnsi="Times New Roman"/>
          <w:sz w:val="18"/>
          <w:szCs w:val="18"/>
          <w:color w:val="auto"/>
        </w:rPr>
        <w:t>We base our operating expense budgets on expected revenue trends and strategic objectives. Many of our expenses,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such as interest expense on our debt, dividend obligations on our preferred stock, tax liabilities, office leases and certain personnel costs, are relatively fixed. We may be unable to adjust spending quickly enough to offset any unexpected shortfall in our cash flow. Accordingly, we may be required to take actions to pay expenses, such as selling bitcoin or using proceeds from equity or debt financings, some of which could cause significant variation in operating results in any quarter.</w:t>
      </w:r>
    </w:p>
    <w:p>
      <w:pPr>
        <w:spacing w:after="0" w:line="7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Based on the above factors, we believe quarter-to-quarter comparisons of our operating results are not a good indication of our future performance. It is possible that in one or more future quarters, our operating results may be below the expectations of public market analysts and investors. In that event, the market price of our listed securities may fall.</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6" w:name="page17"/>
    <w:bookmarkEnd w:id="16"/>
    <w:p>
      <w:pPr>
        <w:spacing w:after="0"/>
        <w:rPr>
          <w:sz w:val="20"/>
          <w:szCs w:val="20"/>
          <w:color w:val="auto"/>
        </w:rPr>
      </w:pPr>
      <w:r>
        <w:rPr>
          <w:rFonts w:ascii="Times New Roman" w:cs="Times New Roman" w:eastAsia="Times New Roman" w:hAnsi="Times New Roman"/>
          <w:sz w:val="18"/>
          <w:szCs w:val="18"/>
          <w:b w:val="1"/>
          <w:bCs w:val="1"/>
          <w:i w:val="1"/>
          <w:iCs w:val="1"/>
          <w:color w:val="auto"/>
        </w:rPr>
        <w:t>We may not be able to regain profitability in future periods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generated a net loss for the fiscal year ended December 31, 2024, primarily due to $1.790 billion of digital asset impairment losses. We may not be able to regain profitability in future periods, particularly if we incur significant fair value losses related to our digital assets. As a result, our results of operations and financial condition may be materially adversely affected.</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of December 31, 2024, we had $1.525 billion of deferred tax assets. The largest deferred tax asset relates to the impairment on our bitcoin holdings, which was reversed upon our adoption of ASU 2023-08. If the market value of bitcoin at a future reporting date is less than the average cost basis of our bitcoin holdings at such reporting date, we may be required to establish a valuation allowance against our U.S. deferred tax assets. A significant increase in the valuation allowance could result in a charge that would materially adversely affect net income in the period in which the charge is incurred.</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A significant decrease in the market value of our bitcoin holdings could adversely affect our ability to satisfy our financial obligations</w:t>
      </w:r>
    </w:p>
    <w:p>
      <w:pPr>
        <w:spacing w:after="0" w:line="121"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As of December 31, 2024, our outstanding indebtedness was $7.274 billion, and our annual contractual interest expense was $35.1 million. Additionally, as of February 14, 2025, we had outstanding series A perpetual strike preferred stock with a liquidation preference of $730.0 million in the aggregate, with respect to which we are required to pay annual dividends of $58.4 million, which we can pay in cash or shares of our class A common stock. As part of our bitcoin strategy, we expect to incur or continue to incur additional indebtedness and other fixed charges. For the year ended December 31, 2024, our enterprise analytics software business did not generate positive cash flow from operations. If our enterprise analytics software business does not generate cash flow in future periods sufficient to satisfy our financial obligations, including our debt and cash dividend obligations, we intend to fund our obligations using cash flow generated by equity or debt financings. Our ability to obtain equity or debt financing may in turn depend on, among other factors, the value of our bitcoin holdings, investor sentiment and the general public perception of bitcoin, our strategy and our value proposition. Accordingly, a significant decline in the market value of our bitcoin holdings or a negative shift in these other factors may create liquidity and credit risks, as such a decline or such shifts may adversely impact our ability to secure sufficient equity or debt financing to satisfy our financial obligations, including our debt and cash dividend obligations. These risks could materialize at times when bitcoin is trading below its carrying value on our most recent balance sheet or our cost basis. As bitcoin constitutes the vast bulk of assets on our balance sheet, if we are unable to secure equity or debt financing in a timely manner, on favorable terms, or at all, we may be required to sell bitcoin to satisfy these obligations. Any such sale of bitcoin may have a material adverse effect on our operating results and financial condition, and could impair our ability to secure additional equity or debt financing in the future. Our inability to secure additional equity or debt financing in a timely manner, on favorable terms or at all, or to sell our bitcoin in amounts and at prices sufficient to satisfy our financial obligations, including our debt service and cash dividend obligations, could cause us to default under such obligations. Any default on our current or future indebtedness or preferred stock may have a material adverse effect on our financial condition. See “Risks Related to Our Outstanding and Potential Future Indebtedness” and “Risks Related to Our Series A Perpetual Strike Preferred Stock” for additional details about the risks which may impact us if we are unable to satisfy our debt service and cash dividend obligations.</w:t>
      </w:r>
    </w:p>
    <w:p>
      <w:pPr>
        <w:spacing w:after="0" w:line="187"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Unrealized fair value gains on our bitcoin holdings could cause us to become subject to the corporate alternative minimum tax under the Inflation Reduction Act of 2022</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U.S. enacted the Inflation Reduction Act of 2022 (“IRA”) in August 2022. Unless an exemption applies, the IRA imposes a 15% corporate alternative minimum tax (“CAMT”) on a corporation with respect to an initial tax year and subsequent tax years, if the average annual adjusted financial statement income for any consecutive three-tax-year period preceding the initial tax year exceeds $1 billion. On September 12, 2024, the Department of Treasury and the Internal Revenue Service issued proposed regulations with respect to the application of the CAMT.</w:t>
      </w:r>
    </w:p>
    <w:p>
      <w:pPr>
        <w:spacing w:after="0" w:line="72"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On January 1, 2025, we adopted ASU 2023-08. ASU 2023-08 requires us to measure our bitcoin holdings at fair value in our statement of financial position, with gains and losses from changes in the fair value of our bitcoin recognized in net income each reporting period. As a result of our adoption of ASU 2023-08, as of January 1, 2025, we are required to apply a cumulative-effect net increase to the opening balance of our retained earnings of $12.745 billion. For purposes of calculating the adjusted financial statement income, we will be required to ratably allocate from 2025 through 2028 this increase to our retained earnings. When determining whether we are subject to CAMT and when calculating any related tax liability for an applicable tax year, the proposed regulations provide that, among other adjustments, our adjusted financial statement income must include this ratable amount in addition to any unrealized gains or losses reported in the applicable tax year.</w:t>
      </w:r>
    </w:p>
    <w:p>
      <w:pPr>
        <w:spacing w:after="0" w:line="8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Accordingly, as a result of the enactment of the IRA and our adoption of ASU 2023-08 on January 1, 2025, unless the IRA is amended or the proposed regulations with respect to CAMT, when finalized, are revised to provide relief (or other interim relief is granted), we could become subject to the CAMT in the 2026 tax year and beyond. If we become subject to the CAMT, it could result in a material tax obligation that we would need to satisfy in cash, which could materially affect our financial results, including our earnings and cash flow, and our financial condition.</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We may have exposure to greater than anticipated tax liabilities</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17" w:name="page18"/>
    <w:bookmarkEnd w:id="17"/>
    <w:p>
      <w:pPr>
        <w:jc w:val="both"/>
        <w:spacing w:after="0" w:line="256" w:lineRule="auto"/>
        <w:rPr>
          <w:sz w:val="20"/>
          <w:szCs w:val="20"/>
          <w:color w:val="auto"/>
        </w:rPr>
      </w:pPr>
      <w:r>
        <w:rPr>
          <w:rFonts w:ascii="Times New Roman" w:cs="Times New Roman" w:eastAsia="Times New Roman" w:hAnsi="Times New Roman"/>
          <w:sz w:val="18"/>
          <w:szCs w:val="18"/>
          <w:color w:val="auto"/>
        </w:rPr>
        <w:t>We are subject to income taxes and non-income taxes in a variety of domestic and foreign jurisdictions. Our future income tax liability could be materially adversely affected by earnings that are lower than anticipated in jurisdictions where we have lower statutory rates, earnings that are higher than anticipated in jurisdictions where we have higher statutory rates, changes in the valuation of our deferred tax assets and liabilities, changes in the amount of our unrecognized tax benefits, or changes in tax laws, regulations, accounting principles, or interpretations thereof. In addition, if we sold any of our bitcoin at prices greater than the cost basis of the bitcoin sold, we would incur a tax liability with respect to any gain recognized, and such tax liability could be material.</w:t>
      </w:r>
    </w:p>
    <w:p>
      <w:pPr>
        <w:spacing w:after="0" w:line="7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Changes in the tax laws of foreign jurisdictions could arise, including as a result of the project undertaken by the Organisation for Economic Co-operation and Development (“OECD”) to combat base erosion and profit shifting (“BEPS”). The OECD, which represents a coalition of member countries, has issued recommendations that, in some cases, make substantial changes to numerous long-standing tax positions and principles. These changes, many of which have been adopted or are under active consideration by OECD members and/or other countries, could increase tax uncertainty and may adversely affect our provision for income taxes.</w:t>
      </w:r>
    </w:p>
    <w:p>
      <w:pPr>
        <w:spacing w:after="0" w:line="75"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After enactment of the U.S. Tax Cuts and Jobs Act, most of our income is taxable in the U.S. with a significant portion taxable under the Global Intangible Low-Taxed Income (“GILTI”) regime. Beginning in fiscal year 2027, the deduction allowable under the GILTI regime will decrease from 50% to 37.5%, which will increase the effective tax rate imposed on our income. The U.S. also enacted the IRA in August 2022. On September 12, 2024, the Department of Treasury and the Internal Revenue Service issued proposed regulations with respect to the application of the CAMT. Unless an exemption applies, the IRA imposes (i) a 1% excise tax on certain stock repurchases made by publicly traded U.S. corporations, and (ii) a 15% corporate alternative minimum tax on a corporation with respect to an initial tax year and subsequent tax years, if the average annual adjusted financial statement income for any consecutive three-tax-year period preceding the initial tax year exceeds $1 billion. As discussed in greater detail under the risk factor heading “Risks Related to Our Business in General—Unrealized fair value gains on our bitcoin holdings could cause us to become subject to the corporate alternative minimum tax under the Inflation Reduction Act of 2022,” as a result of the enactment of the IRA and our adoption of ASU 2023-08 on January 1, 2025, unless the IRA is amended or the proposed regulations with respect to CAMT are, when finalized, revised to provide relief (or other interim relief is granted), we could become subject to the CAMT in the 2026 tax year and beyond. If we become subject to these new taxes under the IRA for these or any other reasons, it could result in a material tax obligation that we would need to satisfy in cash, which could materially affect our financial results, including our earnings and cash flow, and our financial condition. Further, other existing U.S. tax laws, statutes, rules, regulations or ordinances could be interpreted, changed, modified or applied in a manner that negatively impacts us.</w:t>
      </w:r>
    </w:p>
    <w:p>
      <w:pPr>
        <w:spacing w:after="0" w:line="8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Our determination of our tax liability is subject to review by applicable domestic and foreign tax authorities. Any adverse outcome of such reviews could have an adverse effect on our operating results and financial condition. The determination of our worldwide provision for income taxes and other tax liabilities requires significant judgment and there are many transactions and calculations, including in respect of transactions involving bitcoin, where the ultimate tax determination is uncertain. Moreover, as a multinational business, we have subsidiaries that engage in many intercompany transactions in a variety of tax jurisdictions where the ultimate tax determination is uncertain.</w:t>
      </w:r>
    </w:p>
    <w:p>
      <w:pPr>
        <w:spacing w:after="0" w:line="7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also have contingent tax liabilities that, in management’s judgment, are not probable of assertion. If such unasserted contingent liabilities were to be asserted, or become probable of assertion, we may be required to record significant expenses and liabilities in the period in which these liabilities are asserted or become probable of assertion.</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As a result of these and other factors, the ultimate amount of tax obligations owed may differ from the amounts recorded in our financial statements and any such difference may materially affect our financial results in future periods in which we change our estimates of our tax obligations or in which the ultimate tax outcome is determined.</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Bitcoin Strategy and Holdings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bitcoin strategy exposes us to various risks, including risks associated with bitcoin</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Our bitcoin strategy exposes us to various risks, including the following:</w:t>
      </w:r>
    </w:p>
    <w:p>
      <w:pPr>
        <w:spacing w:after="0" w:line="115" w:lineRule="exact"/>
        <w:rPr>
          <w:sz w:val="20"/>
          <w:szCs w:val="20"/>
          <w:color w:val="auto"/>
        </w:rPr>
      </w:pPr>
    </w:p>
    <w:p>
      <w:pPr>
        <w:jc w:val="both"/>
        <w:spacing w:after="0" w:line="267" w:lineRule="auto"/>
        <w:rPr>
          <w:sz w:val="20"/>
          <w:szCs w:val="20"/>
          <w:color w:val="auto"/>
        </w:rPr>
      </w:pPr>
      <w:r>
        <w:rPr>
          <w:rFonts w:ascii="Times New Roman" w:cs="Times New Roman" w:eastAsia="Times New Roman" w:hAnsi="Times New Roman"/>
          <w:sz w:val="18"/>
          <w:szCs w:val="18"/>
          <w:i w:val="1"/>
          <w:iCs w:val="1"/>
          <w:color w:val="auto"/>
        </w:rPr>
        <w:t xml:space="preserve">Bitcoin is a highly volatile asset. </w:t>
      </w:r>
      <w:r>
        <w:rPr>
          <w:rFonts w:ascii="Times New Roman" w:cs="Times New Roman" w:eastAsia="Times New Roman" w:hAnsi="Times New Roman"/>
          <w:sz w:val="18"/>
          <w:szCs w:val="18"/>
          <w:color w:val="auto"/>
        </w:rPr>
        <w:t>Bitcoin is a highly volatile asset that has traded below $50,000 per bitcoin and above $105,000 per bitcoin on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Coinbase exchange (our principal market for bitcoin) in the 12 months preceding the date of this Annual Report. The trading price of bitcoin significantly decreased during prior periods, and such declines may occur again in the future.</w:t>
      </w:r>
    </w:p>
    <w:p>
      <w:pPr>
        <w:spacing w:after="0" w:line="6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i w:val="1"/>
          <w:iCs w:val="1"/>
          <w:color w:val="auto"/>
        </w:rPr>
        <w:t xml:space="preserve">Bitcoin does not pay interest or dividends. </w:t>
      </w:r>
      <w:r>
        <w:rPr>
          <w:rFonts w:ascii="Times New Roman" w:cs="Times New Roman" w:eastAsia="Times New Roman" w:hAnsi="Times New Roman"/>
          <w:sz w:val="18"/>
          <w:szCs w:val="18"/>
          <w:color w:val="auto"/>
        </w:rPr>
        <w:t>Bitcoin does not pay interest or other returns and we can only generate cash from our bitcoin holdings if we sell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our bitcoin or implement strategies to create income streams or otherwise generate cash by using our bitcoin holdings. Even if we pursue any such strategies, we may be unable to create income streams or otherwise generate cash from our bitcoin holdings, and any such strategies may subject us to additional risks.</w:t>
      </w:r>
    </w:p>
    <w:p>
      <w:pPr>
        <w:spacing w:after="0" w:line="72" w:lineRule="exact"/>
        <w:rPr>
          <w:sz w:val="20"/>
          <w:szCs w:val="20"/>
          <w:color w:val="auto"/>
        </w:rPr>
      </w:pPr>
    </w:p>
    <w:p>
      <w:pPr>
        <w:jc w:val="both"/>
        <w:spacing w:after="0" w:line="267" w:lineRule="auto"/>
        <w:rPr>
          <w:sz w:val="20"/>
          <w:szCs w:val="20"/>
          <w:color w:val="auto"/>
        </w:rPr>
      </w:pPr>
      <w:r>
        <w:rPr>
          <w:rFonts w:ascii="Times New Roman" w:cs="Times New Roman" w:eastAsia="Times New Roman" w:hAnsi="Times New Roman"/>
          <w:sz w:val="18"/>
          <w:szCs w:val="18"/>
          <w:i w:val="1"/>
          <w:iCs w:val="1"/>
          <w:color w:val="auto"/>
        </w:rPr>
        <w:t xml:space="preserve">Our bitcoin holdings significantly impact our financial results and the market price of our listed securities. </w:t>
      </w:r>
      <w:r>
        <w:rPr>
          <w:rFonts w:ascii="Times New Roman" w:cs="Times New Roman" w:eastAsia="Times New Roman" w:hAnsi="Times New Roman"/>
          <w:sz w:val="18"/>
          <w:szCs w:val="18"/>
          <w:color w:val="auto"/>
        </w:rPr>
        <w:t>Our bitcoin holdings have significantly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affected our financial results and if we continue to increase our overall holdings of bitcoin in the future, they will have an even greater impact on our financial results and the market price of our listed securities. See “Risks Related to Our Bitcoin Strategy and</w:t>
      </w:r>
    </w:p>
    <w:p>
      <w:pPr>
        <w:spacing w:after="0" w:line="17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8" w:name="page19"/>
    <w:bookmarkEnd w:id="18"/>
    <w:p>
      <w:pPr>
        <w:jc w:val="both"/>
        <w:spacing w:after="0" w:line="282" w:lineRule="auto"/>
        <w:rPr>
          <w:sz w:val="20"/>
          <w:szCs w:val="20"/>
          <w:color w:val="auto"/>
        </w:rPr>
      </w:pPr>
      <w:r>
        <w:rPr>
          <w:rFonts w:ascii="Times New Roman" w:cs="Times New Roman" w:eastAsia="Times New Roman" w:hAnsi="Times New Roman"/>
          <w:sz w:val="18"/>
          <w:szCs w:val="18"/>
          <w:color w:val="auto"/>
        </w:rPr>
        <w:t>Holdings – Our historical financial statements do not reflect the potential variability in earnings that we may experience in the future relating to our bitcoin holding</w:t>
      </w:r>
      <w:r>
        <w:rPr>
          <w:rFonts w:ascii="Times New Roman" w:cs="Times New Roman" w:eastAsia="Times New Roman" w:hAnsi="Times New Roman"/>
          <w:sz w:val="18"/>
          <w:szCs w:val="18"/>
          <w:i w:val="1"/>
          <w:iCs w:val="1"/>
          <w:color w:val="auto"/>
        </w:rPr>
        <w:t>s</w:t>
      </w:r>
      <w:r>
        <w:rPr>
          <w:rFonts w:ascii="Times New Roman" w:cs="Times New Roman" w:eastAsia="Times New Roman" w:hAnsi="Times New Roman"/>
          <w:sz w:val="18"/>
          <w:szCs w:val="18"/>
          <w:color w:val="auto"/>
        </w:rPr>
        <w:t>.”</w:t>
      </w:r>
    </w:p>
    <w:p>
      <w:pPr>
        <w:spacing w:after="0" w:line="52" w:lineRule="exact"/>
        <w:rPr>
          <w:sz w:val="20"/>
          <w:szCs w:val="20"/>
          <w:color w:val="auto"/>
        </w:rPr>
      </w:pPr>
    </w:p>
    <w:p>
      <w:pPr>
        <w:jc w:val="both"/>
        <w:spacing w:after="0" w:line="284" w:lineRule="auto"/>
        <w:rPr>
          <w:sz w:val="20"/>
          <w:szCs w:val="20"/>
          <w:color w:val="auto"/>
        </w:rPr>
      </w:pPr>
      <w:r>
        <w:rPr>
          <w:rFonts w:ascii="Times New Roman" w:cs="Times New Roman" w:eastAsia="Times New Roman" w:hAnsi="Times New Roman"/>
          <w:sz w:val="18"/>
          <w:szCs w:val="18"/>
          <w:i w:val="1"/>
          <w:iCs w:val="1"/>
          <w:color w:val="auto"/>
        </w:rPr>
        <w:t xml:space="preserve">Our assets are concentrated in bitcoin. </w:t>
      </w:r>
      <w:r>
        <w:rPr>
          <w:rFonts w:ascii="Times New Roman" w:cs="Times New Roman" w:eastAsia="Times New Roman" w:hAnsi="Times New Roman"/>
          <w:sz w:val="18"/>
          <w:szCs w:val="18"/>
          <w:color w:val="auto"/>
        </w:rPr>
        <w:t>The vast majority of our assets are concentrated in our bitcoin holdings. The concentration of our assets in bitcoin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limits our ability to mitigate risk that could otherwise be achieved by holding a more diversified portfolio of treasury assets.</w:t>
      </w:r>
    </w:p>
    <w:p>
      <w:pPr>
        <w:spacing w:after="0" w:line="50" w:lineRule="exact"/>
        <w:rPr>
          <w:sz w:val="20"/>
          <w:szCs w:val="20"/>
          <w:color w:val="auto"/>
        </w:rPr>
      </w:pPr>
    </w:p>
    <w:p>
      <w:pPr>
        <w:jc w:val="both"/>
        <w:spacing w:after="0" w:line="267" w:lineRule="auto"/>
        <w:rPr>
          <w:sz w:val="20"/>
          <w:szCs w:val="20"/>
          <w:color w:val="auto"/>
        </w:rPr>
      </w:pPr>
      <w:r>
        <w:rPr>
          <w:rFonts w:ascii="Times New Roman" w:cs="Times New Roman" w:eastAsia="Times New Roman" w:hAnsi="Times New Roman"/>
          <w:sz w:val="18"/>
          <w:szCs w:val="18"/>
          <w:i w:val="1"/>
          <w:iCs w:val="1"/>
          <w:color w:val="auto"/>
        </w:rPr>
        <w:t xml:space="preserve">We purchase bitcoin using primarily proceeds from equity and debt financings. </w:t>
      </w:r>
      <w:r>
        <w:rPr>
          <w:rFonts w:ascii="Times New Roman" w:cs="Times New Roman" w:eastAsia="Times New Roman" w:hAnsi="Times New Roman"/>
          <w:sz w:val="18"/>
          <w:szCs w:val="18"/>
          <w:color w:val="auto"/>
        </w:rPr>
        <w:t>Our ability to achieve the objectives of our bitcoin strategy depends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significant part on our ability to obtain equity and debt financing. If we are unable to obtain equity or debt financing on favorable terms or at all, we may not be able to successfully execute on our bitcoin strategy</w:t>
      </w:r>
      <w:r>
        <w:rPr>
          <w:rFonts w:ascii="Times New Roman" w:cs="Times New Roman" w:eastAsia="Times New Roman" w:hAnsi="Times New Roman"/>
          <w:sz w:val="18"/>
          <w:szCs w:val="18"/>
          <w:i w:val="1"/>
          <w:iCs w:val="1"/>
          <w:color w:val="auto"/>
        </w:rPr>
        <w:t>.</w:t>
      </w:r>
    </w:p>
    <w:p>
      <w:pPr>
        <w:spacing w:after="0" w:line="6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i w:val="1"/>
          <w:iCs w:val="1"/>
          <w:color w:val="auto"/>
        </w:rPr>
        <w:t xml:space="preserve">Our bitcoin strategy has not been tested over an extended period of time or under different market conditions. </w:t>
      </w:r>
      <w:r>
        <w:rPr>
          <w:rFonts w:ascii="Times New Roman" w:cs="Times New Roman" w:eastAsia="Times New Roman" w:hAnsi="Times New Roman"/>
          <w:sz w:val="18"/>
          <w:szCs w:val="18"/>
          <w:color w:val="auto"/>
        </w:rPr>
        <w:t>We are continually examining the risks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rewards of our strategy to acquire and hold bitcoin. This strategy has not been tested over an extended period of time or under different market conditions. For example, although we believe bitcoin, due to its limited supply, has the potential to serve as a hedge against inflation in the long term, the short-term price of bitcoin declined in recent periods during which the inflation rate increased. If bitcoin prices were to decrease or our bitcoin strategy otherwise proves unsuccessful, our financial condition, results of operations, and the market price of our listed securities would be materially adversely impacted.</w:t>
      </w:r>
    </w:p>
    <w:p>
      <w:pPr>
        <w:spacing w:after="0" w:line="75"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i w:val="1"/>
          <w:iCs w:val="1"/>
          <w:color w:val="auto"/>
        </w:rPr>
        <w:t xml:space="preserve">We are subject to counterparty risks, including in particular risks relating to our custodians. </w:t>
      </w:r>
      <w:r>
        <w:rPr>
          <w:rFonts w:ascii="Times New Roman" w:cs="Times New Roman" w:eastAsia="Times New Roman" w:hAnsi="Times New Roman"/>
          <w:sz w:val="18"/>
          <w:szCs w:val="18"/>
          <w:color w:val="auto"/>
        </w:rPr>
        <w:t>Although we have implemented various measures that are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designed to mitigate our counterparty risks, including by storing substantially all of the bitcoin we own in custody accounts at U.S.-based, institutional-grade custodians and negotiating contractual arrangements intended to establish that our property interest in custodially-held bitcoin is not subject to claims of our custodians’ creditors, applicable insolvency law is not fully developed with respect to the holding of digital assets in custodial accounts. If our custodially-held bitcoin were nevertheless considered to be the property of our custodians’ estates in the event that any such custodians were to enter bankruptcy, receivership or similar insolvency proceedings, we could be treated as a general unsecured creditor of such custodians, inhibiting our ability to exercise ownership rights with respect to such bitcoin, or delaying or hindering our access to our bitcoin holdings, and this may ultimately result in the loss of the value related to some or all of such bitcoin, which could have a material adverse effect on our financial condition as well as the market price of our listed securities.</w:t>
      </w:r>
    </w:p>
    <w:p>
      <w:pPr>
        <w:spacing w:after="0" w:line="80"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i w:val="1"/>
          <w:iCs w:val="1"/>
          <w:color w:val="auto"/>
        </w:rPr>
        <w:t xml:space="preserve">The broader digital assets industry is subject to counterparty risks, which could adversely impact the adoption rate, price, and use of bitcoin. </w:t>
      </w:r>
      <w:r>
        <w:rPr>
          <w:rFonts w:ascii="Times New Roman" w:cs="Times New Roman" w:eastAsia="Times New Roman" w:hAnsi="Times New Roman"/>
          <w:sz w:val="18"/>
          <w:szCs w:val="18"/>
          <w:color w:val="auto"/>
        </w:rPr>
        <w:t>A series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recent high-profile bankruptcies, closures, liquidations, regulatory enforcement actions and other events relating to companies operating in the digital asset industry have highlighted the counterparty risks applicable to owning and transacting in digital assets. Although these bankruptcies, closures, liquidations and other events have not resulted in any loss or misappropriation of our bitcoin, nor have such events adversely impacted our access to our bitcoin, they have, in the short-term, likely negatively impacted the adoption rate and use of bitcoin. Additional bankruptcies, closures, liquidations, regulatory enforcement actions or other events involving participants in the digital assets industry in the future may further negatively impact the adoption rate, price, and use of bitcoin, limit the availability to us of financing collateralized by bitcoin, or create or expose additional counterparty risks.</w:t>
      </w:r>
    </w:p>
    <w:p>
      <w:pPr>
        <w:spacing w:after="0" w:line="75"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i w:val="1"/>
          <w:iCs w:val="1"/>
          <w:color w:val="auto"/>
        </w:rPr>
        <w:t xml:space="preserve">Changes in the accounting treatment of our bitcoin holdings could have significant accounting impacts, including increasing the volatility of our results. </w:t>
      </w:r>
      <w:r>
        <w:rPr>
          <w:rFonts w:ascii="Times New Roman" w:cs="Times New Roman" w:eastAsia="Times New Roman" w:hAnsi="Times New Roman"/>
          <w:sz w:val="18"/>
          <w:szCs w:val="18"/>
          <w:color w:val="auto"/>
        </w:rPr>
        <w:t>We have adopted ASU 2023-08 as of January 1, 2025, which requires us to measure our bitcoin holdings at fair value in our statement of financial position, and to recognize gains and losses from changes in the fair value of our bitcoin in net income each reporting period beginning January 1, 2025. ASU 2023-08 also requires us to provide certain interim and annual disclosures with respect to our bitcoin holdings. The standard is now effective, and we have applied a cumulative-effect net increase to the opening balance of retained earnings as of January 1, 2025 of $12.745 billion. Due in particular to the volatility in the price of bitcoin, we expect the adoption of ASU 2023-08 to have a material impact on our financial results in future periods, increase the volatility of our financial results, and affect the carrying value of our bitcoin on our balance sheet. As described in greater detail under the risk factor heading “Risks Related to Our Business in General—Unrealized fair value gains on our bitcoin holdings could cause us to become subject to the corporate alternative minimum tax under the Inflation Reduction Act of 2022,” ASU 2023-08 could also have adverse tax consequences. These impacts could in turn have a material adverse effect on our financial results and the market price of our listed securities. Additionally, as a result of ASU 2023-08 requiring a cumulative-effect adjustment to our opening balance of retained earnings as of January 1, 2025 and not permitting retrospective restatement of our historical financial statements, our future results will not be comparable to results from periods prior to our adoption of the guidance.</w:t>
      </w:r>
    </w:p>
    <w:p>
      <w:pPr>
        <w:spacing w:after="0" w:line="8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broader digital assets industry, including the technology associated with digital assets, the rate of adoption and development of, and use cases for, digital assets, market perception of digital assets, and the legal, regulatory, and accounting treatment of digital assets are constantly developing and changing, and there may be additional risks in the future that are not possible to predict.</w:t>
      </w:r>
    </w:p>
    <w:p>
      <w:pPr>
        <w:spacing w:after="0" w:line="172"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Bitcoin is a highly volatile asset, and fluctuations in the price of bitcoin have in the past influenced and are likely to continue to influence our financial results and the market price of our listed securities</w:t>
      </w:r>
    </w:p>
    <w:p>
      <w:pPr>
        <w:spacing w:after="0" w:line="5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Bitcoin is a highly volatile asset, and fluctuations in the price of bitcoin have in the past influenced and are likely to continue to influence our financial results and the market price of our listed securities. Our financial results and the market price of our listed securities would</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9" w:name="page20"/>
    <w:bookmarkEnd w:id="19"/>
    <w:p>
      <w:pPr>
        <w:spacing w:after="0" w:line="282" w:lineRule="auto"/>
        <w:rPr>
          <w:sz w:val="20"/>
          <w:szCs w:val="20"/>
          <w:color w:val="auto"/>
        </w:rPr>
      </w:pPr>
      <w:r>
        <w:rPr>
          <w:rFonts w:ascii="Times New Roman" w:cs="Times New Roman" w:eastAsia="Times New Roman" w:hAnsi="Times New Roman"/>
          <w:sz w:val="18"/>
          <w:szCs w:val="18"/>
          <w:color w:val="auto"/>
        </w:rPr>
        <w:t>be adversely affected, and our business and financial condition would be negatively impacted, if the price of bitcoin decreased substantially (as it has in the past, including during 2022), including as a result of:</w:t>
      </w:r>
    </w:p>
    <w:p>
      <w:pPr>
        <w:spacing w:after="0" w:line="54" w:lineRule="exact"/>
        <w:rPr>
          <w:sz w:val="20"/>
          <w:szCs w:val="20"/>
          <w:color w:val="auto"/>
        </w:rPr>
      </w:pPr>
    </w:p>
    <w:p>
      <w:pPr>
        <w:ind w:left="760" w:hanging="378"/>
        <w:spacing w:after="0"/>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decreased user and investor confidence in bitcoin, including due to the various factors described herein;</w:t>
      </w:r>
    </w:p>
    <w:p>
      <w:pPr>
        <w:spacing w:after="0" w:line="117" w:lineRule="exact"/>
        <w:rPr>
          <w:rFonts w:ascii="Times New Roman" w:cs="Times New Roman" w:eastAsia="Times New Roman" w:hAnsi="Times New Roman"/>
          <w:sz w:val="18"/>
          <w:szCs w:val="18"/>
          <w:color w:val="auto"/>
        </w:rPr>
      </w:pPr>
    </w:p>
    <w:p>
      <w:pPr>
        <w:jc w:val="both"/>
        <w:ind w:left="760" w:hanging="378"/>
        <w:spacing w:after="0" w:line="254" w:lineRule="auto"/>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investment and trading activities, such as (i) trading activities of highly active retail and institutional users, speculators, miners and investors; (ii) actual or expected significant dispositions of bitcoin by large holders, including the expected liquidation of digital assets associated with entities that have filed for bankruptcy protection and the transfer and sale of bitcoins associated with significant hacks, seizures, or forfeitures, such as the transfers of bitcoin to (a) creditors of the hacked cryptocurrency exchange Mt. Gox which began in July 2024, (b) claimants following proceedings related to a 2016 hack of Bitfinex—which claims are currently being adjudicated, (c) the German government following the seizure of about 50,000 bitcoin in January 2024 from the operator of Movie2k.to, or (d) the Northern District Court of California granting the U.S. Department of Justice in January 2025 the right to liquidate 69,370 bitcoin seized from the Silk Road marketplace; and (iii) actual or perceived manipulation of the spot or derivative markets for bitcoin or spot bitcoin exchange-traded products (“ETPs”);</w:t>
      </w:r>
    </w:p>
    <w:p>
      <w:pPr>
        <w:spacing w:after="0" w:line="83" w:lineRule="exact"/>
        <w:rPr>
          <w:rFonts w:ascii="Times New Roman" w:cs="Times New Roman" w:eastAsia="Times New Roman" w:hAnsi="Times New Roman"/>
          <w:sz w:val="18"/>
          <w:szCs w:val="18"/>
          <w:color w:val="auto"/>
        </w:rPr>
      </w:pPr>
    </w:p>
    <w:p>
      <w:pPr>
        <w:jc w:val="both"/>
        <w:ind w:left="760" w:hanging="378"/>
        <w:spacing w:after="0" w:line="254" w:lineRule="auto"/>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negative publicity, media or social media coverage, or sentiment due to events in or relating to, or perception of, bitcoin or the broader digital assets industry, for example, (i) public perception that bitcoin can be used as a vehicle to circumvent sanctions, including sanctions imposed on Russia or certain regions related to the ongoing conflict between Russia and Ukraine, or to fund criminal or terrorist activities, such as the purported use of digital assets by Hamas to fund its terrorist attack against Israel in October 2023; (ii) expected or pending civil, criminal, regulatory enforcement or other high profile actions against major participants in the bitcoin ecosystem, including the SEC’s enforcement actions against Coinbase, Inc. and Binance Holdings Ltd.; (iii) additional filings for bankruptcy protection or bankruptcy proceedings of major digital asset industry participants, such as the bankruptcy proceeding of FTX Trading and its affiliates; and (iv) the actual or perceived environmental impact of bitcoin and related activities, including environmental concerns raised by private individuals, governmental and non-governmental organizations, and other actors related to the energy resources consumed in the bitcoin mining process;</w:t>
      </w:r>
    </w:p>
    <w:p>
      <w:pPr>
        <w:spacing w:after="0" w:line="80"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in consumer preferences and the perceived value or prospects of bitcoin;</w:t>
      </w:r>
    </w:p>
    <w:p>
      <w:pPr>
        <w:spacing w:after="0" w:line="117" w:lineRule="exact"/>
        <w:rPr>
          <w:rFonts w:ascii="Times New Roman" w:cs="Times New Roman" w:eastAsia="Times New Roman" w:hAnsi="Times New Roman"/>
          <w:sz w:val="18"/>
          <w:szCs w:val="18"/>
          <w:color w:val="auto"/>
        </w:rPr>
      </w:pPr>
    </w:p>
    <w:p>
      <w:pPr>
        <w:jc w:val="both"/>
        <w:ind w:left="760" w:hanging="378"/>
        <w:spacing w:after="0" w:line="266" w:lineRule="auto"/>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competition from other digital assets that exhibit better speed, security, scalability, or energy efficiency, that feature other more favored characteristics, that are backed by governments, including the U.S. government, or reserves of fiat currencies, or that represent ownership or security interests in physical assets;</w:t>
      </w:r>
    </w:p>
    <w:p>
      <w:pPr>
        <w:spacing w:after="0" w:line="67" w:lineRule="exact"/>
        <w:rPr>
          <w:rFonts w:ascii="Times New Roman" w:cs="Times New Roman" w:eastAsia="Times New Roman" w:hAnsi="Times New Roman"/>
          <w:sz w:val="18"/>
          <w:szCs w:val="18"/>
          <w:color w:val="auto"/>
        </w:rPr>
      </w:pPr>
    </w:p>
    <w:p>
      <w:pPr>
        <w:jc w:val="both"/>
        <w:ind w:left="760" w:hanging="378"/>
        <w:spacing w:after="0" w:line="261" w:lineRule="auto"/>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decrease in the price of other digital assets, including stablecoins, or the crash or unavailability of stablecoins that are used as a medium of exchange for bitcoin purchase and sale transactions, such as the crash of the stablecoin Terra USD in 2022, to the extent the decrease in the price of such other digital assets or the unavailability of such stablecoins may cause a decrease in the price of bitcoin or adversely affect investor confidence in digital assets generally;</w:t>
      </w:r>
    </w:p>
    <w:p>
      <w:pPr>
        <w:spacing w:after="0" w:line="71" w:lineRule="exact"/>
        <w:rPr>
          <w:rFonts w:ascii="Times New Roman" w:cs="Times New Roman" w:eastAsia="Times New Roman" w:hAnsi="Times New Roman"/>
          <w:sz w:val="18"/>
          <w:szCs w:val="18"/>
          <w:color w:val="auto"/>
        </w:rPr>
      </w:pPr>
    </w:p>
    <w:p>
      <w:pPr>
        <w:ind w:left="760" w:hanging="378"/>
        <w:spacing w:after="0" w:line="282" w:lineRule="auto"/>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identification of Satoshi Nakamoto, the pseudonymous person or persons who developed bitcoin, or the transfer of substantial amounts of bitcoin from bitcoin wallets attributed to Mr. Nakamoto;</w:t>
      </w:r>
    </w:p>
    <w:p>
      <w:pPr>
        <w:spacing w:after="0" w:line="53" w:lineRule="exact"/>
        <w:rPr>
          <w:rFonts w:ascii="Times New Roman" w:cs="Times New Roman" w:eastAsia="Times New Roman" w:hAnsi="Times New Roman"/>
          <w:sz w:val="18"/>
          <w:szCs w:val="18"/>
          <w:color w:val="auto"/>
        </w:rPr>
      </w:pPr>
    </w:p>
    <w:p>
      <w:pPr>
        <w:jc w:val="both"/>
        <w:ind w:left="760" w:hanging="378"/>
        <w:spacing w:after="0" w:line="258" w:lineRule="auto"/>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developments relating to the Bitcoin protocol, including (i) changes to the Bitcoin protocol that impact its security, speed, scalability, usability, or value, such as changes to the cryptographic security protocol underpinning the Bitcoin blockchain, changes to the maximum number of bitcoin outstanding, changes to the mutability of transactions, changes relating to the size of blockchain blocks, and similar changes, (ii) failures to make upgrades to the Bitcoin protocol to adapt to security, technological, legal or other challenges, and (iii) changes to the Bitcoin protocol that introduce software bugs, security risks or other elements that adversely affect bitcoin;</w:t>
      </w:r>
    </w:p>
    <w:p>
      <w:pPr>
        <w:spacing w:after="0" w:line="75" w:lineRule="exact"/>
        <w:rPr>
          <w:rFonts w:ascii="Times New Roman" w:cs="Times New Roman" w:eastAsia="Times New Roman" w:hAnsi="Times New Roman"/>
          <w:sz w:val="18"/>
          <w:szCs w:val="18"/>
          <w:color w:val="auto"/>
        </w:rPr>
      </w:pPr>
    </w:p>
    <w:p>
      <w:pPr>
        <w:jc w:val="both"/>
        <w:ind w:left="760" w:hanging="378"/>
        <w:spacing w:after="0" w:line="261" w:lineRule="auto"/>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disruptions, failures, unavailability, or interruptions in service of trading venues for bitcoin, such as, for example, the announcement by the digital asset exchange FTX Trading that it would freeze withdrawals and transfers from its accounts and subsequent filing for bankruptcy protection and the SEC enforcement action brought against Binance Holdings Ltd., which initially sought to freeze all of its assets during the pendency of the enforcement action and has since resulted in Binance discontinuing all fiat deposits and withdrawals in the U.S.;</w:t>
      </w:r>
    </w:p>
    <w:p>
      <w:pPr>
        <w:spacing w:after="0" w:line="71" w:lineRule="exact"/>
        <w:rPr>
          <w:rFonts w:ascii="Times New Roman" w:cs="Times New Roman" w:eastAsia="Times New Roman" w:hAnsi="Times New Roman"/>
          <w:sz w:val="18"/>
          <w:szCs w:val="18"/>
          <w:color w:val="auto"/>
        </w:rPr>
      </w:pPr>
    </w:p>
    <w:p>
      <w:pPr>
        <w:jc w:val="both"/>
        <w:ind w:left="760" w:hanging="378"/>
        <w:spacing w:after="0" w:line="255" w:lineRule="auto"/>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filing for bankruptcy protection by, liquidation of, or market concerns about the financial viability of digital asset custodians, trading venues, lending platforms, investment funds, or other digital asset industry participants, such as the filing for bankruptcy protection by digital asset trading venues FTX Trading and BlockFi and digital asset lending platforms Celsius Network and Voyager Digital Holdings in 2022, the ordered liquidation of the digital asset investment fund Three Arrows Capital in 2022, the announced liquidation of Silvergate Bank in 2023, the government-mandated closure and sale of Signature Bank in 2023, the placement of Prime Trust, LLC into receivership following a cease-and-desist order issued by the Nevada Department of Business and Industry in 2023, and the exit of Binance from the U.S. market as part of its settlement with the Department of Justice and other federal regulatory agencies;</w:t>
      </w:r>
    </w:p>
    <w:p>
      <w:pPr>
        <w:spacing w:after="0" w:line="80" w:lineRule="exact"/>
        <w:rPr>
          <w:rFonts w:ascii="Times New Roman" w:cs="Times New Roman" w:eastAsia="Times New Roman" w:hAnsi="Times New Roman"/>
          <w:sz w:val="18"/>
          <w:szCs w:val="18"/>
          <w:color w:val="auto"/>
        </w:rPr>
      </w:pPr>
    </w:p>
    <w:p>
      <w:pPr>
        <w:ind w:left="760" w:hanging="378"/>
        <w:spacing w:after="0" w:line="282" w:lineRule="auto"/>
        <w:tabs>
          <w:tab w:leader="none" w:pos="76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regulatory, legislative, enforcement and judicial actions that adversely affect the price, ownership, transferability, trading volumes, legality or public perception of bitcoin, or that adversely affect the operations of or otherwise prevent digital asset</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0" w:name="page21"/>
    <w:bookmarkEnd w:id="20"/>
    <w:p>
      <w:pPr>
        <w:ind w:left="760"/>
        <w:spacing w:after="0" w:line="282" w:lineRule="auto"/>
        <w:rPr>
          <w:sz w:val="20"/>
          <w:szCs w:val="20"/>
          <w:color w:val="auto"/>
        </w:rPr>
      </w:pPr>
      <w:r>
        <w:rPr>
          <w:rFonts w:ascii="Times New Roman" w:cs="Times New Roman" w:eastAsia="Times New Roman" w:hAnsi="Times New Roman"/>
          <w:sz w:val="18"/>
          <w:szCs w:val="18"/>
          <w:color w:val="auto"/>
        </w:rPr>
        <w:t>custodians, trading venues, lending platforms or other digital assets industry participants from operating in a manner that allows them to continue to deliver services to the digital assets industry;</w:t>
      </w:r>
    </w:p>
    <w:p>
      <w:pPr>
        <w:spacing w:after="0" w:line="54" w:lineRule="exact"/>
        <w:rPr>
          <w:sz w:val="20"/>
          <w:szCs w:val="20"/>
          <w:color w:val="auto"/>
        </w:rPr>
      </w:pPr>
    </w:p>
    <w:p>
      <w:pPr>
        <w:jc w:val="both"/>
        <w:ind w:left="760" w:hanging="378"/>
        <w:spacing w:after="0" w:line="258" w:lineRule="auto"/>
        <w:tabs>
          <w:tab w:leader="none" w:pos="76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further reductions in mining rewards of bitcoin, including due to block reward halving events, which are events that occur after a specific period of time (the most recent of which occurred in April 2024) that reduce the block reward earned by “miners” who validate bitcoin transactions, or increases in the costs associated with bitcoin mining, including increases in electricity costs and hardware and software used in mining, or new or enhanced regulation or taxation of bitcoin mining, which could further increase the costs associated with bitcoin mining, any of which may cause a decline in support for the Bitcoin network;</w:t>
      </w:r>
    </w:p>
    <w:p>
      <w:pPr>
        <w:spacing w:after="0" w:line="75"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transaction congestion and fees associated with processing transactions on the Bitcoin network;</w:t>
      </w:r>
    </w:p>
    <w:p>
      <w:pPr>
        <w:spacing w:after="0" w:line="117" w:lineRule="exact"/>
        <w:rPr>
          <w:rFonts w:ascii="Times New Roman" w:cs="Times New Roman" w:eastAsia="Times New Roman" w:hAnsi="Times New Roman"/>
          <w:sz w:val="18"/>
          <w:szCs w:val="18"/>
          <w:color w:val="auto"/>
        </w:rPr>
      </w:pPr>
    </w:p>
    <w:p>
      <w:pPr>
        <w:ind w:left="760" w:right="20" w:hanging="378"/>
        <w:spacing w:after="0" w:line="282" w:lineRule="auto"/>
        <w:tabs>
          <w:tab w:leader="none" w:pos="76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macroeconomic changes, such as changes in the level of interest rates and inflation, fiscal and monetary policies of governments, trade restrictions, and fiat currency devaluations;</w:t>
      </w:r>
    </w:p>
    <w:p>
      <w:pPr>
        <w:spacing w:after="0" w:line="53" w:lineRule="exact"/>
        <w:rPr>
          <w:rFonts w:ascii="Times New Roman" w:cs="Times New Roman" w:eastAsia="Times New Roman" w:hAnsi="Times New Roman"/>
          <w:sz w:val="18"/>
          <w:szCs w:val="18"/>
          <w:color w:val="auto"/>
        </w:rPr>
      </w:pPr>
    </w:p>
    <w:p>
      <w:pPr>
        <w:ind w:left="760" w:right="20" w:hanging="378"/>
        <w:spacing w:after="0" w:line="282" w:lineRule="auto"/>
        <w:tabs>
          <w:tab w:leader="none" w:pos="76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developments in mathematics or technology, including in digital computing, algebraic geometry and quantum computing, that could result in the cryptography used by the Bitcoin blockchain becoming insecure or ineffective; and</w:t>
      </w:r>
    </w:p>
    <w:p>
      <w:pPr>
        <w:spacing w:after="0" w:line="53" w:lineRule="exact"/>
        <w:rPr>
          <w:rFonts w:ascii="Times New Roman" w:cs="Times New Roman" w:eastAsia="Times New Roman" w:hAnsi="Times New Roman"/>
          <w:sz w:val="18"/>
          <w:szCs w:val="18"/>
          <w:color w:val="auto"/>
        </w:rPr>
      </w:pPr>
    </w:p>
    <w:p>
      <w:pPr>
        <w:jc w:val="both"/>
        <w:ind w:left="760" w:hanging="378"/>
        <w:spacing w:after="0" w:line="266" w:lineRule="auto"/>
        <w:tabs>
          <w:tab w:leader="none" w:pos="76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in national and international economic and political conditions, including, without limitation, federal government policies, trade tariffs and trade disputes, the adverse impacts attributable to the current conflict between Russia and Ukraine and the economic sanctions adopted in response to the conflict, and the broadening of the Israel-Hamas conflict to other countries in the Middle East.</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Bitcoin and other digital assets are novel assets, and are subject to significant legal, commercial, regulatory and technical uncertainty</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Bitcoin and other digital assets are relatively novel and are subject to significant uncertainty, which could adversely impact their price. The application of state and federal securities laws and other laws and regulations to digital assets is unclear in certain respects, and it is possible that regulators in the United States or foreign countries may interpret or apply existing laws and regulations in a manner that adversely affects the price of bitcoin or the ability of individuals or institutions such as us to own or transfer bitcoin.</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U.S. federal government, states, regulatory agencies, and foreign countries may also enact new laws and regulations, or pursue regulatory, legislative, enforcement or judicial actions, that could materially impact the price of bitcoin or the ability of individuals or institutions such as us to own or transfer bitcoin. For example, within the past several years:</w:t>
      </w:r>
    </w:p>
    <w:p>
      <w:pPr>
        <w:spacing w:after="0" w:line="68" w:lineRule="exact"/>
        <w:rPr>
          <w:sz w:val="20"/>
          <w:szCs w:val="20"/>
          <w:color w:val="auto"/>
        </w:rPr>
      </w:pPr>
    </w:p>
    <w:p>
      <w:pPr>
        <w:jc w:val="both"/>
        <w:ind w:left="820" w:hanging="377"/>
        <w:spacing w:after="0" w:line="266" w:lineRule="auto"/>
        <w:tabs>
          <w:tab w:leader="none" w:pos="8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202529"/>
        </w:rPr>
        <w:t>President Trump signed an executive order instructing a working group comprised of representatives from key federal agencies to evaluate measures that can be taken to provide regulatory clarity and certainty built on technology-neutral regulations for individuals and firms involved in digital assets, including through well-defined jurisdictional regulatory boundaries;</w:t>
      </w:r>
    </w:p>
    <w:p>
      <w:pPr>
        <w:spacing w:after="0" w:line="67" w:lineRule="exact"/>
        <w:rPr>
          <w:rFonts w:ascii="Times New Roman" w:cs="Times New Roman" w:eastAsia="Times New Roman" w:hAnsi="Times New Roman"/>
          <w:sz w:val="18"/>
          <w:szCs w:val="18"/>
          <w:color w:val="auto"/>
        </w:rPr>
      </w:pPr>
    </w:p>
    <w:p>
      <w:pPr>
        <w:ind w:left="820" w:hanging="377"/>
        <w:spacing w:after="0" w:line="282" w:lineRule="auto"/>
        <w:tabs>
          <w:tab w:leader="none" w:pos="8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202529"/>
        </w:rPr>
        <w:t>the European Union adopted Markets in Crypto Assets Regulation (“MiCA”), a comprehensive digital asset regulatory framework for the issuance and use of digital assets, like bitcoin;</w:t>
      </w:r>
    </w:p>
    <w:p>
      <w:pPr>
        <w:spacing w:after="0" w:line="53" w:lineRule="exact"/>
        <w:rPr>
          <w:rFonts w:ascii="Times New Roman" w:cs="Times New Roman" w:eastAsia="Times New Roman" w:hAnsi="Times New Roman"/>
          <w:sz w:val="18"/>
          <w:szCs w:val="18"/>
          <w:color w:val="auto"/>
        </w:rPr>
      </w:pPr>
    </w:p>
    <w:p>
      <w:pPr>
        <w:ind w:left="820" w:hanging="377"/>
        <w:spacing w:after="0" w:line="282" w:lineRule="auto"/>
        <w:tabs>
          <w:tab w:leader="none" w:pos="8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202529"/>
        </w:rPr>
        <w:t>in June 2023, the SEC filed complaints against Binance Holdings Ltd. and Coinbase, Inc., and their respective affiliated entities, relating to, among other claims, that each party was operating as an unregistered securities exchange, broker, dealer, and clearing agency;</w:t>
      </w:r>
    </w:p>
    <w:p>
      <w:pPr>
        <w:spacing w:after="0" w:line="53" w:lineRule="exact"/>
        <w:rPr>
          <w:rFonts w:ascii="Times New Roman" w:cs="Times New Roman" w:eastAsia="Times New Roman" w:hAnsi="Times New Roman"/>
          <w:sz w:val="18"/>
          <w:szCs w:val="18"/>
          <w:color w:val="auto"/>
        </w:rPr>
      </w:pPr>
    </w:p>
    <w:p>
      <w:pPr>
        <w:ind w:left="820" w:right="20" w:hanging="377"/>
        <w:spacing w:after="0" w:line="282" w:lineRule="auto"/>
        <w:tabs>
          <w:tab w:leader="none" w:pos="8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202529"/>
        </w:rPr>
        <w:t>in November 2023, the SEC filed a complaint against Payward Inc. and Payward Ventures Inc., together known as Kraken, alleging, among other claims, that Kraken’s crypto trading platform was operating as an unregistered securities exchange, broker, dealer, and clearing agency;</w:t>
      </w:r>
    </w:p>
    <w:p>
      <w:pPr>
        <w:spacing w:after="0" w:line="53" w:lineRule="exact"/>
        <w:rPr>
          <w:rFonts w:ascii="Times New Roman" w:cs="Times New Roman" w:eastAsia="Times New Roman" w:hAnsi="Times New Roman"/>
          <w:sz w:val="18"/>
          <w:szCs w:val="18"/>
          <w:color w:val="auto"/>
        </w:rPr>
      </w:pPr>
    </w:p>
    <w:p>
      <w:pPr>
        <w:ind w:left="820" w:hanging="377"/>
        <w:spacing w:after="0" w:line="282" w:lineRule="auto"/>
        <w:tabs>
          <w:tab w:leader="none" w:pos="8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202529"/>
        </w:rPr>
        <w:t>in June 2023, the United Kingdom adopted and implemented the Financial Services and Markets Act 2023 (“FSMA 2023”), which regulates market activities in “cryptoassets;”</w:t>
      </w:r>
    </w:p>
    <w:p>
      <w:pPr>
        <w:spacing w:after="0" w:line="53" w:lineRule="exact"/>
        <w:rPr>
          <w:rFonts w:ascii="Times New Roman" w:cs="Times New Roman" w:eastAsia="Times New Roman" w:hAnsi="Times New Roman"/>
          <w:sz w:val="18"/>
          <w:szCs w:val="18"/>
          <w:color w:val="auto"/>
        </w:rPr>
      </w:pPr>
    </w:p>
    <w:p>
      <w:pPr>
        <w:jc w:val="both"/>
        <w:ind w:left="820" w:hanging="377"/>
        <w:spacing w:after="0" w:line="261" w:lineRule="auto"/>
        <w:tabs>
          <w:tab w:leader="none" w:pos="8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202529"/>
        </w:rPr>
        <w:t>in November 2023, Binance Holdings Ltd. and its then chief executive officer reached a settlement with the U.S. Department of Justice, CFTC, the U.S. Department of Treasury’s Office of Foreign Asset Control, and the Financial Crimes Enforcement Network to resolve a multi-year investigation by the agencies and a civil suit brought by the CFTC, pursuant to which Binance Holdings Ltd. agreed to, among other things, pay $4.3 billion in penalties across the four agencies and to discontinue its operations in the United States; and</w:t>
      </w:r>
    </w:p>
    <w:p>
      <w:pPr>
        <w:spacing w:after="0" w:line="71" w:lineRule="exact"/>
        <w:rPr>
          <w:rFonts w:ascii="Times New Roman" w:cs="Times New Roman" w:eastAsia="Times New Roman" w:hAnsi="Times New Roman"/>
          <w:sz w:val="18"/>
          <w:szCs w:val="18"/>
          <w:color w:val="auto"/>
        </w:rPr>
      </w:pPr>
    </w:p>
    <w:p>
      <w:pPr>
        <w:ind w:left="820" w:hanging="377"/>
        <w:spacing w:after="0" w:line="282" w:lineRule="auto"/>
        <w:tabs>
          <w:tab w:leader="none" w:pos="8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202529"/>
        </w:rPr>
        <w:t>in China, the People’s Bank of China and the National Development and Reform Commission have outlawed cryptocurrency mining and declared all cryptocurrency transactions illegal within the country.</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It is not possible to predict whether, or when, new laws will be enacted that change the legal framework governing digital assets or provide additional authorities to the SEC or other regulators, or whether, or when, any other federal, state or foreign legislative bodies will take any similar actions. It is also not possible to predict the nature of any such additional laws or authorities, how additional legislation or regulatory oversight might impact the ability of digital asset markets to function, the willingness of financial and other institutions to continue to provide services to the digital assets industry, or how any new laws or regulations, or changes to existing laws</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1" w:name="page22"/>
    <w:bookmarkEnd w:id="21"/>
    <w:p>
      <w:pPr>
        <w:jc w:val="both"/>
        <w:spacing w:after="0" w:line="266" w:lineRule="auto"/>
        <w:rPr>
          <w:sz w:val="20"/>
          <w:szCs w:val="20"/>
          <w:color w:val="auto"/>
        </w:rPr>
      </w:pPr>
      <w:r>
        <w:rPr>
          <w:rFonts w:ascii="Times New Roman" w:cs="Times New Roman" w:eastAsia="Times New Roman" w:hAnsi="Times New Roman"/>
          <w:sz w:val="18"/>
          <w:szCs w:val="18"/>
          <w:color w:val="auto"/>
        </w:rPr>
        <w:t>or regulations, might impact the value of digital assets generally and bitcoin specifically. The consequences of any new law or regulation relating to digital assets and digital asset activities could adversely affect the market price of bitcoin, as well as our ability to hold or transact in bitcoin, and in turn adversely affect the market price of our listed securities.</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Moreover, the risks of engaging in a bitcoin strategy are relatively novel and have created, and could continue to create, complications due to the lack of experience that third parties have with companies engaging in such a strategy, such as increased costs of director and officer liability insurance or the potential inability to obtain such coverage on acceptable terms in the future.</w:t>
      </w:r>
    </w:p>
    <w:p>
      <w:pPr>
        <w:spacing w:after="0" w:line="68"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growth of the digital assets industry in general, and the use and acceptance of bitcoin in particular, may also impact the price of bitcoin and is subject to a high degree of uncertainty. The pace of worldwide growth in the adoption and use of bitcoin may depend, for instance, on public familiarity with digital assets, ease of buying, accessing or gaining exposure to bitcoin, institutional demand for bitcoin as an investment asset, the participation of traditional financial institutions in the digital assets industry, consumer demand for bitcoin as a store of value or means of payment, and the availability and popularity of alternatives to bitcoin. Even if growth in bitcoin adoption occurs in the near or medium-term, there is no assurance that bitcoin usage will continue to grow over the long-term.</w:t>
      </w:r>
    </w:p>
    <w:p>
      <w:pPr>
        <w:spacing w:after="0" w:line="79"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Because bitcoin has no physical existence beyond the record of transactions on the Bitcoin blockchain, a variety of technical factors related to the Bitcoin blockchain could also impact the price of bitcoin. For example, malicious attacks by miners, inadequate mining fees to incentivize validating of bitcoin transactions, hard “forks” of the Bitcoin blockchain into multiple blockchains, and advances in digital computing, algebraic geometry, and quantum computing could undercut the integrity of the Bitcoin blockchain and negatively affect the price of bitcoin. The liquidity of bitcoin may also be reduced and damage to the public perception of bitcoin may occur, if financial institutions were to deny or limit banking services to businesses that hold bitcoin, provide bitcoin-related services or accept bitcoin as payment, which could also decrease the price of bitcoin. Actions by U.S. banking regulators, such as the issuance in February 2023 by Federal banking agencies of the “Interagency Liquidity Risk Statement,” which cautioned banks on contagion risks posed by providing services to digital assets customers, and similar actions, have in the past resulted in or contributed to reductions in access to banking services for bitcoin-related customers and service providers, or the willingness of traditional financial institution to participate in markets for digital assets. The liquidity of bitcoin may also be impacted to the extent that changes in applicable laws and regulatory requirements negatively impact the ability of exchanges and trading venues to provide services for bitcoin and other digital assets.</w:t>
      </w:r>
    </w:p>
    <w:p>
      <w:pPr>
        <w:spacing w:after="0" w:line="188"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historical financial statements do not reflect the potential variability in earnings that we may experience in the future relating to our bitcoin holdings</w:t>
      </w:r>
    </w:p>
    <w:p>
      <w:pPr>
        <w:spacing w:after="0" w:line="5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historical financial statements do not fully reflect the potential variability in earnings that we may experience in the future from holding or selling significant amounts of bitcoin.</w:t>
      </w:r>
    </w:p>
    <w:p>
      <w:pPr>
        <w:spacing w:after="0" w:line="54"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price of bitcoin has historically been subject to dramatic price fluctuations and is highly volatile. In December 2023, the FASB issued ASU 2023-08, which we adopted as of January 1, 2025.</w:t>
      </w:r>
    </w:p>
    <w:p>
      <w:pPr>
        <w:spacing w:after="0" w:line="54"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We determine the fair value of our bitcoin based on quoted (unadjusted) prices on the Coinbase exchange (our principal market for bitcoin). Prior to our adoption of ASU 2023-08 on January 1, 2025, we performed an analysis each quarter to identify whether events or changes in circumstances, principally decreases in the quoted (unadjusted) prices on the active exchange, indicated that it was more likely than not that any of our bitcoin assets were impaired. In determining if an impairment had occurred, we considered the lowest price of one bitcoin quoted on the active exchange at any time since acquiring the specific bitcoin held. If the carrying value of a bitcoin exceeded that lowest price at any time during the quarter, an impairment loss was deemed to have occurred with respect to that bitcoin in the amount equal to the difference between its carrying value and such lowest price, and subsequent increases in the price of bitcoin did not affect the carrying value of our bitcoin. Gains (if any) were not recorded until realized upon sale, at which point they would be presented net of any impairment losses. In determining the gain to be recognized upon sale, we calculated the difference between the sale price and carrying value of the specific bitcoin sold immediately prior to sale. Due in part to the volatility of bitcoin, we incurred $4.059 billion of cumulative impairment on our bitcoin holdings through December 31, 2024, which losses were reflected in the financial statements for the respective periods in which the losses were incurred.</w:t>
      </w:r>
    </w:p>
    <w:p>
      <w:pPr>
        <w:spacing w:after="0" w:line="8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ASU 2023-08 requires us to measure our bitcoin holdings at fair value in our statement of financial position, and to recognize gains and losses from changes in the fair value of our bitcoin in net income each reporting period. ASU 2023-08 also requires us to provide certain interim and annual disclosures with respect to our bitcoin holdings. We have applied a cumulative-effect adjustment to the opening balance of retained earnings as of January 1, 2025 of $12.745 billion. ASU 2023-08 does not permit retrospective restatement of prior periods. Accordingly, we expect the adoption of ASU 2023-08 to significantly affect the carrying value of our bitcoin on our balance sheet.</w:t>
      </w:r>
    </w:p>
    <w:p>
      <w:pPr>
        <w:spacing w:after="0" w:line="75"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As a result of our adoption of ASU 2023-08, we may incur greater losses during periods when we previously would have incurred smaller losses or no losses because we had already impaired the carrying value of our bitcoin to a low price observed during a prior period, and we may also incur gains during periods when the market value of bitcoin rises, as compared to periods prior to January 1, 2025, when we would not have incurred any gains under similar circumstances. Accordingly, due in particular to the volatility in the price of bitcoin, we expect the adoption of ASU 2023-08 to increase the volatility of our financial results. Additionally, as a result of ASU 2023-08 requiring a cumulative-effect adjustment to our opening balance of retained earnings as of January 1, 2025 and not</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2" w:name="page23"/>
    <w:bookmarkEnd w:id="22"/>
    <w:p>
      <w:pPr>
        <w:spacing w:after="0"/>
        <w:rPr>
          <w:sz w:val="20"/>
          <w:szCs w:val="20"/>
          <w:color w:val="auto"/>
        </w:rPr>
      </w:pPr>
      <w:r>
        <w:rPr>
          <w:rFonts w:ascii="Times New Roman" w:cs="Times New Roman" w:eastAsia="Times New Roman" w:hAnsi="Times New Roman"/>
          <w:sz w:val="18"/>
          <w:szCs w:val="18"/>
          <w:color w:val="auto"/>
        </w:rPr>
        <w:t>permitting retrospective restatement of prior periods, our future results will not be comparable to results from periods prior to our adoption of the guidance.</w:t>
      </w:r>
    </w:p>
    <w:p>
      <w:pPr>
        <w:spacing w:after="0" w:line="11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Because we intend to purchase additional bitcoin in future periods and increase our overall holdings of bitcoin, we expect that the proportion of our total assets represented by our bitcoin holdings will increase in the future. As a result, and in particular due to our adoption of ASU 2023-08, volatility in our earnings may be significantly more than what we experienced in prior periods.</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availability of spot ETPs for bitcoin and other digital assets may adversely affect the market price of our listed securities</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Although bitcoin and other digital assets have experienced a surge of investor attention since bitcoin was invented in 2008, until recently investors in the United States had limited means to gain direct exposure to bitcoin through traditional investment channels, and instead generally were only able to hold bitcoin through “hosted” wallets provided by digital asset service providers or through “unhosted” wallets that expose the investor to risks associated with loss or hacking of their private keys. Given the relative novelty of digital assets, general lack of familiarity with the processes needed to hold bitcoin directly, as well as the potential reluctance of financial planners and advisers to recommend direct bitcoin holdings to their retail customers because of the manner in which such holdings are custodied, some investors have sought exposure to bitcoin through investment vehicles that hold bitcoin and issue shares representing fractional undivided interests in their underlying bitcoin holdings. These vehicles, which were previously offered only to “accredited investors” on a private placement basis, have in the past traded at substantial premiums to net asset value, possibly due to the relative scarcity of traditional investment vehicles providing investment exposure to bitcoin.</w:t>
      </w:r>
    </w:p>
    <w:p>
      <w:pPr>
        <w:spacing w:after="0" w:line="80"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On January 10, 2024, the SEC approved the listing and trading of spot bitcoin ETPs, the shares of which can be sold in public offerings and are traded on U.S. national securities exchanges. The approved ETPs commenced trading directly to the public on January 11, 2024, with a trading volume of $4.6 billion on the first trading day. On January 11, 2024, and in the subsequent days following the SEC’s approval of the listing and trading of spot bitcoin ETPs, the trading price of our shares of class A common stock declined significantly relative to the value of our bitcoin. To the extent investors view our class A common stock as providing exposure to bitcoin, it is possible that the value of our class A common stock may also have included a premium over the value of our bitcoin due to the prior scarcity of traditional investment vehicles providing investment exposure to bitcoin, and that the value declined due to investors now having a greater range of options to gain exposure to bitcoin and investors choosing to gain such exposure through ETPs rather than our class A common stock. Additionally, on May 23, 2024, the SEC approved rule changes permitting the listing and trading of spot ETPs that invest in ether, the main crypto asset supporting the Ethereum blockchain. The approved spot ETPs commenced trading directly to the public on July 23, 2024. The listing and trading of spot ETPs for ether offers investors another alternative to gain exposure to digital assets, which could result in a decline in the trading price of bitcoin as well as a decline in the value of our class A common stock relative to the value of our bitcoin, as well as our series A perpetual strike preferred stock.</w:t>
      </w:r>
    </w:p>
    <w:p>
      <w:pPr>
        <w:spacing w:after="0" w:line="82"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Although we are an operating company, and we believe we offer a different value proposition than a bitcoin investment vehicle such as a spot bitcoin ETP, investors may nevertheless view our class A common stock as an alternative to an investment in an ETP, and choose to purchase shares of a spot bitcoin ETP instead of our class A common stock. They may do so for a variety of reasons, including if they believe that ETPs offer a “pure play” exposure to bitcoin that is generally not subject to federal income tax at the entity level as we are, or the other risk factors applicable to an operating business, such as ours. Additionally, unlike spot bitcoin ETPs, we (i) do not seek for our shares of Class A common stock to track the value of the underlying bitcoin we hold before payment of expenses and liabilities, (ii) do not benefit from various exemptions and relief under the Securities Exchange Act of 1934, as amended, including Regulation M, and other securities laws, which enable ETPs to continuously align the value of their shares to the price of the underlying assets they hold through share creation and redemption, (iii) are a Delaware corporation rather than a statutory trust, and do not operate pursuant to a trust agreement that would require us to pursue one or more stated investment objectives, and (iv) are not required to provide daily transparency as to our bitcoin holdings or our daily net asset value. Furthermore, recommendations by broker-dealers to buy, hold, or sell complex products and non-traditional ETPs, or an investment strategy involving such products, may be subject to additional or heightened scrutiny that would not be applicable to broker-dealers making recommendations with respect to our class A common stock. Based on how we are viewed in the market relative to ETPs, and other vehicles which offer economic exposure to bitcoin, such as bitcoin futures exchange-traded funds (“ETFs”), leveraged bitcoin futures ETFs, and similar vehicles offered on international exchanges, any premium or discount in our class A common stock relative to the value of our bitcoin holdings may increase or decrease in different market conditions.</w:t>
      </w:r>
    </w:p>
    <w:p>
      <w:pPr>
        <w:spacing w:after="0" w:line="8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a result of the foregoing factors, availability of spot ETPs for bitcoin and other digital assets could have a material adverse effect on the market price of our listed securities.</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bitcoin strategy subjects us to enhanced regulatory oversight</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As noted above, several spot bitcoin ETPs have received approval from the SEC to list their shares on a U.S. national securities exchange with continuous share creation and redemption at net asset value. Even though we are not, and do not function in the manner of, a spot bitcoin ETP, it is possible that we nevertheless could face regulatory scrutiny from the SEC or other federal or state agencies due to our bitcoin holdings.</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3" w:name="page24"/>
    <w:bookmarkEnd w:id="23"/>
    <w:p>
      <w:pPr>
        <w:jc w:val="both"/>
        <w:spacing w:after="0" w:line="256" w:lineRule="auto"/>
        <w:rPr>
          <w:sz w:val="20"/>
          <w:szCs w:val="20"/>
          <w:color w:val="auto"/>
        </w:rPr>
      </w:pPr>
      <w:r>
        <w:rPr>
          <w:rFonts w:ascii="Times New Roman" w:cs="Times New Roman" w:eastAsia="Times New Roman" w:hAnsi="Times New Roman"/>
          <w:sz w:val="18"/>
          <w:szCs w:val="18"/>
          <w:color w:val="auto"/>
        </w:rPr>
        <w:t>In addition, there has been increasing focus on the extent to which digital assets can be used to launder the proceeds of illegal activities, fund criminal or terrorist activities, or circumvent sanctions regimes, including those sanctions imposed in response to the ongoing conflict between Russia and Ukraine. While we have implemented and maintain policies and procedures reasonably designed to promote compliance with applicable anti-money laundering and sanctions laws and regulations and take care to only acquire our bitcoin through entities subject to anti-money laundering regulation and related compliance rules in the United States, if we are found to have purchased any of our bitcoin from bad actors that have used bitcoin to launder money or persons subject to sanctions, we may be subject to regulatory proceedings and any further transactions or dealings in bitcoin by us may be restricted or prohibited.</w:t>
      </w:r>
    </w:p>
    <w:p>
      <w:pPr>
        <w:spacing w:after="0" w:line="7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Although our bitcoin holdings do not currently serve as collateral securing any of our outstanding indebtedness as of December 31, 2024, we may incur indebtedness or enter into other financial instruments in the future that may be collateralized by our bitcoin holdings. We may also consider pursuing strategies to create income streams or otherwise generate funds using our bitcoin holdings. These types of bitcoin-related transactions are the subject of enhanced regulatory oversight. These and any other bitcoin-related transactions we may enter into, beyond simply acquiring and holding bitcoin, may subject us to additional regulatory compliance requirements and scrutiny, including under federal and state money services regulations, money transmitter licensing requirements and various commodity and securities laws and regulations.</w:t>
      </w:r>
    </w:p>
    <w:p>
      <w:pPr>
        <w:spacing w:after="0" w:line="7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Additional laws, guidance and policies may be issued by domestic and foreign regulators following the filing for Chapter 11 bankruptcy protection by FTX, one of the world’s largest cryptocurrency exchanges, in November 2022. While the financial and regulatory fallout from FTX’s collapse did not directly impact our business, financial condition or corporate assets, the FTX collapse may have increased regulatory focus on the digital assets industry. Increased enforcement activity and changes in the regulatory environment, including changing interpretations and the implementation of new or varying regulatory requirements by the government or any new legislation affecting bitcoin, as well as enforcement actions involving or impacting our trading venues, counterparties and custodians, may impose significant costs or significantly limit our ability to hold and transact in bitcoin.</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addition, private actors that are wary of bitcoin or the regulatory concerns associated with bitcoin have in the past taken and may in the future take further actions that may have an adverse effect on our business or the market price of our listed securities. For example, an affiliate of HSBC Holdings has prohibited customers of its HSBC InvestDirect retail investment platform from buying shares of our class A common stock after determining that the value of our stock is related to the performance of bitcoin, indicating that it did not want to facilitate exposure to virtual currencies.</w:t>
      </w:r>
    </w:p>
    <w:p>
      <w:pPr>
        <w:spacing w:after="0" w:line="176"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Due to the unregulated nature and lack of transparency surrounding the operations of many bitcoin trading venues, bitcoin trading venues may experience greater fraud, security failures or regulatory or operational problems than trading venues for more established asset classes, which may result in a loss of confidence in bitcoin trading venues and adversely affect the value of our bitcoin</w:t>
      </w:r>
    </w:p>
    <w:p>
      <w:pPr>
        <w:spacing w:after="0" w:line="67"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Bitcoin trading venues are relatively new and, in many cases, unregulated. Furthermore, there are many bitcoin trading venues which do not provide the public with significant information regarding their ownership structure, management teams, corporate practices and regulatory compliance. As a result, the marketplace may lose confidence in bitcoin trading venues, including prominent exchanges that handle a significant volume of bitcoin trading and/or are subject to regulatory oversight, in the event one or more bitcoin trading venues cease or pause for a prolonged period the trading of bitcoin or other digital assets, or experience fraud, significant volumes of withdrawal, security failures or operational problems.</w:t>
      </w:r>
    </w:p>
    <w:p>
      <w:pPr>
        <w:spacing w:after="0" w:line="75"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In 2019 there were reports claiming that 80-95% of bitcoin trading volume on trading venues was false or non-economic in nature, with specific focus on unregulated exchanges located outside of the United States. The SEC also alleged as part of its June 5, 2023 complaint against Binance Holdings Ltd. that Binance committed strategic and targeted “wash trading” through its affiliates to artificially inflate the volume of certain digital assets traded on its exchange. The SEC has also brought recent actions against individuals and digital asset market participants alleging that such persons artificially increased trading volumes in certain digital assets through wash trades, or repeated buying and selling of the same assets in fictitious transactions to manipulate their underlying trading price. Such reports and allegations may indicate that the bitcoin market is significantly smaller than expected and that the United States makes up a significantly larger percentage of the bitcoin market than is commonly understood. Any actual or perceived wash trading in the bitcoin market, and any other fraudulent or manipulative acts and practices, could adversely affect the value of our bitcoin. Negative perception, a lack of stability in the broader bitcoin markets and the closure, temporary shutdown or operational disruption of bitcoin trading venues, lending institutions, institutional investors, institutional miners, custodians, or other major participants in the bitcoin ecosystem, due to fraud, business failure, cybersecurity events, government-mandated regulation, bankruptcy, or for any other reason, may result in a decline in confidence in bitcoin and the broader bitcoin ecosystem and greater volatility in the price of bitcoin. For example, in 2022, each of Celsius Network, Voyager Digital, Three Arrows Capital, FTX, and BlockFi filed for bankruptcy, following which the market prices of bitcoin and other digital assets significantly declined. In addition, in June 2023, the SEC announced enforcement actions against Coinbase, Inc., and Binance Holdings Ltd., two providers of large trading venues for digital assets, which similarly was followed by a decrease in the market price of bitcoin and other digital assets. These were followed in November 2023, by an SEC enforcement action against Payward Inc. and Payward Ventures Inc., together known as Kraken, another large trading venue for digital assets. As the price</w:t>
      </w:r>
    </w:p>
    <w:p>
      <w:pPr>
        <w:spacing w:after="0" w:line="19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4" w:name="page25"/>
    <w:bookmarkEnd w:id="24"/>
    <w:p>
      <w:pPr>
        <w:jc w:val="both"/>
        <w:spacing w:after="0" w:line="282" w:lineRule="auto"/>
        <w:rPr>
          <w:sz w:val="20"/>
          <w:szCs w:val="20"/>
          <w:color w:val="auto"/>
        </w:rPr>
      </w:pPr>
      <w:r>
        <w:rPr>
          <w:rFonts w:ascii="Times New Roman" w:cs="Times New Roman" w:eastAsia="Times New Roman" w:hAnsi="Times New Roman"/>
          <w:sz w:val="18"/>
          <w:szCs w:val="18"/>
          <w:color w:val="auto"/>
        </w:rPr>
        <w:t>of our listed securities is affected by the value of our bitcoin holdings, the failure of a major participant in the bitcoin ecosystem could have a material adverse effect on the market price of our listed securities.</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concentration of our bitcoin holdings enhances the risks inherent in our bitcoin strategy</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of February 14, 2025, we held approximately 478,740 bitcoins that were acquired at an aggregate purchase price of $31.134 billion and we intend to purchase additional bitcoin and increase our overall holdings of bitcoin in the future. The concentration of our bitcoin holdings limits the risk mitigation that we could achieve if we were to purchase a more diversified portfolio of treasury assets, and the absence of diversification enhances the risks inherent in our bitcoin strategy. The price of bitcoin experienced a significant decline in 2022, and this had, and any future significant declines in the price of bitcoin would have, a more pronounced impact on our financial condition than if we used our cash to purchase a more diverse portfolio of assets.</w:t>
      </w:r>
    </w:p>
    <w:p>
      <w:pPr>
        <w:spacing w:after="0" w:line="179"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The emergence or growth of other digital assets, including those with significant private or public sector backing, could have a negative impact on the price of bitcoin and adversely affect our business</w:t>
      </w:r>
    </w:p>
    <w:p>
      <w:pPr>
        <w:spacing w:after="0" w:line="5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As a result of our bitcoin strategy, our assets are concentrated in our bitcoin holdings. Accordingly, the emergence or growth of digital assets other than bitcoin may have a material adverse effect on our financial condition. As of December 31, 2024, bitcoin was the largest digital asset by market capitalization. However, there are numerous alternative digital assets and many entities, including consortiums and financial institutions, are researching and investing resources into private or permissioned blockchain platforms or digital assets that do not use proof-of-work mining like the Bitcoin network. For example, in late 2022, the Ethereum network transitioned to a “proof-of-stake” mechanism for validating transactions that requires significantly less computing power than proof-of-work mining. The Ethereum network has completed another major upgrade since then and may undertake additional upgrades in the future. If the mechanisms for validating transactions in Ethereum and other alternative digital assets are perceived as superior to proof-of-work mining, those digital assets could gain market share relative to bitcoin.</w:t>
      </w:r>
    </w:p>
    <w:p>
      <w:pPr>
        <w:spacing w:after="0" w:line="8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Other alternative digital assets that compete with bitcoin in certain ways include “stablecoins,” which are designed to maintain a constant price because of, for instance, their issuers’ promise to hold high-quality liquid assets (such as U.S. dollar deposits and short-term U.S. treasury securities) equal to the total value of stablecoins in circulation. Stablecoins have grown rapidly as an alternative to bitcoin and other digital assets as a medium of exchange and store of value, particularly on digital asset trading platforms. As of December 31, 2024, two of the eight largest digital assets by market capitalization were U.S. dollar-pegged stablecoins.</w:t>
      </w:r>
    </w:p>
    <w:p>
      <w:pPr>
        <w:spacing w:after="0" w:line="75"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Additionally, central banks in some countries have started to introduce digital forms of legal tender. For example, China’s CBDC project was made available to consumers in January 2022, and governments including the United States, the United Kingdom, the European Union, and Israel have been discussing the potential creation of new CBDCs. Whether or not they incorporate blockchain or similar technology, CBDCs, as legal tender in the issuing jurisdiction, could also compete with, or replace, bitcoin and other digital assets as a medium of exchange or store of value. As a result, the emergence or growth of these or other digital assets could cause the market price of bitcoin to decrease, which could have a material adverse effect on our business, prospects, financial condition, and operating results.</w:t>
      </w:r>
    </w:p>
    <w:p>
      <w:pPr>
        <w:spacing w:after="0" w:line="183"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bitcoin holdings are less liquid than our existing cash and cash equivalents and may not be able to serve as a source of liquidity for us to the same extent as cash and cash equivalents</w:t>
      </w:r>
    </w:p>
    <w:p>
      <w:pPr>
        <w:spacing w:after="0" w:line="5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Historically, the bitcoin market has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inherent in its entirely electronic, virtual form and decentralized network. During times of market instability, we may not be able to sell our bitcoin at favorable prices or at all. For example, a number of bitcoin trading venues temporarily halted deposits and withdrawals in 2022, although the Coinbase exchange (our principal market for bitcoin) has, to date, not done so. As a result, our bitcoin holdings may not be able to serve as a source of liquidity for us to the same extent as cash and cash equivalents. Further, bitcoin we hold with our custodians and transact with our trade execution partners does not enjoy the same protections as are available to cash or securities deposited with or transacted by institutions subject to regulation by the Federal Deposit Insurance Corporation or the Securities Investor Protection Corporation. Additionally, we may be unable to enter into term loans or other capital raising transactions collateralized by our unencumbered bitcoin or otherwise generate funds using our bitcoin holdings, including in particular during times of market instability or when the price of bitcoin has declined significantly. If we are unable to sell our bitcoin, enter into additional capital raising transactions, including capital raising transactions using bitcoin as collateral, or otherwise generate funds using our bitcoin holdings, or if we are forced to sell our bitcoin at a significant loss, in order to meet our working capital requirements, our business and financial condition could be negatively impacted.</w:t>
      </w:r>
    </w:p>
    <w:p>
      <w:pPr>
        <w:spacing w:after="0" w:line="183"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If we or our third-party service providers experience a security breach or cyberattack and unauthorized parties obtain access to our bitcoin, or if our private keys are lost or destroyed, or other similar circumstances or events occur, we may lose some or all of our bitcoin and our financial condition and results of operations could be materially adversely affected</w:t>
      </w:r>
    </w:p>
    <w:p>
      <w:pPr>
        <w:spacing w:after="0" w:line="67"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Substantially all of the bitcoin we own is held in custody accounts at institutional-grade digital asset custodians. Security breaches and cyberattacks are of particular concern with respect to our bitcoin. Bitcoin and other blockchain-based cryptocurrencies and the entities</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5" w:name="page26"/>
    <w:bookmarkEnd w:id="25"/>
    <w:p>
      <w:pPr>
        <w:jc w:val="both"/>
        <w:spacing w:after="0" w:line="258" w:lineRule="auto"/>
        <w:rPr>
          <w:sz w:val="20"/>
          <w:szCs w:val="20"/>
          <w:color w:val="auto"/>
        </w:rPr>
      </w:pPr>
      <w:r>
        <w:rPr>
          <w:rFonts w:ascii="Times New Roman" w:cs="Times New Roman" w:eastAsia="Times New Roman" w:hAnsi="Times New Roman"/>
          <w:sz w:val="18"/>
          <w:szCs w:val="18"/>
          <w:color w:val="auto"/>
        </w:rPr>
        <w:t>that provide services to participants in the bitcoin ecosystem have been, and may in the future be, subject to security breaches, cyberattacks, or other malicious activities. For example, in October 2021 it was reported that hackers exploited a flaw in the account recovery process and stole from the accounts of at least 6,000 customers of the Coinbase exchange (our principal market for bitcoin), although the flaw was subsequently fixed and Coinbase reimbursed affected customers. Similarly, in November 2022, hackers exploited weaknesses in the security architecture of the FTX Trading digital asset exchange and reportedly stole over $400 million in digital assets from customers. A successful security breach or cyberattack could result in:</w:t>
      </w:r>
    </w:p>
    <w:p>
      <w:pPr>
        <w:spacing w:after="0" w:line="75" w:lineRule="exact"/>
        <w:rPr>
          <w:sz w:val="20"/>
          <w:szCs w:val="20"/>
          <w:color w:val="auto"/>
        </w:rPr>
      </w:pPr>
    </w:p>
    <w:p>
      <w:pPr>
        <w:ind w:left="760" w:hanging="378"/>
        <w:spacing w:after="0" w:line="282" w:lineRule="auto"/>
        <w:tabs>
          <w:tab w:leader="none" w:pos="760"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partial or total loss of our bitcoin in a manner that may not be covered by insurance or the liability provisions of the custody agreements with the custodians who hold our bitcoin;</w:t>
      </w:r>
    </w:p>
    <w:p>
      <w:pPr>
        <w:spacing w:after="0" w:line="53"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harm to our reputation and brand;</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improper disclosure of data and violations of applicable data privacy and other laws; or</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significant regulatory scrutiny, investigations, fines, penalties, and other legal, regulatory, contractual and financial exposure.</w:t>
      </w:r>
    </w:p>
    <w:p>
      <w:pPr>
        <w:spacing w:after="0" w:line="11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Further, any actual or perceived data security breach or cybersecurity attack directed at other companies with digital assets or companies that operate digital asset networks, regardless of whether we are directly impacted, could lead to a general loss of confidence in the broader Bitcoin blockchain ecosystem or in the use of the Bitcoin network to conduct financial transactions, which could negatively impact us.</w:t>
      </w:r>
    </w:p>
    <w:p>
      <w:pPr>
        <w:spacing w:after="0" w:line="68"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Attacks upon systems across a variety of industries, including industries related to bitcoin, are increasing in frequency, persistence, and sophistication, and, in many cases, are being conducted by sophisticated, well-funded and organized groups and individuals, including state actors. The techniques used to obtain unauthorized, improper or illegal access to systems and information (including personal data and digital assets), disable or degrade services, or sabotage systems are constantly evolving, may be difficult to detect quickly, and often are not recognized or detected until after they have been launched against a target. These attacks may occur on our systems or those of our third-party service providers or partners. We may experience breaches of our security measures due to human error, malfeasance, insider threats, system errors or vulnerabilities or other irregularities. In particular, unauthorized parties have attempted, and we expect that they will continue to attempt, to gain access to our systems and facilities, as well as those of our partners and third-party service providers, through various means, such as hacking, social engineering, phishing and fraud. In the past, hackers have successfully employed a social engineering attack against one of our service providers and misappropriated our digital assets, although, to date, such events have not been material to our financial condition or operating results. Threats can come from a variety of sources, including criminal hackers, hacktivists, state-sponsored intrusions, industrial espionage, and insiders. In addition, certain types of attacks could harm us even if our systems are left undisturbed. For example, certain threats are designed to remain dormant or undetectable, sometimes for extended periods of time, or until launched against a target and we may not be able to implement adequate preventative measures. Further, there has been an increase in such activities due to the increase in work-from-home arrangements since the onset of the COVID-19 pandemic. The risk of cyberattacks could also be increased by cyberwarfare in connection with the ongoing Russia-Ukraine and Israel-Hamas conflicts, or other future conflicts, including potential proliferation of malware into systems unrelated to such conflicts. Any future breach of our operations or those of others in the bitcoin industry, including third-party services on which we rely, could materially and adversely affect our business.</w:t>
      </w:r>
    </w:p>
    <w:p>
      <w:pPr>
        <w:spacing w:after="0" w:line="191"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face risks relating to the custody of our bitcoin, including the loss or destruction of private keys required to access our bitcoin and cyberattacks or other data loss relating to our bitcoin</w:t>
      </w:r>
    </w:p>
    <w:p>
      <w:pPr>
        <w:spacing w:after="0" w:line="5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We hold our bitcoin with regulated custodians that have duties to safeguard our private keys. Our custodial services contracts do not restrict our ability to reallocate our bitcoin among our custodians, and our bitcoin holdings may be concentrated with a single custodian from time to time. In light of the significant amount of bitcoin we hold, we continually seek to engage additional custodians to achieve a greater degree of diversification in the custody of our bitcoin as the extent of potential risk of loss is dependent, in part, on the degree of diversification. If there is a decrease in the availability of digital asset custodians that we believe can safely custody our bitcoin, for example, due to regulatory developments or enforcement actions that cause custodians to discontinue or limit their services in the United States, we may need to enter into agreements that are less favorable than our current agreements or take other measures to custody our bitcoin, and our ability to seek a greater degree of diversification in the use of custodial services would be materially adversely affected.</w:t>
      </w:r>
    </w:p>
    <w:p>
      <w:pPr>
        <w:spacing w:after="0" w:line="84"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As of December 31, 2024, the insurance that covers losses of our bitcoin holdings covers only a small fraction of the value of the entirety of our bitcoin holdings, and there can be no guarantee that such insurance will be maintained as part of the custodial services we have or that such coverage will cover losses with respect to our bitcoin. Moreover, our use of custodians exposes us to the risk that the bitcoin our custodians hold on our behalf could be subject to insolvency proceedings and we could be treated as a general unsecured creditor of the custodian, inhibiting our ability to exercise ownership rights with respect to such bitcoin. Any loss associated with such insolvency proceedings is unlikely to be covered by any insurance coverage we maintain related to our bitcoin.</w:t>
      </w:r>
    </w:p>
    <w:p>
      <w:pPr>
        <w:spacing w:after="0" w:line="7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Bitcoin is controllable only by the possessor of both the unique public key and private key(s) relating to the local or online digital wallet in which the bitcoin is held. While the Bitcoin blockchain ledger requires a public key relating to a digital wallet to be published when used in a transaction, private keys must be safeguarded and kept private in order to prevent a third party from accessing the bitcoin held</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6" w:name="page27"/>
    <w:bookmarkEnd w:id="26"/>
    <w:p>
      <w:pPr>
        <w:jc w:val="both"/>
        <w:spacing w:after="0" w:line="258" w:lineRule="auto"/>
        <w:rPr>
          <w:sz w:val="20"/>
          <w:szCs w:val="20"/>
          <w:color w:val="auto"/>
        </w:rPr>
      </w:pPr>
      <w:r>
        <w:rPr>
          <w:rFonts w:ascii="Times New Roman" w:cs="Times New Roman" w:eastAsia="Times New Roman" w:hAnsi="Times New Roman"/>
          <w:sz w:val="18"/>
          <w:szCs w:val="18"/>
          <w:color w:val="auto"/>
        </w:rPr>
        <w:t>in such wallet. To the extent the private key(s) for a digital wallet are lost, destroyed, or otherwise compromised and no backup of the private key(s) is accessible, neither we nor our custodians will be able to access the bitcoin held in the related digital wallet. Furthermore, we cannot provide assurance that our digital wallets, nor the digital wallets of our custodians held on our behalf, will not be compromised as a result of a cyberattack. The bitcoin and blockchain ledger, as well as other digital assets and blockchain technologies, have been, and may in the future be, subject to security breaches, cyberattacks, or other malicious activities.</w:t>
      </w:r>
    </w:p>
    <w:p>
      <w:pPr>
        <w:spacing w:after="0" w:line="179"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Regulatory change reclassifying bitcoin as a security could lead to our classification as an “investment company” under the Investment Company Act of 1940 and could adversely affect the market price of bitcoin and the market price of our listed securities</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Our assets are concentrated in our bitcoin holdings. While senior SEC officials have stated their view that bitcoin is not a “security” for purposes of the federal securities laws, a contrary determination by the SEC could lead to our classification as an “investment company” under the Investment Company Act of 1940, which would subject us to significant additional regulatory controls that could have a material adverse effect on our ability to execute on our bitcoin strategy, and our business and operations and may also require us to substantially change the manner in which we conduct our business.</w:t>
      </w:r>
    </w:p>
    <w:p>
      <w:pPr>
        <w:spacing w:after="0" w:line="7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In addition, if bitcoin is determined to constitute a security for purposes of the federal securities laws, the additional regulatory restrictions imposed by such a determination could adversely affect the market price of bitcoin and in turn adversely affect the market price of our listed securities.</w:t>
      </w:r>
    </w:p>
    <w:p>
      <w:pPr>
        <w:spacing w:after="0" w:line="158"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are not subject to legal and regulatory obligations that apply to investment companies such as mutual funds and exchange-traded funds, or to obligations applicable to investment advisers</w:t>
      </w:r>
    </w:p>
    <w:p>
      <w:pPr>
        <w:spacing w:after="0" w:line="5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Mutual funds, ETFs and their directors and management are subject to extensive regulation as “investment companies” and “investment advisers” under U.S. federal and state law; this regulation is intended for the benefit and protection of investors. We are not subject to, and do not otherwise voluntarily comply with, these laws and regulations. This means, among other things, that the execution of or changes to our Treasury Reserve Policy or our bitcoin strategy, our use of leverage, the manner in which our bitcoin is custodied, our ability to engage in transactions with affiliated parties and our operating and investment activities generally are not subject to the extensive legal and regulatory requirements and prohibitions that apply to investment companies and investment advisers. For example, although a significant change to our Treasury Reserve Policy would require the approval of our board of directors, no shareholder or regulatory approval would be necessary. Consequently, our board of directors has broad discretion over the investment, leverage and cash management policies it authorizes, whether in respect of our bitcoin holdings or other activities we may pursue, and has the power to change our current policies, including our strategy of acquiring and holding bitcoin.</w:t>
      </w:r>
    </w:p>
    <w:p>
      <w:pPr>
        <w:spacing w:after="0" w:line="1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bitcoin strategy exposes us to risk of non-performance by counterparties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Our bitcoin strategy exposes us to the risk of non-performance by counterparties, whether contractual or otherwise. Risk of non-performance includes inability or refusal of a counterparty to perform because of a deterioration in the counterparty’s financial condition and liquidity or for any other reason. For example, our execution partners, custodians, or other counterparties might fail to perform in accordance with the terms of our agreements with them, which could result in a loss of bitcoin, a loss of the opportunity to generate funds, or other losses.</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Our primary counterparty risk with respect to our bitcoin is custodian performance obligations under the various custody arrangements we have entered into. A series of recent high-profile bankruptcies, closures, liquidations, regulatory enforcement actions and other events relating to companies operating in the digital asset industry, including the filings for bankruptcy protection by Three Arrows Capital, Celsius Network, Voyager Digital, FTX Trading and Genesis Global Capital, the closure or liquidation of certain financial institutions that provided lending and other services to the digital assets industry, including Signature Bank and Silvergate Bank, SEC enforcement actions against Coinbase, Inc., Binance Holdings Ltd., and Kraken, the placement of Prime Trust, LLC into receivership following a cease-and-desist order issued by Nevada’s Department of Business and Industry, and the filing and subsequent settlement of a civil fraud lawsuit by the New York Attorney General against Genesis Global Capital, its parent company Digital Currency Group, Inc., and former partner Gemini Trust Company have highlighted the perceived and actual counterparty risk applicable to digital asset ownership and trading. Although these bankruptcies, closures and liquidations have not resulted in any loss or misappropriation of our bitcoin, nor have such events adversely impacted our access to our bitcoin, legal precedent created in these bankruptcy and other proceedings may increase the risk of future rulings adverse to our interests in the event one or more of our custodians becomes a debtor in a bankruptcy case or is the subject of other liquidation, insolvency or similar proceedings.</w:t>
      </w:r>
    </w:p>
    <w:p>
      <w:pPr>
        <w:spacing w:after="0" w:line="82"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While all of our custodians are subject to regulatory regimes intended to protect customers in the event of a custodial bankruptcy, receivership or similar insolvency proceeding, no assurance can be provided that our custodially-held bitcoin will not become part of the custodian’s insolvency estate if one or more of our custodians enters bankruptcy, receivership or similar insolvency proceedings. Additionally, if we pursue any strategies to create income streams or otherwise generate funds using our bitcoin holdings, we would become subject to additional counterparty risks. Any significant non-performance by counterparties, including in particular the custodians with which we custody substantially all of our bitcoin, could have a material adverse effect on our business, prospects, financial condition, and operating results.</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7" w:name="page28"/>
    <w:bookmarkEnd w:id="27"/>
    <w:p>
      <w:pPr>
        <w:spacing w:after="0"/>
        <w:rPr>
          <w:sz w:val="20"/>
          <w:szCs w:val="20"/>
          <w:color w:val="auto"/>
        </w:rPr>
      </w:pPr>
      <w:r>
        <w:rPr>
          <w:rFonts w:ascii="Times New Roman" w:cs="Times New Roman" w:eastAsia="Times New Roman" w:hAnsi="Times New Roman"/>
          <w:sz w:val="18"/>
          <w:szCs w:val="18"/>
          <w:b w:val="1"/>
          <w:bCs w:val="1"/>
          <w:color w:val="auto"/>
        </w:rPr>
        <w:t>Risks Related to Our Enterprise Analytics Software Business Strategy</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We derive revenue from a single software platform and related services as well as revenue from our installed customer base</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derive revenue from sales of our analytics software platform and related services. We also depend on our installed customer base for a substantial portion of our software revenue. As a result, if our software business experiences a significant decline in demand for, or in the adoption or prices of, our platform and related services as a result of, among other factors, a significant decline in our installed customer base, any change in our pricing or packaging model, increased competition, maturation in the markets for our platform, or other risks described herein, we may not be able to generate revenue from other sources in excess of the expenses relating to our analytics software platform and related services</w:t>
      </w:r>
    </w:p>
    <w:p>
      <w:pPr>
        <w:spacing w:after="0" w:line="179"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As our customers increasingly shift from a product license model to a cloud subscription model, we could face higher future rates of attrition, and such a shift could continue to affect the timing of revenue recognition or reduce product licenses and product support revenues</w:t>
      </w:r>
    </w:p>
    <w:p>
      <w:pPr>
        <w:spacing w:after="0" w:line="5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We offer our analytics platform in the form of a product license or a cloud subscription. Given that it is relatively easy for customers to migrate on and off our cloud subscription platform, as we continue to shift our customers toward our cloud platform, we could face higher future rates of attrition among our customers. In addition, the payment streams and revenue recognition timing for our product licenses are different from those for our cloud subscriptions. For product licenses, customers typically pay us a lump sum soon after entering into a license agreement, and we typically recognize product licenses revenue when control of the license is transferred to the customer. For cloud subscriptions, customers typically make periodic payments over the subscription period and we recognize subscription services revenues ratably over the subscription period. As a result, as our customers increasingly shift to, or new customers purchase, cloud subscriptions instead of product licenses, the resulting change in payment terms and revenue recognition may result in our recognizing less revenue in the reporting period in which the sale transactions are consummated than has been the case in prior periods, with more revenue being recognized in future periods.</w:t>
      </w:r>
    </w:p>
    <w:p>
      <w:pPr>
        <w:spacing w:after="0" w:line="184"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recognition of deferred revenue and advance payments is subject to future performance obligations and may not be representative of revenues for succeeding periods</w:t>
      </w:r>
    </w:p>
    <w:p>
      <w:pPr>
        <w:spacing w:after="0" w:line="5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deferred revenue and advance payments totaled $242.9 million as of December 31, 2024. The timing and ultimate recognition of our deferred revenue and advance payments depend on various factors, including our performance of various service obligations.</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Because of the possibility of customer changes or delays in customer development or implementation schedules or budgets, and the need for us to satisfactorily perform product support and other services, deferred revenue and advance payments at any particular date may not be representative of actual revenue for any succeeding period.</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addition, we had $211.9 million of other remaining performance obligations as of December 31, 2024, consisting of the portions of multi-year contracts that will be invoiced in the future that are not reflected on our balance sheet. As with deferred revenue and advance payments, these other remaining performance obligations at any particular date may not be representative of actual revenue for any succeeding period.</w:t>
      </w:r>
    </w:p>
    <w:p>
      <w:pPr>
        <w:spacing w:after="0" w:line="172"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Integration of artificial intelligence into our enterprise analytics product offerings and our use of artificial intelligence in our operations could result in reputational or competitive harm, legal liability, and other adverse effects on our business</w:t>
      </w:r>
    </w:p>
    <w:p>
      <w:pPr>
        <w:spacing w:after="0" w:line="5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We have integrated, and plan to further integrate, AI capabilities into certain components of our enterprise analytics product offerings and we expect to use AI in our operations. Such integration and use of AI may become more important in our product offerings and operations over time. These AI-related initiatives, whether successful or not, could cause us to incur substantial costs and could result in delays in our software release cadence. Our competitors or other third parties may incorporate AI into their products or operations more quickly or more successfully than we do, which could impair our ability to compete effectively. Additionally, AI algorithms may be flawed and datasets underlying AI algorithms may be insufficient or contain biased information. If the AI tools integrated into our products or that we use in our operations produce analyses or recommendations that are or are alleged to be deficient, inaccurate, or biased, our reputation, business, financial condition, and results of operations may be adversely affected.</w:t>
      </w:r>
    </w:p>
    <w:p>
      <w:pPr>
        <w:spacing w:after="0" w:line="8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Other companies have experienced cybersecurity incidents that implicate confidential and proprietary company data and/or the personal data of end users of AI applications integrated into their software offerings or used in their operations. If we were to experience a cybersecurity incident, whether related to the integration of AI capabilities into our product offerings or our use of AI applications in our operations, our business and results of operations could be adversely affected. AI also presents various emerging legal, regulatory and ethical issues, and the incorporation of AI into our product offerings and our use of AI applications in our operations could require us to expend significant resources in developing, testing and maintaining our product offerings and may cause us to experience brand, reputational, or competitive harm, or incur legal liability. On October 30, 2023, the Biden administration issued an Executive Order to, among other things, establish extensive new standards for AI safety and security. Additionally, in March 2024, the European Commission passed the Artificial Intelligence Act. Other jurisdictions, including certain U.S. states, have adopted or may decide to</w:t>
      </w:r>
    </w:p>
    <w:p>
      <w:pPr>
        <w:spacing w:after="0" w:line="19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305" w:right="339" w:bottom="1440" w:gutter="0" w:footer="0" w:header="0"/>
        </w:sectPr>
      </w:pPr>
    </w:p>
    <w:bookmarkStart w:id="28" w:name="page29"/>
    <w:bookmarkEnd w:id="28"/>
    <w:p>
      <w:pPr>
        <w:jc w:val="both"/>
        <w:ind w:right="20"/>
        <w:spacing w:after="0" w:line="266" w:lineRule="auto"/>
        <w:rPr>
          <w:sz w:val="20"/>
          <w:szCs w:val="20"/>
          <w:color w:val="auto"/>
        </w:rPr>
      </w:pPr>
      <w:r>
        <w:rPr>
          <w:rFonts w:ascii="Times New Roman" w:cs="Times New Roman" w:eastAsia="Times New Roman" w:hAnsi="Times New Roman"/>
          <w:sz w:val="18"/>
          <w:szCs w:val="18"/>
          <w:color w:val="auto"/>
        </w:rPr>
        <w:t>adopt similar or more restrictive legislation that may render the use of such technologies challenging. These restrictions may make it harder for us to conduct our business using AI, lead to regulatory fines or penalties, require us to change our product offerings or business practices, or prevent or limit our use of AI.</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Technology and Intellectual Property</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Third parties may claim we infringe their intellectual property rights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We periodically receive notices from third parties claiming we are infringing their intellectual property rights. The frequency of such claims may increase as we expand our offerings and branding, the number of offerings and level of competition in our industry grow, the functionality of offerings overlaps, and the volume of issued patents, patent applications, and copyright and trademark registrations continues to increase. Responding to any infringement claim, regardless of its validity, could:</w:t>
      </w:r>
    </w:p>
    <w:p>
      <w:pPr>
        <w:spacing w:after="0" w:line="72" w:lineRule="exact"/>
        <w:rPr>
          <w:sz w:val="20"/>
          <w:szCs w:val="20"/>
          <w:color w:val="auto"/>
        </w:rPr>
      </w:pPr>
    </w:p>
    <w:p>
      <w:pPr>
        <w:ind w:left="760" w:hanging="378"/>
        <w:spacing w:after="0"/>
        <w:tabs>
          <w:tab w:leader="none" w:pos="76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 time-consuming, costly, and/or result in litigation;</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divert management’s time and attention from developing our business;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pay monetary damages or enter into royalty or licensing agreements that we would normally find unacceptable;</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stop selling certain of our offerings;</w:t>
      </w:r>
    </w:p>
    <w:p>
      <w:pPr>
        <w:spacing w:after="0" w:line="117" w:lineRule="exact"/>
        <w:rPr>
          <w:rFonts w:ascii="Times New Roman" w:cs="Times New Roman" w:eastAsia="Times New Roman" w:hAnsi="Times New Roman"/>
          <w:sz w:val="18"/>
          <w:szCs w:val="18"/>
          <w:color w:val="auto"/>
        </w:rPr>
      </w:pPr>
    </w:p>
    <w:p>
      <w:pPr>
        <w:ind w:left="760" w:hanging="378"/>
        <w:spacing w:after="0" w:line="282" w:lineRule="auto"/>
        <w:tabs>
          <w:tab w:leader="none" w:pos="76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redesign certain of our offerings using alternative non-infringing technology or practices, which could require significant effort and expense;</w:t>
      </w:r>
    </w:p>
    <w:p>
      <w:pPr>
        <w:spacing w:after="0" w:line="53"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rename certain of our offerings or entities; or</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satisfy indemnification obligations to our customers or channel partners.</w:t>
      </w:r>
    </w:p>
    <w:p>
      <w:pPr>
        <w:spacing w:after="0" w:line="11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Additionally, while we monitor our use of third-party software, including open-source software, our processes for controlling such use in our offerings may not be effective. If we fail to comply with the terms or conditions associated with third-party software that we use, if we inadvertently embed certain types of third-party software into one or more of our offerings, or if third-party software that we license is found to infringe the intellectual property rights of others, we could become subject to infringement liability and be required to re-engineer our offerings, discontinue the sale of our offerings, or make available to certain third parties or generally available, in source code form, our proprietary code, any of which could materially adversely affect our business, operating results, and financial condition.</w:t>
      </w:r>
    </w:p>
    <w:p>
      <w:pPr>
        <w:spacing w:after="0" w:line="79"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If a successful infringement claim is made against us and we fail to develop or license a substitute technology or brand name, as applicable, our business, results of operations, financial condition, or cash flows could be materially adversely affected.</w:t>
      </w:r>
    </w:p>
    <w:p>
      <w:pPr>
        <w:spacing w:after="0" w:line="158"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Changes in third-party software or systems or the emergence of new industry standards could materially adversely affect the operation of and demand for our existing software</w:t>
      </w:r>
    </w:p>
    <w:p>
      <w:pPr>
        <w:spacing w:after="0" w:line="5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The functionalities of our software depend in part on the ability of our software to interface with our customers’ information technology (“IT”) infrastructure and cloud environments, including software applications, network infrastructure, and end user devices, which are supplied to our customers by various other vendors. When new or updated versions of these third-party software or systems are introduced, or new industry standards in related fields emerge, we may be required to develop updated versions of or enhancements to our software to help ensure that it continues to effectively interoperate with our customers’ IT infrastructure and cloud environments. If new or modified operating systems are introduced or new web standards and technologies or new standards in the field of database access technology emerge that are incompatible with our software, development efforts to maintain the interoperability of our software with our customers’ IT infrastructure and cloud environments could require substantial capital investment and employee resources. If we are unable to update our software in a timely manner, cost-effectively, or at all, the ability of our software to perform key functions could be impaired, which may impact our customers’ satisfaction with our software, potentially result in breach of warranty or other claims, and materially adversely affect demand for our software.</w:t>
      </w:r>
    </w:p>
    <w:p>
      <w:pPr>
        <w:spacing w:after="0" w:line="190"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The nature of our software makes it particularly susceptible to undetected errors, bugs, or security vulnerabilities, which could cause problems with how the software performs and, in turn, reduce demand for our software, reduce our revenue, and lead to litigation claims against us</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Despite extensive testing by us and our current and potential customers, we have in the past discovered software errors, bugs, or security vulnerabilities (including the log4j and SpringShell vulnerabilities which surfaced in December 2021 and March 2022, respectively, and affected companies worldwide) in our offerings after commercial shipments began and they may be found in future offerings or releases. This could result in lost revenue, damage to our reputation, or delays in market acceptance, which could have a material adverse effect on our business, operating results, and financial condition. We may also need to expend resources and capital to correct these defects if they occur.</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9" w:name="page30"/>
    <w:bookmarkEnd w:id="29"/>
    <w:p>
      <w:pPr>
        <w:jc w:val="both"/>
        <w:ind w:right="20"/>
        <w:spacing w:after="0" w:line="266" w:lineRule="auto"/>
        <w:rPr>
          <w:sz w:val="20"/>
          <w:szCs w:val="20"/>
          <w:color w:val="auto"/>
        </w:rPr>
      </w:pPr>
      <w:r>
        <w:rPr>
          <w:rFonts w:ascii="Times New Roman" w:cs="Times New Roman" w:eastAsia="Times New Roman" w:hAnsi="Times New Roman"/>
          <w:sz w:val="18"/>
          <w:szCs w:val="18"/>
          <w:color w:val="auto"/>
        </w:rPr>
        <w:t>Our customer agreements typically contain provisions designed to limit our exposure to product liability, warranty, and other claims. It is possible these provisions are unenforceable in certain domestic or international jurisdictions, and we may be exposed to such claims. A successful claim against us could have a material adverse effect on our business, operating results, and financial condition.</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intellectual property is valuable, and any inability to protect it could reduce the value of our offerings and brand</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Unauthorized third parties may try to copy or reverse engineer portions of our software or otherwise obtain and use our intellectual property. Copyrights, patents, trademarks, trade secrets, confidentiality procedures, and contractual commitments can only provide limited protection. Any intellectual property owned by us may be invalidated, circumvented, or challenged. Any of our pending or future intellectual property applications, whether or not currently being challenged, may not be issued with the scope we seek, if at all. Moreover, amendments to and developing jurisprudence regarding U.S. and international law may affect our ability to protect our intellectual property and defend against claims of infringement. In addition, although we generally enter into confidentiality agreements with our employees and contractors, the confidential nature of our intellectual property may not be maintained. Furthermore, the laws of some countries do not provide the same level of protection of our intellectual property as do the laws of the United States. If we cannot protect our intellectual property against unauthorized copying or use, we may not remain competitive.</w:t>
      </w:r>
    </w:p>
    <w:p>
      <w:pPr>
        <w:spacing w:after="0" w:line="188"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may be obligated to disclose our proprietary source code to our customers, which may limit our ability to protect our intellectual property and could reduce the renewals of our support services</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Certain of our customer agreements contain provisions permitting the customer to become a party to, or a beneficiary of, a source code escrow agreement under which we place the proprietary source code for our applicable services and products in escrow with a third party. Under these escrow agreements, the source code to the applicable product may be released to the customer, typically for its use to maintain, modify, and enhance the product, upon the occurrence of specified events, such as our filing for bankruptcy, discontinuance of our support services, and/or ceasing our business operations generally.</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Disclosing the content of our source code may limit the intellectual property protection we can obtain or maintain for that source code or the services and products containing that source code. It also could permit a customer to which a product’s source code is disclosed to support and maintain that software product without being required to purchase our support services.</w:t>
      </w:r>
    </w:p>
    <w:p>
      <w:pPr>
        <w:spacing w:after="0" w:line="172"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may be unable to develop and release new software product offerings or enhancements to our existing offerings in a timely and cost-effective manner</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Analytics applications, and applications that leverage the Bitcoin blockchain, can be complex, and research and development for these types of applications can be costly and time consuming. In the case of new or contemplated offerings, we may not be able to identify business use cases for such offerings, and we have in the past and may in the future cease, delay or reallocate resources away from further development of or marketing efforts for such offerings. We cannot be sure that we will succeed in developing, marketing, and delivering, on a timely and cost-effective basis, new or enhanced offerings that will achieve market acceptance.</w:t>
      </w:r>
    </w:p>
    <w:p>
      <w:pPr>
        <w:spacing w:after="0" w:line="2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Operations</w:t>
      </w:r>
    </w:p>
    <w:p>
      <w:pPr>
        <w:spacing w:after="0" w:line="225"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Business disruptions, including interruptions, delays, or failures of our systems, third-party data center hosting facility, or other third-party services, as a result of geopolitical tensions, acts of terrorism, natural disasters, pandemics (like the COVID-19 pandemic), and similar events, could materially adversely affect our operating results or result in a material weakness in our internal controls that could adversely affect the market price of our stock</w:t>
      </w:r>
    </w:p>
    <w:p>
      <w:pPr>
        <w:spacing w:after="0" w:line="67"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A significant portion of our research and development activities or certain other critical business operations are concentrated in facilities in Northern Virginia, China, Argentina, and Poland. In addition, we serve our customers and manage certain critical internal processes using a third-party data center hosting facility located in the United States and other third-party services, including AWS, Azure, Google, and other cloud services. Any disruptions or failures of our systems or the third-party hosting facility or other services that we use, including as a result of a natural disaster, fire, cyberattack (including the potential increase in risk for such attacks due to cyberwarfare in connection with the ongoing Russia-Ukraine and Israel-Hamas conflicts), act of terrorism, geopolitical conflict (including due to the ongoing Russia-Ukraine and Israel-Hamas conflicts and any potential conflict involving China and Taiwan), pandemic, the effects of climate change, or other catastrophic event, as well as power outages, telecommunications infrastructure outages, a decision by one of our third-party service providers to close facilities that we use without adequate notice or to materially change the pricing or terms of their services, host country restrictions on the conduct of our business operations or the availability of our offerings, or other unanticipated problems with our systems or the third-party services that we use, such as a failure to meet service standards, could severely impact our ability to conduct our business operations or to attract new customers or maintain existing customers, or result in a material weakness in our internal control over financial reporting, any of which could materially adversely affect our future operating results.</w:t>
      </w:r>
    </w:p>
    <w:p>
      <w:pPr>
        <w:spacing w:after="0" w:line="19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30" w:name="page31"/>
    <w:bookmarkEnd w:id="30"/>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face a variety of risks in doing business with U.S. and foreign federal, state, and local governments and government agencies, including risks related to the procurement process, budget constraints and cycles, termination of contracts, and compliance with government contracting requirements</w:t>
      </w:r>
    </w:p>
    <w:p>
      <w:pPr>
        <w:spacing w:after="0" w:line="5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customers include the U.S. government, state and local governments and government agencies. There are a variety of risks in doing business with government entities, including:</w:t>
      </w:r>
    </w:p>
    <w:p>
      <w:pPr>
        <w:spacing w:after="0" w:line="52" w:lineRule="exact"/>
        <w:rPr>
          <w:sz w:val="20"/>
          <w:szCs w:val="20"/>
          <w:color w:val="auto"/>
        </w:rPr>
      </w:pPr>
    </w:p>
    <w:p>
      <w:pPr>
        <w:jc w:val="both"/>
        <w:spacing w:after="0" w:line="267" w:lineRule="auto"/>
        <w:rPr>
          <w:sz w:val="20"/>
          <w:szCs w:val="20"/>
          <w:color w:val="auto"/>
        </w:rPr>
      </w:pPr>
      <w:r>
        <w:rPr>
          <w:rFonts w:ascii="Times New Roman" w:cs="Times New Roman" w:eastAsia="Times New Roman" w:hAnsi="Times New Roman"/>
          <w:sz w:val="18"/>
          <w:szCs w:val="18"/>
          <w:i w:val="1"/>
          <w:iCs w:val="1"/>
          <w:color w:val="auto"/>
        </w:rPr>
        <w:t xml:space="preserve">Procurement. </w:t>
      </w:r>
      <w:r>
        <w:rPr>
          <w:rFonts w:ascii="Times New Roman" w:cs="Times New Roman" w:eastAsia="Times New Roman" w:hAnsi="Times New Roman"/>
          <w:sz w:val="18"/>
          <w:szCs w:val="18"/>
          <w:color w:val="auto"/>
        </w:rPr>
        <w:t>Contracting with public sector customers is highly competitive and can be time-consuming and expensive, requiring us to incur significant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up-front time and expense without any assurance that we will win a contract. Further, even if we win a contract, it may be placed on hold, or reversed, due to a post-award protest.</w:t>
      </w:r>
    </w:p>
    <w:p>
      <w:pPr>
        <w:spacing w:after="0" w:line="6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 xml:space="preserve">Budgetary Constraints and Cycles. </w:t>
      </w:r>
      <w:r>
        <w:rPr>
          <w:rFonts w:ascii="Times New Roman" w:cs="Times New Roman" w:eastAsia="Times New Roman" w:hAnsi="Times New Roman"/>
          <w:sz w:val="18"/>
          <w:szCs w:val="18"/>
          <w:color w:val="auto"/>
        </w:rPr>
        <w:t>Public sector funding reductions or delays adversely impact demand and payment for our offerings.</w:t>
      </w:r>
    </w:p>
    <w:p>
      <w:pPr>
        <w:spacing w:after="0" w:line="117"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i w:val="1"/>
          <w:iCs w:val="1"/>
          <w:color w:val="auto"/>
        </w:rPr>
        <w:t xml:space="preserve">Termination of Contracts. </w:t>
      </w:r>
      <w:r>
        <w:rPr>
          <w:rFonts w:ascii="Times New Roman" w:cs="Times New Roman" w:eastAsia="Times New Roman" w:hAnsi="Times New Roman"/>
          <w:sz w:val="18"/>
          <w:szCs w:val="18"/>
          <w:color w:val="auto"/>
        </w:rPr>
        <w:t>Public sector customers often have contractual or other legal rights to terminate contracts for convenience or due to a default. If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 contract is terminated for the customer’s convenience, we may only be able to collect fees for software or services delivered prior to termination and settlement expenses. If a contract is terminated due to our default, we may not recover even those amounts, and we may be liable for excess costs incurred by the customer for procuring alternative software or services.</w:t>
      </w:r>
    </w:p>
    <w:p>
      <w:pPr>
        <w:spacing w:after="0" w:line="72"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i w:val="1"/>
          <w:iCs w:val="1"/>
          <w:color w:val="auto"/>
        </w:rPr>
        <w:t xml:space="preserve">Compliance with Government Contracting Requirements. </w:t>
      </w:r>
      <w:r>
        <w:rPr>
          <w:rFonts w:ascii="Times New Roman" w:cs="Times New Roman" w:eastAsia="Times New Roman" w:hAnsi="Times New Roman"/>
          <w:sz w:val="18"/>
          <w:szCs w:val="18"/>
          <w:color w:val="auto"/>
        </w:rPr>
        <w:t>Government contractors are required to comply with a variety of complex laws, regulations,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contractual provisions relating to the formation, administration, or performance of government contracts that give public sector customers substantial rights and remedies, many of which are not typical for commercial contracts. These may include rights regarding price protection, the accuracy of information provided to the government, contractor compliance with socio-economic policies, and other terms unique to government contracts. Governments and government agencies routinely investigate and audit contractors for compliance with these requirements. If, as a result of an audit or review, it is determined that we have failed to comply with these requirements, we may be subject to civil and criminal penalties or administrative sanctions, including contract termination, forfeiture of profits, fines, treble damages, and suspensions or debarment from future government business and we may suffer harm to our reputation.</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Our customers also include foreign governments and government agencies. Similar procurement, budgetary, contract, and audit risks also apply to these entities. In addition, compliance with complex regulations and contracting provisions in a variety of jurisdictions can be expensive and consume significant management resources. In certain jurisdictions, our ability to win business may be constrained by political and other factors unrelated to our competitive position in the market.</w:t>
      </w:r>
    </w:p>
    <w:p>
      <w:pPr>
        <w:spacing w:after="0" w:line="176"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If we are unable to recruit or retain skilled personnel, or if we lose the services of Michael J. Saylor, our business, operating results, and financial condition could be materially adversely affected</w:t>
      </w:r>
    </w:p>
    <w:p>
      <w:pPr>
        <w:spacing w:after="0" w:line="5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Our future success depends on our continuing ability to attract, train, assimilate, and retain highly skilled personnel. There has historically been significant competition for qualified employees in the technology industry, and such competition may be further amplified by evolving restrictions on immigration, travel, or availability of visas for skilled technology workers. We may not be able to retain our current key employees or attract, train, assimilate, and retain other highly skilled personnel in the future, particularly at times when we undergo significant headcount reductions. Our future success also depends in large part on the continued service of Michael J. Saylor, our Chairman of the Board of Directors and Executive Chairman. If we were unable to attract, train, assimilate, and retain the highly skilled personnel we need, or we were to lose the services of Mr. Saylor, our business, operating results, and financial condition could be materially adversely affected. These risks may be exacerbated if a shareholder or a group of affiliated shareholders (other than or not including Mr. Saylor) were to exercise majority voting control of the Company.</w:t>
      </w:r>
    </w:p>
    <w:p>
      <w:pPr>
        <w:spacing w:after="0" w:line="188"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Changes in laws or regulations relating to privacy or the collection, processing, disclosure, storage, localization, or transmission of personal data, or any actual or perceived failure by us or our third-party service providers to comply with such laws and regulations, contractual obligations, or applicable privacy policies, could materially adversely affect our business</w:t>
      </w:r>
    </w:p>
    <w:p>
      <w:pPr>
        <w:spacing w:after="0" w:line="6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Certain aspects of our business involve collecting, processing, disclosing, storing, and transmitting personal data, which are subject to certain privacy policies, contractual obligations, and U.S. and foreign laws, regulations, and directives relating to privacy and data protection. In addition, the types of data subject to protection as personal data in the European Union, China, the United States, and elsewhere have been expanding. In recent years, the collection and use of personal data by companies have come under increased regulatory and public scrutiny, especially in relation to the collection and processing of sensitive data, such as healthcare, biometric, genetic, financial services, and children’s data, precise location data, and data regarding a person’s race or ethnic origins, political opinions, or religious beliefs.</w:t>
      </w:r>
    </w:p>
    <w:p>
      <w:pPr>
        <w:spacing w:after="0" w:line="7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There are various enforcement agencies at both the state and federal level that review compliance with these requirements, including the United States Department of Health and Human Services for potential violations of the Health Insurance Portability and Accountability Act of 1996 and the Federal Trade Commission (“FTC”). If we are subject to a potential FTC enforcement action, we may be subject to a settlement order that requires us to adhere to very specific privacy and data security practices, which may impact our business. We may also be required to pay fines as part of a settlement (depending on the nature of the alleged violations). If we</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31" w:name="page32"/>
    <w:bookmarkEnd w:id="31"/>
    <w:p>
      <w:pPr>
        <w:jc w:val="both"/>
        <w:spacing w:after="0" w:line="282" w:lineRule="auto"/>
        <w:rPr>
          <w:sz w:val="20"/>
          <w:szCs w:val="20"/>
          <w:color w:val="auto"/>
        </w:rPr>
      </w:pPr>
      <w:r>
        <w:rPr>
          <w:rFonts w:ascii="Times New Roman" w:cs="Times New Roman" w:eastAsia="Times New Roman" w:hAnsi="Times New Roman"/>
          <w:sz w:val="18"/>
          <w:szCs w:val="18"/>
          <w:color w:val="auto"/>
        </w:rPr>
        <w:t>violate any consent order that we reach with the FTC, we may be subject to additional fines and compliance requirements. We face risks of similar enforcement from State Attorneys General and, potentially, other regulatory agencies.</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Similar laws exist in other foreign jurisdictions, including the European Union, that may impact our business activities. In addition, various U.S. federal and state government agencies and foreign government bodies may enact new or additional laws or regulations, or issue rulings that invalidate prior laws or regulations, concerning privacy, data storage, data protection, and cross-border transfer of data that could materially adversely impact our business.</w:t>
      </w:r>
    </w:p>
    <w:p>
      <w:pPr>
        <w:spacing w:after="0" w:line="68"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Any systems failure or security breach that results in the release of, or unauthorized access to, personal data, or any failure or perceived failure by us or our third-party service providers to comply with applicable privacy policies, contractual obligations, or any applicable laws or regulations relating to privacy or data protection, could result in proceedings against us by domestic or foreign government entities or others, including private plaintiffs in litigation. Such proceedings could result in the imposition of sanctions, fines, penalties, liabilities, government orders, and/or orders requiring that we change our data practices, any of which could have a material adverse effect on our business, operating results, reputation, and financial condition.</w:t>
      </w:r>
    </w:p>
    <w:p>
      <w:pPr>
        <w:spacing w:after="0" w:line="7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Furthermore, the U.S. Congress is considering comprehensive privacy legislation. At this time, it is unclear whether Congress will pass such a law and if so, when and what it will require and prohibit. Moreover, it is not clear whether any such legislation would give the FTC any new authority to impose civil penalties for violations of the Federal Trade Commission Act in the first instance, whether Congress will grant the FTC rulemaking authority over privacy and information security, or whether Congress will vest some or all privacy and data security regulatory authority and enforcement power in a new agency, akin to EU data protection authorities.</w:t>
      </w:r>
    </w:p>
    <w:p>
      <w:pPr>
        <w:spacing w:after="0" w:line="7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Complying with these and other changing requirements could cause us or our customers to incur substantial costs or pay substantial fines or penalties, require us to change our business practices, require us to take on more onerous obligations in our contracts, or limit our ability to provide certain offerings in certain jurisdictions, any of which could materially adversely affect our business and operating results. New laws or regulations restricting or limiting the collection or use of mobile data could also reduce demand for certain of our offerings or require changes to our business practices, which could materially adversely affect our business and operating results.</w:t>
      </w:r>
    </w:p>
    <w:p>
      <w:pPr>
        <w:spacing w:after="0" w:line="179"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If we or our third-party service providers experience a disruption due to a cybersecurity attack or security breach and unauthorized parties obtain access to our customers’, prospects’, vendors’, or channel partners’ data, our data, our networks or other systems, or the cloud environments we manage, our offerings may be perceived as not being secure, our reputation may be harmed, demand for our offerings may be reduced, our operations may be disrupted, we may incur significant legal and financial liabilities, and our business could be materially adversely affected</w:t>
      </w:r>
    </w:p>
    <w:p>
      <w:pPr>
        <w:spacing w:after="0" w:line="72"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As part of our business, we process, store, and transmit our customers’, prospects’, vendors’, and channel partners’ data as well as our own, including in our networks and other systems and the cloud environments we manage. Security breaches may occur due to technological error, computer viruses, or third-party action, including intentional misconduct by computer hackers or state actors, physical break-ins, industrial espionage, fraudulent inducement of employees, customers, or channel partners to disclose sensitive information such as usernames or passwords, and employee, customer, or channel partner error or malfeasance. A security breach could result in unauthorized access to or disclosure, modification, misuse, loss, or destruction of our customers’, prospects’, vendors’, or channel partners’ data, our data (including our proprietary information, intellectual property, or trade secrets), our networks or other systems, or the cloud environments we manage. Third parties may also conduct attacks designed to prevent access to critical data or systems through ransomware or temporarily deny customers access to our cloud environments.</w:t>
      </w:r>
    </w:p>
    <w:p>
      <w:pPr>
        <w:spacing w:after="0" w:line="8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and our service providers, have experienced and may in the future experience attempts by third parties to identify and exploit software and service vulnerabilities, penetrate or bypass our security measures, and gain unauthorized access to our or our customers’ or service providers’ cloud environments, networks, and other systems. Security measures that we or our third-party service providers have implemented may not be effective against all current or future security threats. Because there are many different security breach techniques and such techniques continue to evolve, we may be unable to anticipate, detect, or mitigate attempted security breaches and implement adequate preventative measures.</w:t>
      </w:r>
    </w:p>
    <w:p>
      <w:pPr>
        <w:spacing w:after="0" w:line="75"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Any security breach, ransomware attack, or successful denial of service attack could result in a loss of customer confidence in the security of our offerings and damage to our brand, reduce the demand for our offerings, disrupt our normal business operations, require us to spend material resources to investigate or correct the breach, require us to notify affected customers or individuals and/or applicable regulators and others, provide identity theft protection services to individuals, expose us to legal liabilities, including litigation, regulatory enforcement actions, and indemnity obligations, and materially adversely affect our revenues and operating results. Our software operates in conjunction with and is dependent on third-party products and components across a broad ecosystem. If there is a security vulnerability in one of these products or components, and if there is a security exploit targeting it, we could face increased costs, liability claims, customer dissatisfaction, reduced revenue, or harm to our reputation or competitive position. Our insurance policies may not be adequate to compensate us for the potential losses arising from any cybersecurity breach or incident. In addition, such insurance may not be available to us in the future on economically reasonable terms, or at all. Further, our insurance may not cover all claims made against us and could have high deductibles in any event, and defending a suit, regardless of its merit, could be costly and divert management attention.</w:t>
      </w:r>
    </w:p>
    <w:p>
      <w:pPr>
        <w:spacing w:after="0" w:line="1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32" w:name="page33"/>
    <w:bookmarkEnd w:id="32"/>
    <w:p>
      <w:pPr>
        <w:jc w:val="both"/>
        <w:spacing w:after="0" w:line="266" w:lineRule="auto"/>
        <w:rPr>
          <w:sz w:val="20"/>
          <w:szCs w:val="20"/>
          <w:color w:val="auto"/>
        </w:rPr>
      </w:pPr>
      <w:r>
        <w:rPr>
          <w:rFonts w:ascii="Times New Roman" w:cs="Times New Roman" w:eastAsia="Times New Roman" w:hAnsi="Times New Roman"/>
          <w:sz w:val="18"/>
          <w:szCs w:val="18"/>
          <w:color w:val="auto"/>
        </w:rPr>
        <w:t>These risks will increase as we continue to grow the number and scale of our cloud subscriptions and process, store, and transmit increasingly large amounts of our customers’, prospects’, vendors’, channel partners’, and our own data. In particular, as remote working conditions have led businesses to increasingly rely on virtual environments and communication systems, there has been an increase in cyberattacks and other malicious activities.</w:t>
      </w:r>
    </w:p>
    <w:p>
      <w:pPr>
        <w:spacing w:after="0" w:line="172"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Our having entered into an indemnification agreement with Michael J. Saylor, our Chairman of the Board of Directors and Executive Chairman, that supplements our conventional director and officer liability insurance provided by third-party insurance carriers could negatively affect our business and the market price of our listed securities</w:t>
      </w:r>
    </w:p>
    <w:p>
      <w:pPr>
        <w:spacing w:after="0" w:line="67"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We have entered into an indemnification agreement with Michael J. Saylor, our Chairman of the Board of Directors and Executive Chairman, pursuant to which Mr. Saylor has agreed to personally indemnify our directors and officers with respect to certain claims and expenses excluded from the insurance coverage provided by our commercial director and officer insurance carriers, for which we agreed to pay Mr. Saylor an applicable annual fee. Our having entered into this indemnification agreement with Mr. Saylor could have adverse effects on our business, including making it more difficult to attract and retain qualified directors and officers due to the unconventional nature of the arrangement and potential concerns that the indemnification arrangement might not provide the same level of protection that might otherwise be provided by coverage obtained entirely through conventional director and officer insurance. In addition, our indemnification arrangement with Mr. Saylor may result in some investors perceiving that our independent directors are not sufficiently independent from Mr. Saylor due to their entitlement to personal indemnification from him, which may have an adverse effect on the market price of our listed securities.</w:t>
      </w:r>
    </w:p>
    <w:p>
      <w:pPr>
        <w:spacing w:after="0" w:line="2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Listed Securities Generally</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market price of our class A common stock has been and may continue to be volatile</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market price of our class A common stock has historically been volatile and this volatility has been significant in recent periods. Since August 11, 2020, the date on which we announced our initial purchase of bitcoin, the closing price of our class A common stock has increased from $12.36 as of August 10, 2020, the last trading day before our announcement, to $337.73 as of February 14, 2025. The market price of our class A common stock may fluctuate widely in response to various factors, some of which are beyond our control. These factors include, but are not limited to:</w:t>
      </w:r>
    </w:p>
    <w:p>
      <w:pPr>
        <w:spacing w:after="0" w:line="72" w:lineRule="exact"/>
        <w:rPr>
          <w:sz w:val="20"/>
          <w:szCs w:val="20"/>
          <w:color w:val="auto"/>
        </w:rPr>
      </w:pPr>
    </w:p>
    <w:p>
      <w:pPr>
        <w:ind w:left="760" w:hanging="378"/>
        <w:spacing w:after="0" w:line="282" w:lineRule="auto"/>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fluctuations in the price of bitcoin, of which we have significant holdings, and in which we expect we will continue to make significant purchases and announcements about our transactions in bitcoin;</w:t>
      </w:r>
    </w:p>
    <w:p>
      <w:pPr>
        <w:spacing w:after="0" w:line="53"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to our bitcoin strategy;</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announcement of additional capital raising transactions;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regulatory, commercial and technical developments related to bitcoin or the Bitcoin blockchain;</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quarterly variations in our results of operations or those of our competitors;</w:t>
      </w:r>
    </w:p>
    <w:p>
      <w:pPr>
        <w:spacing w:after="0" w:line="117" w:lineRule="exact"/>
        <w:rPr>
          <w:rFonts w:ascii="Times New Roman" w:cs="Times New Roman" w:eastAsia="Times New Roman" w:hAnsi="Times New Roman"/>
          <w:sz w:val="18"/>
          <w:szCs w:val="18"/>
          <w:color w:val="auto"/>
        </w:rPr>
      </w:pPr>
    </w:p>
    <w:p>
      <w:pPr>
        <w:ind w:left="760" w:hanging="378"/>
        <w:spacing w:after="0" w:line="282" w:lineRule="auto"/>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announcements about our earnings that are not in line with analyst expectations, the likelihood of which may be enhanced because it is our policy not to give guidance relating to our anticipated financial performance in future periods;</w:t>
      </w:r>
    </w:p>
    <w:p>
      <w:pPr>
        <w:spacing w:after="0" w:line="53" w:lineRule="exact"/>
        <w:rPr>
          <w:rFonts w:ascii="Times New Roman" w:cs="Times New Roman" w:eastAsia="Times New Roman" w:hAnsi="Times New Roman"/>
          <w:sz w:val="18"/>
          <w:szCs w:val="18"/>
          <w:color w:val="auto"/>
        </w:rPr>
      </w:pPr>
    </w:p>
    <w:p>
      <w:pPr>
        <w:ind w:left="760" w:right="20" w:hanging="378"/>
        <w:spacing w:after="0" w:line="282" w:lineRule="auto"/>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announcements by us or our competitors of acquisitions, dispositions, new offerings, significant contracts, commercial relationships, or capital commitments;</w:t>
      </w:r>
    </w:p>
    <w:p>
      <w:pPr>
        <w:spacing w:after="0" w:line="53"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ability to develop, market, and deliver new and enhanced offerings on a timely basis;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commencement of, or our involvement in, litigation;</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recommendations by securities analysts or changes in earnings estimates and our ability to meet those estimates;</w:t>
      </w:r>
    </w:p>
    <w:p>
      <w:pPr>
        <w:spacing w:after="0" w:line="117" w:lineRule="exact"/>
        <w:rPr>
          <w:rFonts w:ascii="Times New Roman" w:cs="Times New Roman" w:eastAsia="Times New Roman" w:hAnsi="Times New Roman"/>
          <w:sz w:val="18"/>
          <w:szCs w:val="18"/>
          <w:color w:val="auto"/>
        </w:rPr>
      </w:pPr>
    </w:p>
    <w:p>
      <w:pPr>
        <w:ind w:left="760" w:right="20" w:hanging="378"/>
        <w:spacing w:after="0" w:line="282" w:lineRule="auto"/>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investor perception of our Company, including as compared to investment vehicles that are designed to track the price of bitcoin, such as spot bitcoin ETPs;</w:t>
      </w:r>
    </w:p>
    <w:p>
      <w:pPr>
        <w:spacing w:after="0" w:line="53"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announcements by our competitors of their earnings that are not in line with analyst expectations;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volume of shares of our class A common stock and other securities available for public sale;</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sales or purchases of stock by us or by our stockholders and issuances of awards under our equity incentive plan; and</w:t>
      </w:r>
    </w:p>
    <w:p>
      <w:pPr>
        <w:spacing w:after="0" w:line="117" w:lineRule="exact"/>
        <w:rPr>
          <w:rFonts w:ascii="Times New Roman" w:cs="Times New Roman" w:eastAsia="Times New Roman" w:hAnsi="Times New Roman"/>
          <w:sz w:val="18"/>
          <w:szCs w:val="18"/>
          <w:color w:val="auto"/>
        </w:rPr>
      </w:pPr>
    </w:p>
    <w:p>
      <w:pPr>
        <w:ind w:left="760" w:right="20" w:hanging="378"/>
        <w:spacing w:after="0" w:line="282" w:lineRule="auto"/>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general economic conditions and slow or negative growth of related markets, including as a result of war, terrorism, infectious diseases (such as COVID-19), natural disasters and other global events, and government responses to such events.</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33" w:name="page34"/>
    <w:bookmarkEnd w:id="33"/>
    <w:p>
      <w:pPr>
        <w:jc w:val="both"/>
        <w:spacing w:after="0" w:line="253" w:lineRule="auto"/>
        <w:rPr>
          <w:sz w:val="20"/>
          <w:szCs w:val="20"/>
          <w:color w:val="auto"/>
        </w:rPr>
      </w:pPr>
      <w:r>
        <w:rPr>
          <w:rFonts w:ascii="Times New Roman" w:cs="Times New Roman" w:eastAsia="Times New Roman" w:hAnsi="Times New Roman"/>
          <w:sz w:val="18"/>
          <w:szCs w:val="18"/>
          <w:color w:val="auto"/>
        </w:rPr>
        <w:t>In addition, the stock market and the markets for both bitcoin-influenced and technology companies have experienced extreme price and volume fluctuations that have often been unrelated or disproportionate to the operating performance of companies in those markets. In particular, recent trading prices of our class A common stock may reflect market dynamics that are not connected to traditional software and business intelligence industry fundamentals, or to valuation methods commonly associated with operating companies in these industries or with companies engaged predominantly in passive investments in bitcoin or other commodities, such as exchange-traded funds. Our equity market capitalization as of December 31, 2024 is well in excess of our stockholders’ equity calculated in accordance with U.S. GAAP, and in excess of valuations that might traditionally be expected based on our operating performance, cash flows and net assets. Investors may therefore be unable to assess the value our class A common stock or evaluate the risks of an investment in us using traditional or commonly used enterprise valuation methods. We cannot predict how these dynamics may evolve over time, or whether or how long they may last. These market and industry factors may significantly harm the market price of our class A common stock, regardless of our actual operating performance.</w:t>
      </w:r>
    </w:p>
    <w:p>
      <w:pPr>
        <w:spacing w:after="0" w:line="190"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Because of the rights of our two classes of common stock and because Michael J. Saylor, who beneficially owns the majority of our class B common stock, controls a significant portion of our total voting power, Mr. Saylor has significant influence over matters that require approval of our stockholders and as a result could impede a third party from acquiring us, or limit the ability of our other stockholders to influence corporate matters</w:t>
      </w:r>
    </w:p>
    <w:p>
      <w:pPr>
        <w:spacing w:after="0" w:line="67"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We have two classes of common stock: class A common stock and class B common stock. Holders of our class A common stock generally have the same rights as holders of our class B common stock, except that holders of class A common stock have one vote per share while holders of class B common stock have ten votes per share. As of February 4, 2025, there were 19,640,250 shares of class B common stock outstanding, which accounted for approximately 45.2% of the total voting power of our outstanding common stock. As of February 4, 2025, Mr. Saylor, our Chairman of the Board of Directors and Executive Chairman, beneficially owned 19,616,680 shares of class B common stock, or 45.2% of the total voting power. Accordingly, Mr. Saylor has significant influence over matters that require approval of our stockholders, including mergers, going-private transactions, and other extraordinary transactions and their terms, elections of our directors, and amendments to our certificate of incorporation and by-laws.</w:t>
      </w:r>
    </w:p>
    <w:p>
      <w:pPr>
        <w:spacing w:after="0" w:line="185"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Provisions of our charter, by-laws and Delaware law may have anti-takeover effects that could prevent a change in control even if the change in control would be beneficial to our stockholders</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Provisions of our charter, by-laws and Delaware law could make it more difficult for a third party to control or acquire us, even if doing so would be beneficial to our stockholders, including our board of directors having the right to elect directors to fill a vacancy created by the expansion of the board of directors or the resignation, death or removal of a director and the ability of our board of directors to issue, without stockholder approval, shares of undesignated preferred stock.</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Further, as a Delaware corporation, we are also subject to certain Delaware anti-takeover provisions. Under Delaware law, a corporation may not engage in a business combination with any holder of 15% or more of its capital stock unless the holder has held the stock for three years or, among other things, the board of directors has approved the transaction. Our board of directors could rely on Delaware law to prevent or delay an acquisition of us.</w:t>
      </w:r>
    </w:p>
    <w:p>
      <w:pPr>
        <w:spacing w:after="0" w:line="172"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Future sales, or the perception of future sales, of our class A common stock, convertible debt instruments, series A perpetual strike preferred stock, other classes or series of preferred stock, or other convertible securities could depress the price of our listed securities</w:t>
      </w:r>
    </w:p>
    <w:p>
      <w:pPr>
        <w:spacing w:after="0" w:line="5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may issue and sell additional shares of class A common stock, convertible notes, convertible preferred stock, or other securities in subsequent offerings to raise capital or issue shares for other purposes, including in connection with the acquisition of additional bitcoin. For example, between January 1, 2024 and February 14, 2025, we issued and sold:</w:t>
      </w:r>
    </w:p>
    <w:p>
      <w:pPr>
        <w:spacing w:after="0" w:line="68" w:lineRule="exact"/>
        <w:rPr>
          <w:sz w:val="20"/>
          <w:szCs w:val="20"/>
          <w:color w:val="auto"/>
        </w:rPr>
      </w:pPr>
    </w:p>
    <w:p>
      <w:pPr>
        <w:ind w:left="760" w:hanging="378"/>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$18.970 billion of shares of class A common stock through at-the-market equity offering programs;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$584.0 million of shares of our series A perpetual strike preferred stock;</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$800.0 million aggregate principal amount of 0.625% Convertible Senior Notes due 2030 (the “2030 Convertible Notes”);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$603.8 million aggregate principal amount of 0.875% Convertible Senior Notes due 2031 (the “2031 Convertible Notes”);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$800.0 million in aggregate principal amount of 2.25% Convertible Senior Notes due 2032 (the “2032 Convertible Notes”);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$1.010 billion in aggregate principal amount of 0.625% Convertible Senior Notes due 2028 (the “2028 Convertible Notes”); and</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$3.000 billion in aggregate principal amount of 0% Convertible Senior Notes due 2029 (the “2029 Convertible Notes”).</w:t>
      </w:r>
    </w:p>
    <w:p>
      <w:pPr>
        <w:spacing w:after="0" w:line="11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On October 30, 2024, we filed a prospectus for a new at-the-market equity offering program pursuant to which we may sell class A common stock having an aggregate offering price of up to $21 billion from time to time, through TD Securities (USA) LLC, Barclays Capital Inc., The Benchmark Company, LLC, BTIG, LLC, Canaccord Genuity LLC, Cantor Fitzgerald &amp; Co., Maxim Group LLC,</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34" w:name="page35"/>
    <w:bookmarkEnd w:id="34"/>
    <w:p>
      <w:pPr>
        <w:jc w:val="both"/>
        <w:spacing w:after="0" w:line="266" w:lineRule="auto"/>
        <w:rPr>
          <w:sz w:val="20"/>
          <w:szCs w:val="20"/>
          <w:color w:val="auto"/>
        </w:rPr>
      </w:pPr>
      <w:r>
        <w:rPr>
          <w:rFonts w:ascii="Times New Roman" w:cs="Times New Roman" w:eastAsia="Times New Roman" w:hAnsi="Times New Roman"/>
          <w:sz w:val="18"/>
          <w:szCs w:val="18"/>
          <w:color w:val="auto"/>
        </w:rPr>
        <w:t>Mizuho Securities USA LLC, and SG Americas Securities, LLC, as agents, under a sales agreement dated October 30, 2024 (the “October 2024 Sales Agreement”). As of February 14, 2025, we may issue and sell additional class A common stock having an aggregate offering price of up to $4.168 billion from time to time under the October 2024 Sales Agreement. We cannot predict:</w:t>
      </w:r>
    </w:p>
    <w:p>
      <w:pPr>
        <w:spacing w:after="0" w:line="68" w:lineRule="exact"/>
        <w:rPr>
          <w:sz w:val="20"/>
          <w:szCs w:val="20"/>
          <w:color w:val="auto"/>
        </w:rPr>
      </w:pPr>
    </w:p>
    <w:p>
      <w:pPr>
        <w:ind w:left="800" w:hanging="373"/>
        <w:spacing w:after="0"/>
        <w:tabs>
          <w:tab w:leader="none" w:pos="800"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size of future issuances of equity securities;</w:t>
      </w:r>
    </w:p>
    <w:p>
      <w:pPr>
        <w:spacing w:after="0" w:line="117" w:lineRule="exact"/>
        <w:rPr>
          <w:rFonts w:ascii="Times New Roman" w:cs="Times New Roman" w:eastAsia="Times New Roman" w:hAnsi="Times New Roman"/>
          <w:sz w:val="18"/>
          <w:szCs w:val="18"/>
          <w:color w:val="auto"/>
        </w:rPr>
      </w:pPr>
    </w:p>
    <w:p>
      <w:pPr>
        <w:ind w:left="800" w:hanging="373"/>
        <w:spacing w:after="0"/>
        <w:tabs>
          <w:tab w:leader="none" w:pos="800"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size and terms of future issuances of convertible debt instruments or other convertible securities; or</w:t>
      </w:r>
    </w:p>
    <w:p>
      <w:pPr>
        <w:spacing w:after="0" w:line="117" w:lineRule="exact"/>
        <w:rPr>
          <w:rFonts w:ascii="Times New Roman" w:cs="Times New Roman" w:eastAsia="Times New Roman" w:hAnsi="Times New Roman"/>
          <w:sz w:val="18"/>
          <w:szCs w:val="18"/>
          <w:color w:val="auto"/>
        </w:rPr>
      </w:pPr>
    </w:p>
    <w:p>
      <w:pPr>
        <w:ind w:left="800" w:hanging="373"/>
        <w:spacing w:after="0"/>
        <w:tabs>
          <w:tab w:leader="none" w:pos="800"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effect, if any, that future issuances and sales of our securities will have on the market price of our listed securities.</w:t>
      </w:r>
    </w:p>
    <w:p>
      <w:pPr>
        <w:spacing w:after="0" w:line="11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Transactions involving newly issued class A common stock, convertible debt instruments, series A perpetual strike preferred stock, other series of convertible preferred stock or other convertible securities could result in possibly substantial dilution to holders of our class A common stock and our series A perpetual strike preferred stock.</w:t>
      </w:r>
    </w:p>
    <w:p>
      <w:pPr>
        <w:spacing w:after="0" w:line="172"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Our amended and restated by-laws provide that the Court of Chancery of the State of Delaware (or, if the Court of Chancery of the State of Delaware does not have jurisdiction, then any other state court located in the State of Delaware, or if no state court located within the State of Delaware has jurisdiction, the federal district court for the District of Delaware) is the exclusive forum for certain litigation that may be initiated by our stockholders, which could limit our stockholders’ ability to obtain a favorable judicial forum for such disputes with us or our directors, officers or employees</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Our amended and restated by-laws provide that, unless we consent in writing to the selection of an alternative forum, the Court of Chancery of the State of Delaware (or, if the Court of Chancery of the State of Delaware does not have jurisdiction, then any other state court located in the State of Delaware, or if no state court located within the State of Delaware has jurisdiction, the federal district court for the District of Delaware) shall, to the fullest extent permitted by law, be the sole and exclusive forum for (i) any derivative action or proceeding brought on behalf of the Company, (ii) any action asserting a claim of breach of a fiduciary duty owed by any director, officer, other employee or stockholder of the Company to the Company or the Company’s stockholders, (iii) any action asserting a claim arising pursuant to any provision of the General Corporation Law of the State of Delaware or the Company’s certificate of incorporation or by-laws (in each case, as they may be amended from time to time), or (iv) any action asserting a claim governed by the internal affairs doctrine. This exclusive forum provision would not apply to suits brought to enforce a duty or liability created by the Exchange Act, which provides for exclusive jurisdiction of the federal courts. It could apply, however, to a suit that falls within one or more of the categories enumerated in the choice of forum provision and asserts claims under the Securities Act, inasmuch as Section 22 of the Securities Act creates concurrent jurisdiction for federal and state courts over all suits brought to enforce any duty or liability created by the Securities Act or the rules and regulations thereunder. There is uncertainty as to whether a court would enforce such provision with respect to claims under the Securities Act, and our stockholders will not be deemed to have waived our compliance with the federal securities laws and the rules and regulations thereunder.</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choice of forum provision may limit a stockholder’s ability to bring a claim in a judicial forum that it finds favorable for disputes with us or our directors, officers or other employees, which may discourage such lawsuits against us and our directors, officers and other employees. Alternatively, if a court were to find the choice of forum provision contained in our amended and restated by-laws to be inapplicable or unenforceable in an action, we may incur additional costs associated with resolving such action in other jurisdictions.</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Relating to Our Series A Perpetual Strike Preferred Stock</w:t>
      </w:r>
    </w:p>
    <w:p>
      <w:pPr>
        <w:spacing w:after="0" w:line="225"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series A perpetual strike preferred stock is senior to our class A common stock, junior to our existing and future indebtedness, structurally junior to the liabilities of our subsidiaries and subject to the rights and preferences of any other class or series of preferred stock then outstanding</w:t>
      </w:r>
    </w:p>
    <w:p>
      <w:pPr>
        <w:spacing w:after="0" w:line="159"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If we liquidate, dissolve or wind up, whether voluntarily or involuntarily, then our assets will be available to distribute to our equity holders, including holders of our class A common stock and series A perpetual strike preferred stock, only if all of our then- outstanding indebtedness is first paid in full. The remaining assets, if any, would then be allocated among the holders of our equity securities in accordance with their respective liquidation rights. If we issue any preferred stock senior to our series A perpetual strike preferred stock, which we refer to as “liquidation senior stock,” in the future, then the amounts due upon that liquidation senior stock must be paid in full before any payments can be made on the series A perpetual strike preferred stock or common stock. If any assets remain after any liquidation senior stock is paid in full, those assets will be distributed pro rata among holders of our series A perpetual strike preferred stock and any series of preferred stock with liquidation parity with our series A perpetual strike preferred stock, which we refer to as “liquidation parity stock,” with any remaining assets distributed to holders of our common stock. There may be insufficient remaining assets available to pay the liquidation preference and unpaid accumulated dividends on our series A perpetual strike preferred stock in which case holders of our common stock would not receive any value for their shares. If we issue any dividend senior stock in the future, such dividend senior stock could contain provisions that prohibit us from paying accumulated dividends on our series A perpetual strike preferred stock or purchasing, redeeming or acquiring our series A perpetual strike preferred stock until and unless we first pay accumulated dividends in full on such dividend senior stock.</w:t>
      </w:r>
    </w:p>
    <w:p>
      <w:pPr>
        <w:spacing w:after="0" w:line="19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35" w:name="page36"/>
    <w:bookmarkEnd w:id="35"/>
    <w:p>
      <w:pPr>
        <w:jc w:val="both"/>
        <w:spacing w:after="0" w:line="261" w:lineRule="auto"/>
        <w:rPr>
          <w:sz w:val="20"/>
          <w:szCs w:val="20"/>
          <w:color w:val="auto"/>
        </w:rPr>
      </w:pPr>
      <w:r>
        <w:rPr>
          <w:rFonts w:ascii="Times New Roman" w:cs="Times New Roman" w:eastAsia="Times New Roman" w:hAnsi="Times New Roman"/>
          <w:sz w:val="18"/>
          <w:szCs w:val="18"/>
          <w:color w:val="auto"/>
        </w:rPr>
        <w:t>As of December 31, 2024, excluding intercompany indebtedness, and without giving effect to our redemption of the 0% Convertible Senior Notes due 2027 (the “2027 Convertible Notes”), we had approximately $7.274 billion in aggregate principal amount of consolidated indebtedness outstanding, all of which ranks senior to our series A perpetual strike preferred stock and our class A common stock, and no dividend senior stock or liquidation senior stock outstanding.</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addition, our subsidiaries have no obligation to pay any amounts on the series A perpetual strike preferred stock. If any of our subsidiaries liquidates, dissolves or winds up, whether voluntarily or involuntarily, then we, as a direct or indirect common equity owner of that subsidiary, will be subject to the prior claims of that subsidiary’s creditors, including trade creditors and preferred equity holders, if any. We may never receive any amounts from that subsidiary, and, accordingly, the assets of that subsidiary may never be available to make payments on the series A perpetual strike preferred stock.</w:t>
      </w:r>
    </w:p>
    <w:p>
      <w:pPr>
        <w:spacing w:after="0" w:line="176"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may not have sufficient funds to pay dividends in cash on our series A perpetual strike preferred stock, or we may choose not to pay dividends on our series A perpetual strike preferred stock and regulatory and contractual restrictions may prevent us from declaring or paying dividends</w:t>
      </w:r>
    </w:p>
    <w:p>
      <w:pPr>
        <w:spacing w:after="0" w:line="5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expect to fund any dividends paid in cash on our series A perpetual strike preferred stock primarily through additional capital raising activities, including, but not limited to, at-the-market offerings of our class A common stock. However, our ability to declare and pay cash dividends on our series A perpetual strike preferred stock will depend on many factors, including the following:</w:t>
      </w:r>
    </w:p>
    <w:p>
      <w:pPr>
        <w:spacing w:after="0" w:line="68" w:lineRule="exact"/>
        <w:rPr>
          <w:sz w:val="20"/>
          <w:szCs w:val="20"/>
          <w:color w:val="auto"/>
        </w:rPr>
      </w:pPr>
    </w:p>
    <w:p>
      <w:pPr>
        <w:ind w:left="760" w:hanging="378"/>
        <w:spacing w:after="0"/>
        <w:tabs>
          <w:tab w:leader="none" w:pos="76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financial condition, including the amount of cash we have on hand;</w:t>
      </w:r>
    </w:p>
    <w:p>
      <w:pPr>
        <w:spacing w:after="0" w:line="117" w:lineRule="exact"/>
        <w:rPr>
          <w:rFonts w:ascii="Times New Roman" w:cs="Times New Roman" w:eastAsia="Times New Roman" w:hAnsi="Times New Roman"/>
          <w:sz w:val="18"/>
          <w:szCs w:val="18"/>
          <w:color w:val="auto"/>
        </w:rPr>
      </w:pPr>
    </w:p>
    <w:p>
      <w:pPr>
        <w:ind w:left="760" w:hanging="378"/>
        <w:spacing w:after="0" w:line="282" w:lineRule="auto"/>
        <w:tabs>
          <w:tab w:leader="none" w:pos="76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amount of cash, if any, generated by our operations and financing activities (including our ability to raise additional capital from the equity capital markets on favorable terms or at all);</w:t>
      </w:r>
    </w:p>
    <w:p>
      <w:pPr>
        <w:spacing w:after="0" w:line="53"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anticipated financing needs, including the amounts needed to service our indebtedness or other obligations;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degree to which we decide to reinvest any cash generated by our operations or financing activities to fund our future operations;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ability of our subsidiaries to distribute funds to us;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regulatory restrictions on our ability to pay dividends, including under the Delaware General Corporation Law;</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ability to sell equity securities under new at-the-market offering programs; and</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contractual restrictions on our ability to pay dividends.</w:t>
      </w:r>
    </w:p>
    <w:p>
      <w:pPr>
        <w:spacing w:after="0" w:line="117"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addition, subject to a limited exception, our board of directors may choose not to pay accumulated dividends on our series A perpetual strike preferred stock for any reason. Accordingly, we may pay less than the full amount of accumulated dividends on our series A perpetual strike preferred stock. In addition, if we fail to declare and pay accumulated dividends on our series A perpetual strike preferred stock in full, then the value of our series A perpetual strike preferred stock will likely decline.</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Provisions contained in the instruments governing our future indebtedness may restrict or prohibit us from paying cash dividends on our series A perpetual strike preferred stock. If the terms of our indebtedness restrict or prohibit us from paying dividends, then we may seek to refinance that indebtedness or seek a waiver that would permit the payment of dividends. However, we may be unable or may choose not to refinance the indebtedness or obtain a waiver.</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Under the Delaware General Corporation Law, we may declare dividends on our series A perpetual strike preferred stock only out of our “surplus” (which generally means our total assets less total liabilities, each measured at their fair market values, less statutory capital), or, if there is no surplus, out of our net profits for the current or the immediately preceding fiscal year. We may not have sufficient surplus or net profits to declare and pay dividends on our series A perpetual strike preferred stock in cash.</w:t>
      </w:r>
    </w:p>
    <w:p>
      <w:pPr>
        <w:spacing w:after="0" w:line="7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If we are unable or, if permitted, decide not to pay accumulated dividends on our series A perpetual strike preferred stock in cash, then we may, but are not obligated, subject to a limited exception, to elect to pay dividends in shares of our class A common stock. However, the payment of dividends in shares of our class A common stock will cause dilution to holders of our class A common stock and exposes holders of our series A perpetual strike preferred stock to dilution and the risk of fluctuations in the price of our class A common stock. Additionally, even if we choose to pay dividends on our series A perpetual strike preferred stock in shares of class A common stock, the number of shares of class A common stock that we are permitted to deliver may be limited.</w:t>
      </w:r>
    </w:p>
    <w:p>
      <w:pPr>
        <w:spacing w:after="0" w:line="7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If we fail to declare and pay full dividends on our series A perpetual strike preferred stock, then we will be prohibited from paying dividends on our class A common stock and any other junior securities, subject to limited exceptions. Although we do not currently pay dividends on our class A common stock, if we decide to do so in the future, a reduction or elimination of dividends on our class A common stock may cause the trading price of our class A common stock to decline, which, in turn, will likely depress the value of our series A perpetual strike preferred stock.</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36" w:name="page37"/>
    <w:bookmarkEnd w:id="36"/>
    <w:p>
      <w:pPr>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Not all events that may adversely affect the value of our series A perpetual strike preferred stock and our class A common stock will result in an adjustment to the conversion rate of our series A perpetual strike preferred stock</w:t>
      </w:r>
    </w:p>
    <w:p>
      <w:pPr>
        <w:spacing w:after="0" w:line="5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conversion rate of our series A perpetual strike preferred stock is subject to adjustment for certain events, including:</w:t>
      </w:r>
    </w:p>
    <w:p>
      <w:pPr>
        <w:spacing w:after="0" w:line="117" w:lineRule="exact"/>
        <w:rPr>
          <w:sz w:val="20"/>
          <w:szCs w:val="20"/>
          <w:color w:val="auto"/>
        </w:rPr>
      </w:pPr>
    </w:p>
    <w:p>
      <w:pPr>
        <w:ind w:left="760" w:hanging="378"/>
        <w:spacing w:after="0"/>
        <w:tabs>
          <w:tab w:leader="none" w:pos="760"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certain stock dividends, splits and combinations;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certain rights, options or warrants to holders of our class A common stock;</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certain distributions of assets, debt securities, capital stock or other property to holders of our class A common stock;</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cash dividends on our class A common stock; and</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certain tender or exchange offers.</w:t>
      </w:r>
    </w:p>
    <w:p>
      <w:pPr>
        <w:spacing w:after="0" w:line="225" w:lineRule="exact"/>
        <w:rPr>
          <w:sz w:val="20"/>
          <w:szCs w:val="20"/>
          <w:color w:val="auto"/>
        </w:rPr>
      </w:pPr>
    </w:p>
    <w:p>
      <w:pPr>
        <w:jc w:val="both"/>
        <w:ind w:right="20"/>
        <w:spacing w:after="0" w:line="261" w:lineRule="auto"/>
        <w:rPr>
          <w:sz w:val="20"/>
          <w:szCs w:val="20"/>
          <w:color w:val="auto"/>
        </w:rPr>
      </w:pPr>
      <w:r>
        <w:rPr>
          <w:rFonts w:ascii="Times New Roman" w:cs="Times New Roman" w:eastAsia="Times New Roman" w:hAnsi="Times New Roman"/>
          <w:sz w:val="18"/>
          <w:szCs w:val="18"/>
          <w:color w:val="auto"/>
        </w:rPr>
        <w:t>We are not required to adjust the conversion rate for other events, such as third-party tender offers or an issuance of class A common stock (or securities exercisable for, or convertible into, class A common stock) for cash, that may adversely affect the value of our series A perpetual strike preferred stock and the trading price of our class A common stock. An event may occur that adversely affects the value of our series A perpetual strike preferred stock and the trading price of the underlying shares of our class A common stock but that does not result in an adjustment to the conversion rate.</w:t>
      </w:r>
    </w:p>
    <w:p>
      <w:pPr>
        <w:spacing w:after="0" w:line="72"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Certain events that can significantly reduce, or eliminate entirely, the option value of the conversion right of our series A perpetual strike preferred stock will not require an adjustment to the conversion rate. For example, if we are party to a business combination transaction pursuant to which our class A common stock is acquired solely for cash, then, our series A perpetual strike preferred stock will become convertible solely into cash, which will eliminate the time value, and may harm the option value, of the conversion right of our series A perpetual strike preferred stock. Similarly, a de-listing of our class A common stock will likely severely reduce the liquidity of the market for our class A common stock and the volatility of the trading price of our class A common stock, which, in turn, will likely reduce the option value of the conversion right of our series A perpetual strike preferred stock significantly. None of these, or certain other, events will, in themselves, require an adjustment to the conversion rate to compensate preferred stockholders for their lost option value.</w:t>
      </w:r>
    </w:p>
    <w:p>
      <w:pPr>
        <w:spacing w:after="0" w:line="8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Many convertible instruments contain “make-whole” provisions that adjust the conversion rate in a manner that is designed to compensate investors for lost option value upon the occurrence of specified events. Our series A perpetual strike preferred stock does not contain such a provision. Accordingly, we may engage in transactions that significantly reduce the option value of the conversion right of our series A perpetual strike preferred stock without a corresponding adjustment to the conversion rate.</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series A perpetual strike preferred stock has only limited voting rights</w:t>
      </w:r>
    </w:p>
    <w:p>
      <w:pPr>
        <w:spacing w:after="0" w:line="12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Our series A perpetual strike preferred stock confers no voting rights except with respect to certain dividend arrearages, certain amendments to the terms of our series A perpetual strike preferred stock, and certain other limited circumstances, and except as required by the Delaware General Corporation Law. Holding series A perpetual strike preferred stock does not confer the right to vote on an as-converted basis with holders of our class A common stock on matters on which our class A common stockholders are entitled to vote. For example, holders of perpetual strike preferred stock, as such, do not have the right to vote in the general election of our directors, although those holders will have a limited right, voting together with holders of any voting parity stock, if any, with similar voting rights regarding the election of directors upon a failure to pay dividends, which similar voting rights are then exercisable, to elect one director upon the occurrence of each of the following events: (i) if less than the full amount of accumulated and unpaid regular dividends on the outstanding series A perpetual strike preferred stock have been declared and paid in respect of each of four or more consecutive regular dividend payment dates; and (ii) if less than the full amount of accumulated and unpaid regular dividends on the outstanding series A perpetual strike preferred stock have been declared and paid in respect of eight or more consecutive regular dividend payment dates. Accordingly, the voting provisions of our series A perpetual strike preferred stock may not afford meaningful protections.</w:t>
      </w:r>
    </w:p>
    <w:p>
      <w:pPr>
        <w:spacing w:after="0" w:line="188"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may issue preferred stock in the future that ranks equally with or senior to our series A perpetual strike preferred stock with respect to dividends and liquidation rights, which may adversely affect the rights of holders of our series A perpetual strike preferred stock and our class A common stock</w:t>
      </w:r>
    </w:p>
    <w:p>
      <w:pPr>
        <w:spacing w:after="0" w:line="5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Without the consent of any holder of our series A perpetual strike preferred stock or class A common stock, we may authorize and issue preferred stock (including additional series A perpetual strike preferred stock) that ranks equally with or senior to our series A perpetual strike preferred stock with respect to the payment of dividends or the distribution of assets upon our liquidation, dissolution or winding up. If we issue any such preferred stock in the future, the rights of holders of our series A perpetual strike preferred stock and our class A common stock will be diluted and the value of our series A perpetual strike preferred stock and class A common stock may decline. For example, if we issue any dividend senior stock in the future, such dividend senior stock could contain provisions that prohibit us from paying accumulated dividends on our series A perpetual strike preferred stock or purchasing, redeeming or acquiring our series A</w:t>
      </w:r>
    </w:p>
    <w:p>
      <w:pPr>
        <w:spacing w:after="0" w:line="18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37" w:name="page38"/>
    <w:bookmarkEnd w:id="37"/>
    <w:p>
      <w:pPr>
        <w:jc w:val="both"/>
        <w:spacing w:after="0" w:line="282" w:lineRule="auto"/>
        <w:rPr>
          <w:sz w:val="20"/>
          <w:szCs w:val="20"/>
          <w:color w:val="auto"/>
        </w:rPr>
      </w:pPr>
      <w:r>
        <w:rPr>
          <w:rFonts w:ascii="Times New Roman" w:cs="Times New Roman" w:eastAsia="Times New Roman" w:hAnsi="Times New Roman"/>
          <w:sz w:val="18"/>
          <w:szCs w:val="18"/>
          <w:color w:val="auto"/>
        </w:rPr>
        <w:t>perpetual strike preferred stock until and unless we first pay accumulated dividends in full on such dividend senior stock. The issuance of any dividend senior stock in the future would also have the effect of further subordinating our class A common stock.</w:t>
      </w:r>
    </w:p>
    <w:p>
      <w:pPr>
        <w:spacing w:after="0" w:line="158"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Future sales or other dilution of our class A common stock, including other equity-related securities, could dilute our existing stockholders or otherwise depress the market price of our class A common stock and the value of our series A perpetual strike preferred stock</w:t>
      </w:r>
    </w:p>
    <w:p>
      <w:pPr>
        <w:spacing w:after="0" w:line="5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Future sales of our class A common stock in the public market, or the perception that such sales could occur, or the issuance of class A common stock upon the conversion of our series A perpetual strike preferred stock could negatively impact the market price of our class A common stock, and, accordingly, the value of our series A perpetual strike preferred stock. The terms of our series A perpetual strike preferred stock do not restrict our ability to issue additional series A perpetual strike preferred stock, class A common stock or other equity-related securities in the future. Future sales or issuances of class A common stock, series A perpetual strike preferred stock or other equity-related securities could be dilutive to holders of our class A common stock and series A perpetual strike preferred stock and could adversely affect their voting and other rights and economic interests. If we issue additional shares of our series A perpetual strike preferred stock, shares of class A common stock (including as payment for regular dividends on our series A perpetual strike preferred stock), or other equity-related securities, the price of our class A common stock and the value of our series A perpetual strike preferred stock may decline. We cannot predict the size of future issuances of our class A common stock or other securities or the effect, if any, that the issuance of our series A perpetual strike preferred stock, and future sales and issuances of our class A common stock and other securities would have on the market price of our class A common stock and the value of our series A perpetual strike preferred stock.</w:t>
      </w:r>
    </w:p>
    <w:p>
      <w:pPr>
        <w:spacing w:after="0" w:line="8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addition, the existence of our series A perpetual strike preferred stock may encourage short selling by market participants because the conversion of our series A perpetual strike preferred stock could be used to satisfy short positions, or anticipated conversion of our series A perpetual strike preferred stock into shares of class A common stock could depress the price of our class A common stock. The sale or the availability for sale of a large number of shares of class A common stock in the public market could cause the market price of our class A common stock to decline.</w:t>
      </w:r>
    </w:p>
    <w:p>
      <w:pPr>
        <w:spacing w:after="0" w:line="176"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Recent and future regulatory actions, changes in market conditions and other events may adversely affect the trading price and liquidity of our series A perpetual strike preferred stock and the ability of investors to implement a convertible arbitrage trading strategy</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We expect that holders of our perpetual strike preferred stock may seek to employ a convertible arbitrage strategy. Under this strategy, investors typically sell short a certain number of shares of our class A common stock and adjust their short position over time while they continue to hold our series A perpetual strike preferred stock. Investors may also implement this type of strategy by entering into swaps on our class A common stock in lieu of, or in addition to, short selling shares of our class A common stock.</w:t>
      </w:r>
    </w:p>
    <w:p>
      <w:pPr>
        <w:spacing w:after="0" w:line="72"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SEC and other regulatory authorities have implemented various rules and taken certain actions, and may in the future adopt additional rules and take other actions, that may impact those engaging in short selling activity involving equity securities (including our class A common stock). These rules and actions include Rule 201 of SEC Regulation SHO, the adoption by the Financial Industry Regulatory Authority, Inc., and the national securities exchanges of a “limit up-limit down” program, the imposition of market-wide circuit breakers that halt trading of securities for certain periods following specific market declines, and the implementation of certain regulatory reforms required by the Dodd-Frank Wall Street Reform and Consumer Protection Act of 2010. Any governmental or regulatory action that restricts investors’ ability to effect short sales of our class A common stock or enter into equity swaps on our class A common stock could depress the trading price of, and the liquidity of the market for, our series A perpetual strike preferred stock.</w:t>
      </w:r>
    </w:p>
    <w:p>
      <w:pPr>
        <w:spacing w:after="0" w:line="8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In addition, the liquidity of the market for our class A common stock and other market conditions could deteriorate, which could reduce, or eliminate entirely, the number of shares available for lending in connection with short sale transactions and the number of counterparties willing to enter into an equity swap on our class A common stock with an investor of our series A perpetual strike preferred stock. These and other market events could make implementing a convertible arbitrage strategy prohibitively expensive or infeasible. If investors seeking to employ a convertible arbitrage strategy are unable to do so on commercial terms, or at all, then the trading price of, and the liquidity of the market for, our series A perpetual strike preferred stock may significantly decline.</w:t>
      </w:r>
    </w:p>
    <w:p>
      <w:pPr>
        <w:spacing w:after="0" w:line="183"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Holders of series A perpetual strike preferred stock may be treated as receiving deemed distributions and/or receive distributions paid in class A common stock, and consequently may be subject to tax with respect to our series A perpetual strike preferred stock under certain circumstances, even though no corresponding distribution of cash has been made</w:t>
      </w:r>
    </w:p>
    <w:p>
      <w:pPr>
        <w:spacing w:after="0" w:line="6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Under Section 305 of the Internal Revenue Code of 1986, as amended (the “Code”), holders of our series A perpetual strike preferred stock may be treated as receiving a deemed distribution on our series A perpetual strike preferred stock under certain circumstances, including (i) an increase in the liquidation preference of our series A perpetual strike preferred stock or (ii) if our series A perpetual strike preferred stock is issued at a discount. If our board of directors does not declare a dividend on our series A perpetual strike preferred stock in respect of any dividend period before the related dividend payment date, the deferred dividend may be treated as an increase in the liquidation preference of our series A perpetual strike preferred stock that gives rise to a deemed dividend to holders of</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38" w:name="page39"/>
    <w:bookmarkEnd w:id="38"/>
    <w:p>
      <w:pPr>
        <w:jc w:val="both"/>
        <w:spacing w:after="0" w:line="266" w:lineRule="auto"/>
        <w:rPr>
          <w:sz w:val="20"/>
          <w:szCs w:val="20"/>
          <w:color w:val="auto"/>
        </w:rPr>
      </w:pPr>
      <w:r>
        <w:rPr>
          <w:rFonts w:ascii="Times New Roman" w:cs="Times New Roman" w:eastAsia="Times New Roman" w:hAnsi="Times New Roman"/>
          <w:sz w:val="18"/>
          <w:szCs w:val="18"/>
          <w:color w:val="auto"/>
        </w:rPr>
        <w:t>our series A perpetual strike preferred stock. Although the matter is not entirely clear, we believe such deferred dividend or discount should not be treated as giving rise to a deemed distribution on our series A perpetual strike preferred stock. However, there is no assurance that the IRS or an applicable withholding agent will not take a contrary position.</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addition, the conversion rate of our series A perpetual strike preferred stock is subject to adjustment in certain circumstances. If and to the extent that certain adjustments in the conversion rate (or failures to adjust the conversion rate) increase the proportionate interest of a holder of our series A perpetual strike preferred stock in our assets or earnings and profits, the holder of our series A perpetual strike preferred stock may be deemed to have received for U.S. federal income tax purposes a deemed distribution without the receipt of any cash or property.</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Furthermore, upon a conversion of our series A perpetual strike preferred stock into shares of our class A common stock, depending on the circumstances, any class A common stock received in respect of any deferred and unpaid dividend (and any dividend that has been declared and not yet paid as well as any accrued but unpaid dividend in the then-current dividend period) could be treated as a deemed distribution for U.S. federal income tax purposes.</w:t>
      </w:r>
    </w:p>
    <w:p>
      <w:pPr>
        <w:spacing w:after="0" w:line="68"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Any deemed distribution or any distribution to holders of our series A perpetual strike preferred stock that is paid in shares of our class A common stock will generally be taxable to the same extent as a cash distribution. In addition, for any holder of our series A perpetual strike preferred stock that is a non-U.S. holder, any deemed distribution or non-cash distribution could be subject to U.S. federal withholding tax at a 30% rate, or such lower rate as may be specified by an applicable treaty. Because deemed distributions or non-cash distributions received by a holder of our series A perpetual strike preferred stock would not give rise to any cash from which any applicable withholding tax could be satisfied, if we (or an applicable withholding agent) pay withholding (including backup withholding) on behalf of a holder of our series A perpetual strike preferred stock, we (or an applicable withholding agent) may set off any such payment against, or withhold such taxes from, payments of cash or delivery of shares of our class A common stock to such holder of our series A perpetual strike preferred stock (or, in some circumstances, any payments on our class A common stock) or sales proceeds received by, or other funds or assets of, such holder of our series A perpetual strike preferred stock, or require alternative arrangements (e.g., deposit for taxes prior to delivery of such dividend in the form of shares of our class A common stock or of conversion consideration).</w:t>
      </w:r>
    </w:p>
    <w:p>
      <w:pPr>
        <w:spacing w:after="0" w:line="86"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The application of the rules under Section 305 of the Code to our series A perpetual strike preferred stock is uncertain, and holders of perpetual strike preferred stock should consult their tax advisors about the impact of these rules in their particular situations.</w:t>
      </w:r>
    </w:p>
    <w:p>
      <w:pPr>
        <w:spacing w:after="0" w:line="158"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Holders of our series A perpetual strike preferred stock may not be entitled to the dividends-received deduction or preferential tax rates applicable to qualified dividend income</w:t>
      </w:r>
    </w:p>
    <w:p>
      <w:pPr>
        <w:spacing w:after="0" w:line="5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Distributions paid to corporate U.S. holders may be eligible for the dividends-received deduction and distributions paid to non-corporate U.S. holders may be subject to tax at the preferential tax rates applicable to “qualified dividend income” if we have current or accumulated earnings and profits, as determined for U.S. federal income tax purposes and certain holding period and other requirements are met. We may not have sufficient current or accumulated earnings and profits during any fiscal year for the distributions on our series A perpetual strike preferred stock to qualify as dividends for U.S. federal income tax purposes. If any distributions on our series A perpetual strike preferred stock with respect to any fiscal year are not eligible for the dividends-received deduction or for the preferential tax rates applicable to “qualified dividend income” because of insufficient current or accumulated earnings and profits, the market value of our series A perpetual strike preferred stock may decline.</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tax rules applicable to “fast-pay stock” could result in adverse consequences to holders of perpetual strike preferred stock</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Under Treasury Regulations promulgated under Section 7701(l) of the Code (the “Fast-Pay Stock Regulations”), if stock of a corporation is structured such that dividends paid with respect to the stock are economically (in whole or in part) a return of the stockholder’s investment (rather than a return on the stockholder’s investment), then the stock is characterized as “fast-pay stock” and is subject to adverse tax reporting requirements and potentially penalties. In addition, under the Fast-Pay Stock Regulations, unless clearly demonstrated otherwise, stock is presumed to be fast-pay stock if it is structured to have a dividend that is reasonably expected to decline (as opposed to a dividend rate that is reasonably expected to fluctuate or remain constant) (for such purpose, the dividend rate may be viewed as reasonably expected to decline if we are reasonably expected to stop paying regular dividends on our series A perpetual strike preferred stock) or is issued for an amount that exceeds (by more than a de minimis amount, as determined under applicable Treasury Regulations) the amount at which the stockholder can be compelled to dispose of the stock. It is not clear what amount would constitute “de minimis” in the case of stock with a perpetual term.</w:t>
      </w:r>
    </w:p>
    <w:p>
      <w:pPr>
        <w:spacing w:after="0" w:line="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We do not believe that our previously issued series A perpetual strike preferred stock is fast-pay stock.</w:t>
      </w:r>
    </w:p>
    <w:p>
      <w:pPr>
        <w:spacing w:after="0" w:line="117"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may issue additional shares of our series A perpetual strike preferred stock (or resell any shares that we or any of our subsidiaries have purchased or otherwise acquired) (such additional or resold shares, the “Additional Shares”). We do not intend to issue any Additional Shares that would be treated as fast-pay stock. Moreover, we intend to obtain advice of counsel in connection with future offerings of Additional Shares for the purpose of analyzing the consequences of issuing such Additional Shares in light of any legal developments regarding the definition of fast-pay stock. It is possible, however, that Additional Shares may be issued at a premium</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39" w:name="page40"/>
    <w:bookmarkEnd w:id="39"/>
    <w:p>
      <w:pPr>
        <w:jc w:val="both"/>
        <w:spacing w:after="0" w:line="261" w:lineRule="auto"/>
        <w:rPr>
          <w:sz w:val="20"/>
          <w:szCs w:val="20"/>
          <w:color w:val="auto"/>
        </w:rPr>
      </w:pPr>
      <w:r>
        <w:rPr>
          <w:rFonts w:ascii="Times New Roman" w:cs="Times New Roman" w:eastAsia="Times New Roman" w:hAnsi="Times New Roman"/>
          <w:sz w:val="18"/>
          <w:szCs w:val="18"/>
          <w:color w:val="auto"/>
        </w:rPr>
        <w:t>above their liquidation preference. Based on the expected overall circumstances of an offering of Additional Shares (such as our general expectation that the value of the conversion option would, at issuance, exceed the amount of any such premium and certain other factors), we do not believe that such premium would be attributable to dividends that are economically a return of a stockholder’s investment. Nonetheless, there may be increased risk that the IRS could assert that such Additional Shares constitute fast-pay stock.</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Transactions involving fast-pay stock arrangements are treated as “listed transactions” for U.S. federal income tax purposes. Issuers and holders of any shares of fast-pay stock would be required to report their participation in the transaction on IRS Form 8886 on an annual basis with their U.S. federal income tax returns and would also be required to mail a copy of that form to the IRS Office of Tax Shelter Analysis. Failure to comply with those disclosure requirements could result in the assessment by the IRS of interest, additions to tax and onerous penalties. In addition, an accuracy-related penalty applies under the Code to any reportable transaction understatement attributable to a listed transaction if a significant purpose of the transaction is the avoidance or evasion of U.S. federal income tax. Furthermore, certain material advisors would also be required to file a disclosure statement with the IRS. If we determine that we are required to file an IRS Form 8886 (including a protective filing) in connection with the potential issuance of fast-pay stock with respect to our previously issued series A perpetual strike preferred stock or Additional Shares, we intend to provide public notice to the holders of our series A perpetual strike preferred stock or Additional Shares, as applicable, which notice may be by a press release, by publication on our investor relations website, or by filing a current report on Form 8-K with the Securities and Exchange Commission.</w:t>
      </w:r>
    </w:p>
    <w:p>
      <w:pPr>
        <w:spacing w:after="0" w:line="86"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Notwithstanding our intent not to issue Additional Shares that would be fast-pay stock, the rules regarding the definition of fast-pay stock are unclear in certain respects and, therefore, the IRS could disagree with our determination and treat such Additional Shares as fast-pay stock. In addition, even though we believe that our series A perpetual strike preferred stock is not fast-pay stock, treatment of the Additional Shares as fast-pay stock could result in adverse consequences to holders of our series A perpetual strike preferred stock because such Additional Shares may be indistinguishable from our previously issued our series A perpetual strike preferred stock.</w:t>
      </w:r>
    </w:p>
    <w:p>
      <w:pPr>
        <w:spacing w:after="0" w:line="7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Accordingly, holders of series A perpetual strike preferred stock are strongly urged to consult their tax advisors regarding the Fast-Pay Stock Regulations and their potential consequences to an investment in our series A perpetual strike preferred stock.</w:t>
      </w:r>
    </w:p>
    <w:p>
      <w:pPr>
        <w:spacing w:after="0" w:line="158"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A future issuance of Additional Shares could have an adverse tax profile, which could subject holders of our previously issued series A perpetual strike preferred stock to adverse consequences</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If we issue Additional Shares that have a different, and potentially adverse, tax profile or treatment for U.S. federal income tax purposes from our series A perpetual strike preferred stock, since such Additional Shares would trade under the same CUSIP or other identifying number as that of our series A perpetual strike preferred stock, our series A perpetual strike preferred stock may be treated by subsequent purchasers, withholding agents and potentially the IRS as having the same profile or treatment as such Additional Shares if our previously issued series A perpetual strike preferred stock is not otherwise distinguishable from the Additional Shares.</w:t>
      </w:r>
    </w:p>
    <w:p>
      <w:pPr>
        <w:spacing w:after="0" w:line="7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For example, notwithstanding our intent not to issue any Additional Shares that are fast-pay stock, the IRS could assert that such Additional Shares constitute fast-pay stock, particularly if they are issued at a premium to their liquidation preference.</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Furthermore, if any Additional Shares are issued at a price that exceeds their liquidation preference, such Additional Shares would constitute “disqualified preferred stock” within the meaning of Section 1059(f)(2) of the Code and any corporate U.S. holder generally will be required to reduce its tax basis (but not below zero) in our series A perpetual strike preferred stock by the amount of any dividends-received deduction it receives. If Additional Shares issued are considered disqualified preferred stock, our previously issued series A perpetual strike preferred stock could also be subject to same treatment as a practical matter due to fungible trading.</w:t>
      </w:r>
    </w:p>
    <w:p>
      <w:pPr>
        <w:spacing w:after="0" w:line="7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If any Additional Shares are sold at a discount (or at a discount that exceeds the discount that applies to our previously issued series A perpetual strike preferred stock), such Additional Shares may be subject to rules that require the accrual of such discount (or such greater discount) currently over the deemed term of the Additional Shares as deemed distributions under U.S. tax rules similar to those governing original issue discount for debt instruments. In that event, the IRS or a withholding agent may treat any such discount as resulting in deemed taxable distributions with respect to our previously issued series A perpetual strike preferred stock as well as such Additional Shares.</w:t>
      </w:r>
    </w:p>
    <w:p>
      <w:pPr>
        <w:spacing w:after="0" w:line="7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Because the IRS or other parties (such as withholding agents) may not be able to distinguish between our previously issued series A perpetual strike preferred stock and the Additional Shares, a holder of series A perpetual strike preferred stock might be subject to adverse tax consequences or might be required to demonstrate to the IRS (or such other parties) that the holder purchased our series A perpetual strike preferred stock as opposed to such Additional Shares. Moreover, any adverse tax consequences as described above in connection with the future issuance of Additional Shares may adversely affect the market value of our series A perpetual strike preferred stock.</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Provisions of our series A perpetual strike preferred stock could delay or prevent an otherwise beneficial takeover of us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Certain provisions in our series A perpetual strike preferred stock could make a third-party attempt to acquire us more difficult or expensive. For example, if a takeover constitutes a fundamental change, then, subject to certain exceptions, preferred stockholders will have the right to require us to repurchase their series A perpetual strike preferred stock for cash. These fundamental change provisions</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0" w:name="page41"/>
    <w:bookmarkEnd w:id="40"/>
    <w:p>
      <w:pPr>
        <w:jc w:val="both"/>
        <w:spacing w:after="0" w:line="282" w:lineRule="auto"/>
        <w:rPr>
          <w:sz w:val="20"/>
          <w:szCs w:val="20"/>
          <w:color w:val="auto"/>
        </w:rPr>
      </w:pPr>
      <w:r>
        <w:rPr>
          <w:rFonts w:ascii="Times New Roman" w:cs="Times New Roman" w:eastAsia="Times New Roman" w:hAnsi="Times New Roman"/>
          <w:sz w:val="18"/>
          <w:szCs w:val="18"/>
          <w:color w:val="auto"/>
        </w:rPr>
        <w:t>could increase the cost of acquiring us or otherwise discourage a third party from acquiring us or removing incumbent management, including in a transaction that preferred stockholders or holders of our class A common stock may view as favorable.</w:t>
      </w:r>
    </w:p>
    <w:p>
      <w:pPr>
        <w:spacing w:after="0" w:line="158"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The accounting method for our series A perpetual strike preferred stock may result in lower reported net earnings attributable to common stockholders and lower reported diluted earnings per share</w:t>
      </w:r>
    </w:p>
    <w:p>
      <w:pPr>
        <w:spacing w:after="0" w:line="5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The accounting method for reflecting the conversion and other provisions of our series A perpetual strike preferred stock in our financial statements may adversely affect our reported earnings. We expect that applicable accounting standards may require us to separately account for the tax redemption feature associated with our series A perpetual strike preferred stock as an embedded derivative. Under this treatment, the embedded derivative would be measured at its fair value and accounted for separately as a liability that is marked-to-market at the end of each reporting period. For each financial statement period after the issuance of our series A perpetual strike preferred stock, a gain or loss would be reported in our statement of operations to the extent the valuation of the embedded derivative changes from the previous period. This accounting treatment may subject our reported net income (loss) to significant non-cash volatility. In addition, we expect that the if-converted method will apply to reflect our series A perpetual strike preferred stock in the calculation of our diluted earnings per share. Under this method, we expect that diluted earnings per share will be calculated assuming that our series A perpetual strike preferred stock is converted at the beginning of the reporting period (or, if later, the time our series A perpetual strike preferred stock is issued). However, this calculation will not be made if reflecting our series A perpetual strike preferred stock in diluted earnings per share in this manner is anti-dilutive. Accordingly, the application of the if-converted method to our series A perpetual strike preferred stock may result in lower reported diluted earnings per share.</w:t>
      </w:r>
    </w:p>
    <w:p>
      <w:pPr>
        <w:spacing w:after="0" w:line="8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Furthermore, we have not reached a final determination regarding the accounting treatment for our series A perpetual strike preferred stock, and the description above is preliminary. In addition, accounting standards may change in the future. Accordingly, we may account for our series A perpetual strike preferred stock in a manner that is significantly different than described above.</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Holding series A perpetual strike preferred stock does not, in itself, confer any rights with respect to our class A common stock</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Holding series A perpetual strike preferred stock does not confer any rights with respect to our class A common stock (including the voting rights of, and rights to receive any dividends or other distributions on, our class A common stock). However, holders of our series A perpetual strike preferred stock are subject to all changes affecting our class A common stock to the extent the value of our series A perpetual strike preferred stock depends on the market price of our class A common stock and to the extent they receive shares of our class A common stock upon conversion of our series A perpetual strike preferred stock. For example, if we propose an amendment to our charter documents that requires the approval of our class A common stockholders but not the approval of the preferred stockholders, then holders of any perpetual strike preferred stock will not, as such, be entitled to vote on the amendment, although those holders will be subject to any changes implemented by that amendment in the powers, preferences or special rights of our class A common stock.</w:t>
      </w:r>
    </w:p>
    <w:p>
      <w:pPr>
        <w:spacing w:after="0" w:line="29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Outstanding and Potential Future Indebtedness</w:t>
      </w:r>
    </w:p>
    <w:p>
      <w:pPr>
        <w:spacing w:after="0" w:line="225"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level and terms of indebtedness could adversely affect our ability to raise additional capital to further execute on our bitcoin strategy, fund our enterprise analytics software operations, and take advantage of new business opportunities</w:t>
      </w:r>
    </w:p>
    <w:p>
      <w:pPr>
        <w:spacing w:after="0" w:line="5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As of December 31, 2024, we had $7.274 billion aggregate indebtedness, consisting of $1.05 billion aggregate principal amount of 2027 Convertible Notes, $1.01 billion aggregate principal amount of 2028 Convertible Notes, $3.0 billion aggregate principal amount of 2029 Convertible Notes, $800.0 million aggregate principal amount of 2030 Convertible Notes, $603.8 million aggregate principal amount of 2031 Convertible Notes, $800.0 million aggregate principal amount of 2032 Convertible Notes, and $9.8 million of other long-term indebtedness. We refer herein to the 2027 Convertible Notes, 2028 Convertible Notes, 2029 Convertible Notes, 2030 Convertible Notes, 2031 Convertible Notes, and 2032 Convertible Notes, collectively, as the “Convertible Notes.” As of December 31, 2024, our annual contractual interest expense relating to our Convertible Notes was $34.6 million.</w:t>
      </w:r>
    </w:p>
    <w:p>
      <w:pPr>
        <w:spacing w:after="0" w:line="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Our substantial indebtedness and interest expense could have important consequences to us, including:</w:t>
      </w:r>
    </w:p>
    <w:p>
      <w:pPr>
        <w:spacing w:after="0" w:line="117" w:lineRule="exact"/>
        <w:rPr>
          <w:sz w:val="20"/>
          <w:szCs w:val="20"/>
          <w:color w:val="auto"/>
        </w:rPr>
      </w:pPr>
    </w:p>
    <w:p>
      <w:pPr>
        <w:jc w:val="both"/>
        <w:ind w:left="760" w:hanging="378"/>
        <w:spacing w:after="0" w:line="261" w:lineRule="auto"/>
        <w:tabs>
          <w:tab w:leader="none" w:pos="76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limiting our ability to use a substantial portion of our cash flow from operations in other areas of our business, including for acquisition of additional bitcoin, working capital, research and development, expanding our infrastructure, capital expenditures, and other general business activities and investment opportunities in our company, because we must dedicate a substantial portion of these funds to pay interest on and/or service our debt;</w:t>
      </w:r>
    </w:p>
    <w:p>
      <w:pPr>
        <w:spacing w:after="0" w:line="71" w:lineRule="exact"/>
        <w:rPr>
          <w:rFonts w:ascii="Times New Roman" w:cs="Times New Roman" w:eastAsia="Times New Roman" w:hAnsi="Times New Roman"/>
          <w:sz w:val="18"/>
          <w:szCs w:val="18"/>
          <w:color w:val="auto"/>
        </w:rPr>
      </w:pPr>
    </w:p>
    <w:p>
      <w:pPr>
        <w:ind w:left="760" w:hanging="378"/>
        <w:spacing w:after="0" w:line="282" w:lineRule="auto"/>
        <w:tabs>
          <w:tab w:leader="none" w:pos="76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limiting our ability to obtain additional financing in the future for acquisition of additional bitcoin, working capital, capital expenditures, debt service, acquisitions, execution of our strategy, and other expenses or investments planned by us;</w:t>
      </w:r>
    </w:p>
    <w:p>
      <w:pPr>
        <w:spacing w:after="0" w:line="53" w:lineRule="exact"/>
        <w:rPr>
          <w:rFonts w:ascii="Times New Roman" w:cs="Times New Roman" w:eastAsia="Times New Roman" w:hAnsi="Times New Roman"/>
          <w:sz w:val="18"/>
          <w:szCs w:val="18"/>
          <w:color w:val="auto"/>
        </w:rPr>
      </w:pPr>
    </w:p>
    <w:p>
      <w:pPr>
        <w:ind w:left="760" w:hanging="378"/>
        <w:spacing w:after="0" w:line="282" w:lineRule="auto"/>
        <w:tabs>
          <w:tab w:leader="none" w:pos="76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limiting our flexibility and our ability to capitalize on business opportunities and to react to competitive pressures and adverse changes in government regulation, our business, and our industry;</w:t>
      </w:r>
    </w:p>
    <w:p>
      <w:pPr>
        <w:spacing w:after="0" w:line="53"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increasing our vulnerability to a downturn in our business and to adverse economic and industry conditions generally;</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1" w:name="page42"/>
    <w:bookmarkEnd w:id="41"/>
    <w:p>
      <w:pPr>
        <w:ind w:left="760" w:hanging="378"/>
        <w:spacing w:after="0"/>
        <w:tabs>
          <w:tab w:leader="none" w:pos="76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placing us at a competitive disadvantage as compared to our competitors that are less leveraged; and</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limiting our ability, or increasing the costs, to refinance indebtedness.</w:t>
      </w:r>
    </w:p>
    <w:p>
      <w:pPr>
        <w:spacing w:after="0" w:line="221"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may be unable to service our indebtedness, which could cause us to default on our debt obligations and could force us into bankruptcy or liquidation</w:t>
      </w:r>
    </w:p>
    <w:p>
      <w:pPr>
        <w:spacing w:after="0" w:line="5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Our ability to make scheduled payments on and to refinance our indebtedness depends on and is subject to our financial and operating performance, which is influenced, in part, by general economic, financial, competitive, legislative, regulatory, counterparty business, and other risks that are beyond our control, including the availability of financing in the U.S. banking and capital markets. If our cash flows and capital resources are insufficient to fund our debt service obligations, we may be forced to reduce or delay capital expenditures, sell assets, seek additional capital, or restructure or refinance our indebtedness. We cannot assure you that future borrowings will be available to us in an amount sufficient to enable us to service our indebtedness, to refinance our indebtedness, or to fund our other liquidity needs. Even if refinancing indebtedness is available, any refinancing of our indebtedness could be at higher interest rates and may require us to comply with more onerous covenants that could further restrict our business operations. In addition, our bitcoin strategy anticipates that we may issue additional debt in future periods to finance additional purchases of bitcoin, but if we are unable to generate sufficient cash flow to service our debt and make necessary capital expenditures, we may be required to sell bitcoin. These alternative measures may not be successful and may not permit us to meet our scheduled debt service obligations or our financial covenants, which could cause us to default on our debt obligations. In addition, any failure to make payments of interest and principal on our outstanding indebtedness on a timely basis would likely result in a reduction of our credit rating, which could harm our ability to incur additional indebtedness.</w:t>
      </w:r>
    </w:p>
    <w:p>
      <w:pPr>
        <w:spacing w:after="0" w:line="82"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Upon the occurrence of an event of default under any of our indebtedness, the holders of the defaulted indebtedness could elect to declare all the funds borrowed to be due and payable, together with accrued and unpaid interest. Any of these events could in turn result in cross-defaults under our other indebtedness. We may not have sufficient funds available to pay the amounts due upon any such default, particularly in the event that there has been a decrease in the market value of our bitcoin holdings, and we may not be able to raise additional funds to pay such amounts on a timely basis, on terms we find acceptable, or at all. Any financing that we may undertake under such circumstances could result in substantial dilution of our existing stockholders, and in the absence of being able to obtain such financing, we could be forced into bankruptcy or liquidation.</w:t>
      </w:r>
    </w:p>
    <w:p>
      <w:pPr>
        <w:spacing w:after="0" w:line="183"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We may not have the ability to raise the funds necessary to settle conversions of the Convertible Notes in cash or to repurchase the Convertible Notes for cash upon a fundamental change or to repurchase the 2028 Convertible Notes on September 15, 2027, the 2029 Convertible Notes on June 1, 2028, the 2030 Convertible Notes or the 2031 Convertible Notes on September 15, 2028, or the 2032 Convertible Notes on June 15, 2029, and any future debt may contain, limitations on our ability to engage in cash-settled conversions or repurchases of Convertible Notes</w:t>
      </w:r>
    </w:p>
    <w:p>
      <w:pPr>
        <w:spacing w:after="0" w:line="72"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In connection with any conversion of the Convertible Notes, unless we elect (or have previously irrevocably elected) to deliver solely shares of our class A common stock to settle such conversion (other than paying cash in lieu of delivering any fractional share), we will be required to make cash payments in respect of the Convertible Notes being converted. However, any future debt may contain limitations on our ability to (i) pay cash upon conversion or redemption of the Convertible Notes, which may require us to elect to deliver solely shares of our class A common stock to settle such conversion (other than paying cash in lieu of delivering any fractional share), or (ii) sell certain bitcoin to generate cash that can be used to make such cash payments. Upon a fundamental change as defined in the indentures governing the Convertible Notes, the holders of such notes will have the right to require us to offer to purchase all of the applicable notes then outstanding at a price equal to 100% of the principal amount of the Convertible Notes, plus, in each case, accrued and unpaid interest, if any, to, but excluding, the repurchase date. Moreover, the exercise by holders of the Convertible Notes of their right to require us to repurchase such Convertible Notes could cause a default under future debt agreements, even if the change of control or fundamental change itself does not, due to the financial effect of such repurchase on us. In order to obtain sufficient funds to pay the purchase price of such notes, we expect that we would have to refinance the Convertible Notes or obtain a waiver from the applicable holders of Convertible Notes and we may not be able to refinance the Convertible Notes on reasonable terms, if at all. Absent a waiver from the applicable holders of Convertible Notes, our failure to offer to purchase all applicable Convertible Notes or to purchase all validly tendered Convertible Notes would be an event of default under the indentures governing the Convertible Notes. In addition, holders of (i) the 2028 Convertible Notes have the right to require us to repurchase all or a portion of their notes on September 15, 2027, (ii) the 2029 Convertible Notes have the right to require us to repurchase all or a portion of their notes on June 1, 2028, (iii) the 2030 Convertible Notes and the 2031 Convertible Notes have the right to require us to repurchase all or a portion of their notes on September 15, 2028, and (iv) the 2032 Convertible Notes have the right to require us to repurchase all or a portion of their notes on June 15, 2029,</w:t>
      </w:r>
    </w:p>
    <w:p>
      <w:pPr>
        <w:spacing w:after="0" w:line="19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2" w:name="page43"/>
    <w:bookmarkEnd w:id="42"/>
    <w:p>
      <w:pPr>
        <w:spacing w:after="0"/>
        <w:rPr>
          <w:sz w:val="20"/>
          <w:szCs w:val="20"/>
          <w:color w:val="auto"/>
        </w:rPr>
      </w:pPr>
      <w:r>
        <w:rPr>
          <w:rFonts w:ascii="Times New Roman" w:cs="Times New Roman" w:eastAsia="Times New Roman" w:hAnsi="Times New Roman"/>
          <w:sz w:val="18"/>
          <w:szCs w:val="18"/>
          <w:color w:val="auto"/>
        </w:rPr>
        <w:t>in each case, at a repurchase price equal to 100% of the principal amount of the notes to be repurchased, plus accrued and unpaid interest, if any.</w:t>
      </w:r>
    </w:p>
    <w:p>
      <w:pPr>
        <w:spacing w:after="0" w:line="2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conditional conversion feature of the Convertible Notes, if triggered, may adversely affect our financial condition and operating results</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In the event the conditional conversion feature of the Convertible Notes is triggered, holders of the applicable Convertible Notes will be entitled to convert such notes at any time during specified periods at their option. If one or more holders elect to convert their Convertible Notes, unless we elect to satisfy our conversion obligation by delivering solely shares of our class A common stock (other than paying cash in lieu of delivering any fractional share), we would be required to settle a portion or all of our conversion obligation through the payment of cash, which could adversely affect our liquidity. Furthermore, even if holders do not elect to convert their Convertible Notes, we could be required under applicable accounting rules to reclassify all or a portion of the outstanding principal of the applicable Convertible Notes as a current rather than long-term liability, which would result in a material reduction of our net working capital.</w:t>
      </w:r>
    </w:p>
    <w:p>
      <w:pPr>
        <w:spacing w:after="0" w:line="185"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We use funds from our subsidiaries in order to meet our cash needs and service our indebtedness, including the Convertible Notes and our other long-term indebtedness, and certain of our subsidiaries holding digital assets may not provide any dividends, distributions, or other payments to us to fund our obligations and meet our cash needs</w:t>
      </w:r>
    </w:p>
    <w:p>
      <w:pPr>
        <w:spacing w:after="0" w:line="6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receive dividends, distributions, and other payments from our subsidiaries to fund our obligations, including those arising under the Convertible Notes, and our other long-term indebtedness, and meet our cash needs. The operating results of our subsidiaries at any given time may not be sufficient to make dividends, distributions, or other payments to us in order to allow us to make payments on the Convertible Notes, and our other long-term indebtedness. In addition, dividends, distributions, or other payments, as well as other transfers of assets, between our subsidiaries and from our subsidiaries to us may be subject to legal, regulatory, or contractual restrictions, which may materially adversely affect our ability to transfer cash within our consolidated companies and our ability to meet our cash needs and service our indebtedness.</w:t>
      </w:r>
    </w:p>
    <w:p>
      <w:pPr>
        <w:spacing w:after="0" w:line="183"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Despite our current level of indebtedness, we may incur substantially more indebtedness and enter into other transactions in the future which could further exacerbate the risks related to our indebtedness</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Our bitcoin strategy includes acquiring bitcoin using proceeds from equity and debt financings and cash flows from operations. As such, despite our current level of indebtedness, we may incur substantially more indebtedness, and we may enter into other transactions in the future. Even if we were to enter into debt financings or other arrangements that contain restrictions on our ability to incur additional indebtedness, these restrictions may be subject to a number of qualifications and exceptions that would allow us to incur significant additional indebtedness. To the extent we incur additional indebtedness or other obligations, the risks described herein with respect to our indebtedness may increase significantly.</w:t>
      </w:r>
    </w:p>
    <w:p>
      <w:pPr>
        <w:spacing w:after="0" w:line="200" w:lineRule="exact"/>
        <w:rPr>
          <w:sz w:val="20"/>
          <w:szCs w:val="20"/>
          <w:color w:val="auto"/>
        </w:rPr>
      </w:pPr>
    </w:p>
    <w:p>
      <w:pPr>
        <w:spacing w:after="0" w:line="30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1B. Unresolved Staff Comments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None.</w:t>
      </w:r>
    </w:p>
    <w:p>
      <w:pPr>
        <w:spacing w:after="0" w:line="3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1C. Cybersecurity</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As part of our cybersecurity risk management framework, we have implemented comprehensive Corporate Incident Response Plans (IRPs) and other policies and procedures designed to ensure the assessment, identification, and management of material risks from cybersecurity threats, and to facilitate timely disclosure of material cybersecurity incidents in accordance with SEC rules. Our policies provide for cybersecurity awareness training for employees and engagement in due diligence processes in accordance with industry best practices for third-party vendors, including those handling critical services or sensitive data on our behalf. Our policies also provide for regular, senior management-led table-top exercises simulating cyberattack scenarios to ensure preparedness and response agility. We undertake an annual review of our policies to help ensure their effectiveness and relevance in light of evolving cybersecurity threats. Additionally, we maintain cyber insurance to help cover costs associated with the occurrence of certain cybersecurity events. We do not currently engage any other third parties as part of our cybersecurity risk management framework, but we do use third party services and products in the ordinary course with respect to certain common cybersecurity threats.</w:t>
      </w:r>
    </w:p>
    <w:p>
      <w:pPr>
        <w:spacing w:after="0" w:line="80"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Our IRPs, which are tailored to address potential cybersecurity threats in both our product and corporate infrastructure technology environments, are designed to provide a comprehensive, structured response to cybersecurity incidents, and apply to all Strategy personnel, including employees, directors, temporary staff, and contractors. In accordance with our IRPs, we train our personnel to report any cybersecurity incidents to our Information Security Team (IST). Upon identification of a cybersecurity incident, the IRPs mandate that the IST conduct an immediate evaluation and assign a severity rating to the incident and, depending on the severity, report the incident to our Chief Information Security Officer (CISO). Based on the severity of the incident, a Security Incident Response Team (SIRT), the members of which include our Chief Technology Officer (CTO), the CISO, and personnel from various departments,</w:t>
      </w:r>
    </w:p>
    <w:p>
      <w:pPr>
        <w:spacing w:after="0" w:line="18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3" w:name="page44"/>
    <w:bookmarkEnd w:id="43"/>
    <w:p>
      <w:pPr>
        <w:jc w:val="both"/>
        <w:spacing w:after="0" w:line="282" w:lineRule="auto"/>
        <w:rPr>
          <w:sz w:val="20"/>
          <w:szCs w:val="20"/>
          <w:color w:val="auto"/>
        </w:rPr>
      </w:pPr>
      <w:r>
        <w:rPr>
          <w:rFonts w:ascii="Times New Roman" w:cs="Times New Roman" w:eastAsia="Times New Roman" w:hAnsi="Times New Roman"/>
          <w:sz w:val="18"/>
          <w:szCs w:val="18"/>
          <w:color w:val="auto"/>
        </w:rPr>
        <w:t>including legal, is convened. The SIRT, with assistance from the IST, is tasked with executing a timely and effective response to the incident, and SIRT members are assigned specific roles and responsibilities, including assessment of the incident's materiality for disclosure purposes.</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Our CTO and CISO oversee our cybersecurity preparedness. Our CTO has over 25 years of experience in the technology sector, including specifically in the cybersecurity industry, and held various leadership positions prior to joining Strategy in 2018. Our CISO, who joined Strategy as CISO in 2021, has over 20 years of experience with cybersecurity and privacy, and has experience with IT infrastructure technologies, including cloud, network, server, endpoint, and mobile technologies. Our CISO holds a master’s degree in computer science and multiple industry-recognized cybersecurity certifications. The IST operates under our CISO’s leadership, who in turn reports to our CTO.</w:t>
      </w:r>
    </w:p>
    <w:p>
      <w:pPr>
        <w:spacing w:after="0" w:line="75"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administer our cybersecurity risk management framework separately from our other risk management systems and processes, under the oversight of the audit committee of our board of directors and senior management. Strategy's management, including our CTO and CISO, provides the audit committee with regular updates on cybersecurity incidents and emerging threats. The audit committee actively engages with management on the development and implementation of cybersecurity policies and practices, offering insights and guidance. Additionally, board members with significant experience in software technology, such as Michael J. Saylor and Leslie J. Rechan, each with over 30 years of software industry experience, and Phong Le, our Chief Executive Officer, contribute their expertise to our cybersecurity risk management.</w:t>
      </w:r>
    </w:p>
    <w:p>
      <w:pPr>
        <w:spacing w:after="0" w:line="7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Unauthorized parties have attempted, and we expect that they will continue to attempt, to gain access to our systems and facilities, as well as those of our third-party vendors, through various means, such as hacking, social engineering, phishing, and fraud. However, the Company does not believe that there are currently any risks from known cybersecurity threats, including as a result of any prior cybersecurity incidents, that have materially affected or are reasonably likely to materially affect the Company, including its business strategy, results of operations or financial condition. See “Item 1A. Risk Factors</w:t>
      </w:r>
    </w:p>
    <w:p>
      <w:pPr>
        <w:spacing w:after="0" w:line="3"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 Risks Related to Our Bitcoin Strategy and Holdings – If we or our third-party service providers experience a security breach or cyberattack and unauthorized parties obtain access to our bitcoin, or if our private keys are lost or destroyed, or other similar circumstances or events occur, we may lose some or all of our bitcoin and our financial condition and results of operations could be materially adversely affected” and “Item 1A. Risk Factors – Risks Related to Our Operations – If we or our third-party service providers experience a disruption due to a cybersecurity attack or security breach and unauthorized parties obtain access to our customers’, prospects’, vendors’, or channel partners’ data, our data, our networks or other systems, or the cloud environments we manage, our offerings may be perceived as not being secure, our reputation may be harmed, demand for our offerings may be reduced, our operations may be disrupted, we may incur significant legal and financial liabilities, and our business could be materially adversely affected.”</w:t>
      </w:r>
    </w:p>
    <w:p>
      <w:pPr>
        <w:spacing w:after="0" w:line="292" w:lineRule="exact"/>
        <w:rPr>
          <w:sz w:val="20"/>
          <w:szCs w:val="20"/>
          <w:color w:val="auto"/>
        </w:rPr>
      </w:pPr>
    </w:p>
    <w:p>
      <w:pPr>
        <w:spacing w:after="0"/>
        <w:tabs>
          <w:tab w:leader="none" w:pos="700" w:val="left"/>
        </w:tabs>
        <w:rPr>
          <w:sz w:val="20"/>
          <w:szCs w:val="20"/>
          <w:color w:val="auto"/>
        </w:rPr>
      </w:pPr>
      <w:r>
        <w:rPr>
          <w:rFonts w:ascii="Times New Roman" w:cs="Times New Roman" w:eastAsia="Times New Roman" w:hAnsi="Times New Roman"/>
          <w:sz w:val="18"/>
          <w:szCs w:val="18"/>
          <w:b w:val="1"/>
          <w:bCs w:val="1"/>
          <w:color w:val="auto"/>
        </w:rPr>
        <w:t>Item 2.</w:t>
        <w:tab/>
        <w:t>Properties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of December 31, 2024, we leased approximately 190,000 square feet of office space at a location in Northern Virginia that serves as our corporate headquarters. This lease provides for certain tenant allowances and incentives and will expire in December 2030.</w:t>
      </w:r>
    </w:p>
    <w:p>
      <w:pPr>
        <w:spacing w:after="0" w:line="54" w:lineRule="exact"/>
        <w:rPr>
          <w:sz w:val="20"/>
          <w:szCs w:val="20"/>
          <w:color w:val="auto"/>
        </w:rPr>
      </w:pPr>
    </w:p>
    <w:p>
      <w:pPr>
        <w:jc w:val="both"/>
        <w:ind w:right="20"/>
        <w:spacing w:after="0" w:line="266" w:lineRule="auto"/>
        <w:rPr>
          <w:sz w:val="20"/>
          <w:szCs w:val="20"/>
          <w:color w:val="auto"/>
        </w:rPr>
      </w:pPr>
      <w:r>
        <w:rPr>
          <w:rFonts w:ascii="Times New Roman" w:cs="Times New Roman" w:eastAsia="Times New Roman" w:hAnsi="Times New Roman"/>
          <w:sz w:val="18"/>
          <w:szCs w:val="18"/>
          <w:color w:val="auto"/>
        </w:rPr>
        <w:t>In addition, we utilize offices in U.S. and foreign locations for our services and support, sales and marketing, research and development, and administrative personnel. As of December 31, 2024, we utilized approximately 20,000 square feet of office and other space in the United States, in addition to our corporate headquarters, and approximately 87,000 square feet of office space in various foreign locations.</w:t>
      </w:r>
    </w:p>
    <w:p>
      <w:pPr>
        <w:spacing w:after="0" w:line="280" w:lineRule="exact"/>
        <w:rPr>
          <w:sz w:val="20"/>
          <w:szCs w:val="20"/>
          <w:color w:val="auto"/>
        </w:rPr>
      </w:pPr>
    </w:p>
    <w:p>
      <w:pPr>
        <w:spacing w:after="0"/>
        <w:tabs>
          <w:tab w:leader="none" w:pos="700" w:val="left"/>
        </w:tabs>
        <w:rPr>
          <w:sz w:val="20"/>
          <w:szCs w:val="20"/>
          <w:color w:val="auto"/>
        </w:rPr>
      </w:pPr>
      <w:r>
        <w:rPr>
          <w:rFonts w:ascii="Times New Roman" w:cs="Times New Roman" w:eastAsia="Times New Roman" w:hAnsi="Times New Roman"/>
          <w:sz w:val="18"/>
          <w:szCs w:val="18"/>
          <w:b w:val="1"/>
          <w:bCs w:val="1"/>
          <w:color w:val="auto"/>
        </w:rPr>
        <w:t>Item 3.</w:t>
        <w:tab/>
        <w:t>Legal Proceedings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are involved in various legal proceedings arising in the normal course of business. Although the outcomes of these legal proceedings are inherently difficult to predict, we do not expect the resolution of these legal proceedings to have a material adverse effect on our financial position, results of operations, or cash flows.</w:t>
      </w:r>
    </w:p>
    <w:p>
      <w:pPr>
        <w:spacing w:after="0" w:line="280" w:lineRule="exact"/>
        <w:rPr>
          <w:sz w:val="20"/>
          <w:szCs w:val="20"/>
          <w:color w:val="auto"/>
        </w:rPr>
      </w:pPr>
    </w:p>
    <w:p>
      <w:pPr>
        <w:spacing w:after="0"/>
        <w:tabs>
          <w:tab w:leader="none" w:pos="700" w:val="left"/>
        </w:tabs>
        <w:rPr>
          <w:sz w:val="20"/>
          <w:szCs w:val="20"/>
          <w:color w:val="auto"/>
        </w:rPr>
      </w:pPr>
      <w:r>
        <w:rPr>
          <w:rFonts w:ascii="Times New Roman" w:cs="Times New Roman" w:eastAsia="Times New Roman" w:hAnsi="Times New Roman"/>
          <w:sz w:val="18"/>
          <w:szCs w:val="18"/>
          <w:b w:val="1"/>
          <w:bCs w:val="1"/>
          <w:color w:val="auto"/>
        </w:rPr>
        <w:t>Item 4.</w:t>
      </w:r>
      <w:r>
        <w:rPr>
          <w:sz w:val="20"/>
          <w:szCs w:val="20"/>
          <w:color w:val="auto"/>
        </w:rPr>
        <w:tab/>
      </w:r>
      <w:r>
        <w:rPr>
          <w:rFonts w:ascii="Times New Roman" w:cs="Times New Roman" w:eastAsia="Times New Roman" w:hAnsi="Times New Roman"/>
          <w:sz w:val="17"/>
          <w:szCs w:val="17"/>
          <w:b w:val="1"/>
          <w:bCs w:val="1"/>
          <w:color w:val="auto"/>
        </w:rPr>
        <w:t>Mine Safety Disclosures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Not applicable.</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4" w:name="page45"/>
    <w:bookmarkEnd w:id="44"/>
    <w:p>
      <w:pPr>
        <w:jc w:val="center"/>
        <w:spacing w:after="0"/>
        <w:rPr>
          <w:sz w:val="20"/>
          <w:szCs w:val="20"/>
          <w:color w:val="auto"/>
        </w:rPr>
      </w:pPr>
      <w:r>
        <w:rPr>
          <w:rFonts w:ascii="Times New Roman" w:cs="Times New Roman" w:eastAsia="Times New Roman" w:hAnsi="Times New Roman"/>
          <w:sz w:val="18"/>
          <w:szCs w:val="18"/>
          <w:b w:val="1"/>
          <w:bCs w:val="1"/>
          <w:color w:val="auto"/>
        </w:rPr>
        <w:t>PART II</w:t>
      </w:r>
    </w:p>
    <w:p>
      <w:pPr>
        <w:spacing w:after="0" w:line="252" w:lineRule="exact"/>
        <w:rPr>
          <w:sz w:val="20"/>
          <w:szCs w:val="20"/>
          <w:color w:val="auto"/>
        </w:rPr>
      </w:pPr>
    </w:p>
    <w:p>
      <w:pPr>
        <w:spacing w:after="0"/>
        <w:tabs>
          <w:tab w:leader="none" w:pos="700" w:val="left"/>
        </w:tabs>
        <w:rPr>
          <w:sz w:val="20"/>
          <w:szCs w:val="20"/>
          <w:color w:val="auto"/>
        </w:rPr>
      </w:pPr>
      <w:r>
        <w:rPr>
          <w:rFonts w:ascii="Times New Roman" w:cs="Times New Roman" w:eastAsia="Times New Roman" w:hAnsi="Times New Roman"/>
          <w:sz w:val="18"/>
          <w:szCs w:val="18"/>
          <w:b w:val="1"/>
          <w:bCs w:val="1"/>
          <w:color w:val="auto"/>
        </w:rPr>
        <w:t>Item 5.</w:t>
        <w:tab/>
        <w:t>Market for Registrant’s Common Equity, Related Stockholder Matters and Issuer Purchases of Equity Securities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Our class A common stock is traded on the Nasdaq Global Select Market under the symbol “MSTR.” There is no established public trading market for our class B common stock. As of February 4, 2025, there were approximately 825 stockholders of record of our class A common stock and two stockholders of record of our class B common stock.</w:t>
      </w:r>
    </w:p>
    <w:p>
      <w:pPr>
        <w:spacing w:after="0" w:line="6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Holders of our class A common stock generally have the same rights as holders of our class B common stock, except that holders of class A common stock have one vote per share while holders of class B common stock have ten votes per share.</w:t>
      </w:r>
    </w:p>
    <w:p>
      <w:pPr>
        <w:spacing w:after="0" w:line="54"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We have never declared or paid any cash dividends on either our class A or class B common stock and have no current plans to declare or pay any such dividends on our class A or class B common stock. Our series A perpetual strike preferred stock accumulates dividends at a rate per annum equal to 8.00% on the liquidation price thereof, which is $100 per share. Such dividends will be payable when, as and if declared by our board of directors, out of funds legally available for their payment to the extent paid in cash, quarterly in arrears on March 31, June 30, September 30 and December 31 of each year, beginning on March 31, 2025, and will be payable, at our election, in cash, shares of our class A common stock or a combination of cash and shares of our class A common stock. We expect to fund any dividends paid in cash on our series A perpetual strike preferred stock primarily through additional capital raising activities, including but not limited to, at-the-market offerings of our class A common stock. Refer to the “Liquidity and Capital Resources” section under “Item 7. Management’s Discussion and Analysis of Financial Condition and Results of Operations” for further information regarding our series A perpetual strike preferred stock, including such dividends.</w:t>
      </w:r>
    </w:p>
    <w:p>
      <w:pPr>
        <w:spacing w:after="0" w:line="2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Performance Graph</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following graph compares the cumulative total stockholder return on our class A common stock from December 31, 2019 (the last trading day before the beginning of our fifth preceding fiscal year) to December 31, 2024 (the last trading day of the fiscal year ended December 31, 2024) with the cumulative total return of (i) the Total Return Index for The Nasdaq Stock Market (U.S. Companies) (the “Nasdaq Composite Index”) and (ii) the Nasdaq Computer Index. The graph assumes the investment of $100.00 on December 31, 2019 in our class A common stock, the Nasdaq Composite Index, and the Nasdaq Computer Index, and assumes that any dividends on our class A common stock are reinvested. Measurement points are December 31, 2019, December 31, 2020, December 31, 2021, December 30, 2022, December 29, 2023, and December 31, 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759460</wp:posOffset>
            </wp:positionH>
            <wp:positionV relativeFrom="paragraph">
              <wp:posOffset>130810</wp:posOffset>
            </wp:positionV>
            <wp:extent cx="5631815" cy="3128645"/>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5631815" cy="312864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4"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466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800" w:type="dxa"/>
            <w:vAlign w:val="bottom"/>
            <w:tcBorders>
              <w:bottom w:val="single" w:sz="8" w:color="auto"/>
            </w:tcBorders>
          </w:tcPr>
          <w:p>
            <w:pPr>
              <w:jc w:val="right"/>
              <w:ind w:right="54"/>
              <w:spacing w:after="0"/>
              <w:rPr>
                <w:sz w:val="20"/>
                <w:szCs w:val="20"/>
                <w:color w:val="auto"/>
              </w:rPr>
            </w:pPr>
            <w:r>
              <w:rPr>
                <w:rFonts w:ascii="Times New Roman" w:cs="Times New Roman" w:eastAsia="Times New Roman" w:hAnsi="Times New Roman"/>
                <w:sz w:val="14"/>
                <w:szCs w:val="14"/>
                <w:b w:val="1"/>
                <w:bCs w:val="1"/>
                <w:color w:val="auto"/>
              </w:rPr>
              <w:t>12/31/2019</w:t>
            </w:r>
          </w:p>
        </w:tc>
        <w:tc>
          <w:tcPr>
            <w:tcW w:w="24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780" w:type="dxa"/>
            <w:vAlign w:val="bottom"/>
            <w:tcBorders>
              <w:bottom w:val="single" w:sz="8" w:color="auto"/>
            </w:tcBorders>
          </w:tcPr>
          <w:p>
            <w:pPr>
              <w:jc w:val="right"/>
              <w:ind w:right="35"/>
              <w:spacing w:after="0"/>
              <w:rPr>
                <w:sz w:val="20"/>
                <w:szCs w:val="20"/>
                <w:color w:val="auto"/>
              </w:rPr>
            </w:pPr>
            <w:r>
              <w:rPr>
                <w:rFonts w:ascii="Times New Roman" w:cs="Times New Roman" w:eastAsia="Times New Roman" w:hAnsi="Times New Roman"/>
                <w:sz w:val="14"/>
                <w:szCs w:val="14"/>
                <w:b w:val="1"/>
                <w:bCs w:val="1"/>
                <w:color w:val="auto"/>
              </w:rPr>
              <w:t>12/31/2020</w:t>
            </w: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800" w:type="dxa"/>
            <w:vAlign w:val="bottom"/>
            <w:tcBorders>
              <w:bottom w:val="single" w:sz="8" w:color="auto"/>
            </w:tcBorders>
          </w:tcPr>
          <w:p>
            <w:pPr>
              <w:jc w:val="right"/>
              <w:ind w:right="55"/>
              <w:spacing w:after="0"/>
              <w:rPr>
                <w:sz w:val="20"/>
                <w:szCs w:val="20"/>
                <w:color w:val="auto"/>
              </w:rPr>
            </w:pPr>
            <w:r>
              <w:rPr>
                <w:rFonts w:ascii="Times New Roman" w:cs="Times New Roman" w:eastAsia="Times New Roman" w:hAnsi="Times New Roman"/>
                <w:sz w:val="14"/>
                <w:szCs w:val="14"/>
                <w:b w:val="1"/>
                <w:bCs w:val="1"/>
                <w:color w:val="auto"/>
              </w:rPr>
              <w:t>12/31/2021</w:t>
            </w:r>
          </w:p>
        </w:tc>
        <w:tc>
          <w:tcPr>
            <w:tcW w:w="20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780" w:type="dxa"/>
            <w:vAlign w:val="bottom"/>
            <w:tcBorders>
              <w:bottom w:val="single" w:sz="8" w:color="auto"/>
            </w:tcBorders>
          </w:tcPr>
          <w:p>
            <w:pPr>
              <w:jc w:val="right"/>
              <w:ind w:right="35"/>
              <w:spacing w:after="0"/>
              <w:rPr>
                <w:sz w:val="20"/>
                <w:szCs w:val="20"/>
                <w:color w:val="auto"/>
              </w:rPr>
            </w:pPr>
            <w:r>
              <w:rPr>
                <w:rFonts w:ascii="Times New Roman" w:cs="Times New Roman" w:eastAsia="Times New Roman" w:hAnsi="Times New Roman"/>
                <w:sz w:val="14"/>
                <w:szCs w:val="14"/>
                <w:b w:val="1"/>
                <w:bCs w:val="1"/>
                <w:color w:val="auto"/>
              </w:rPr>
              <w:t>12/30/2022</w:t>
            </w: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780" w:type="dxa"/>
            <w:vAlign w:val="bottom"/>
            <w:tcBorders>
              <w:bottom w:val="single" w:sz="8" w:color="auto"/>
            </w:tcBorders>
          </w:tcPr>
          <w:p>
            <w:pPr>
              <w:jc w:val="right"/>
              <w:ind w:right="35"/>
              <w:spacing w:after="0"/>
              <w:rPr>
                <w:sz w:val="20"/>
                <w:szCs w:val="20"/>
                <w:color w:val="auto"/>
              </w:rPr>
            </w:pPr>
            <w:r>
              <w:rPr>
                <w:rFonts w:ascii="Times New Roman" w:cs="Times New Roman" w:eastAsia="Times New Roman" w:hAnsi="Times New Roman"/>
                <w:sz w:val="14"/>
                <w:szCs w:val="14"/>
                <w:b w:val="1"/>
                <w:bCs w:val="1"/>
                <w:color w:val="auto"/>
              </w:rPr>
              <w:t>12/29/2023</w:t>
            </w: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800" w:type="dxa"/>
            <w:vAlign w:val="bottom"/>
            <w:tcBorders>
              <w:bottom w:val="single" w:sz="8" w:color="auto"/>
            </w:tcBorders>
          </w:tcPr>
          <w:p>
            <w:pPr>
              <w:jc w:val="right"/>
              <w:ind w:right="55"/>
              <w:spacing w:after="0"/>
              <w:rPr>
                <w:sz w:val="20"/>
                <w:szCs w:val="20"/>
                <w:color w:val="auto"/>
              </w:rPr>
            </w:pPr>
            <w:r>
              <w:rPr>
                <w:rFonts w:ascii="Times New Roman" w:cs="Times New Roman" w:eastAsia="Times New Roman" w:hAnsi="Times New Roman"/>
                <w:sz w:val="14"/>
                <w:szCs w:val="14"/>
                <w:b w:val="1"/>
                <w:bCs w:val="1"/>
                <w:color w:val="auto"/>
              </w:rPr>
              <w:t>12/31/2024</w:t>
            </w:r>
          </w:p>
        </w:tc>
        <w:tc>
          <w:tcPr>
            <w:tcW w:w="100" w:type="dxa"/>
            <w:vAlign w:val="bottom"/>
          </w:tcPr>
          <w:p>
            <w:pPr>
              <w:spacing w:after="0"/>
              <w:rPr>
                <w:sz w:val="15"/>
                <w:szCs w:val="15"/>
                <w:color w:val="auto"/>
              </w:rPr>
            </w:pPr>
          </w:p>
        </w:tc>
      </w:tr>
      <w:tr>
        <w:trPr>
          <w:trHeight w:val="209"/>
        </w:trPr>
        <w:tc>
          <w:tcPr>
            <w:tcW w:w="46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MicroStrategy Incorporated d/b/a Strategy</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100.00</w:t>
            </w:r>
          </w:p>
        </w:tc>
        <w:tc>
          <w:tcPr>
            <w:tcW w:w="240" w:type="dxa"/>
            <w:vAlign w:val="bottom"/>
            <w:shd w:val="clear" w:color="auto" w:fill="CFF0FC"/>
          </w:tcPr>
          <w:p>
            <w:pPr>
              <w:spacing w:after="0"/>
              <w:rPr>
                <w:sz w:val="18"/>
                <w:szCs w:val="18"/>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272.38</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381.65</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99.22</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442.61</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2,029.28</w:t>
            </w:r>
          </w:p>
        </w:tc>
        <w:tc>
          <w:tcPr>
            <w:tcW w:w="100" w:type="dxa"/>
            <w:vAlign w:val="bottom"/>
            <w:shd w:val="clear" w:color="auto" w:fill="CFF0FC"/>
          </w:tcPr>
          <w:p>
            <w:pPr>
              <w:spacing w:after="0"/>
              <w:rPr>
                <w:sz w:val="18"/>
                <w:szCs w:val="18"/>
                <w:color w:val="auto"/>
              </w:rPr>
            </w:pPr>
          </w:p>
        </w:tc>
      </w:tr>
      <w:tr>
        <w:trPr>
          <w:trHeight w:val="216"/>
        </w:trPr>
        <w:tc>
          <w:tcPr>
            <w:tcW w:w="46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Nasdaq Composite Index</w:t>
            </w: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100.00</w:t>
            </w:r>
          </w:p>
        </w:tc>
        <w:tc>
          <w:tcPr>
            <w:tcW w:w="240" w:type="dxa"/>
            <w:vAlign w:val="bottom"/>
          </w:tcPr>
          <w:p>
            <w:pPr>
              <w:spacing w:after="0"/>
              <w:rPr>
                <w:sz w:val="18"/>
                <w:szCs w:val="18"/>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144.92</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177.06</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119.45</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172.77</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223.87</w:t>
            </w:r>
          </w:p>
        </w:tc>
        <w:tc>
          <w:tcPr>
            <w:tcW w:w="100" w:type="dxa"/>
            <w:vAlign w:val="bottom"/>
          </w:tcPr>
          <w:p>
            <w:pPr>
              <w:spacing w:after="0"/>
              <w:rPr>
                <w:sz w:val="18"/>
                <w:szCs w:val="18"/>
                <w:color w:val="auto"/>
              </w:rPr>
            </w:pPr>
          </w:p>
        </w:tc>
      </w:tr>
      <w:tr>
        <w:trPr>
          <w:trHeight w:val="216"/>
        </w:trPr>
        <w:tc>
          <w:tcPr>
            <w:tcW w:w="46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Nasdaq Computer Index</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100.00</w:t>
            </w:r>
          </w:p>
        </w:tc>
        <w:tc>
          <w:tcPr>
            <w:tcW w:w="240" w:type="dxa"/>
            <w:vAlign w:val="bottom"/>
            <w:shd w:val="clear" w:color="auto" w:fill="CFF0FC"/>
          </w:tcPr>
          <w:p>
            <w:pPr>
              <w:spacing w:after="0"/>
              <w:rPr>
                <w:sz w:val="18"/>
                <w:szCs w:val="18"/>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149.98</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206.76</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132.79</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221.06</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301.44</w:t>
            </w:r>
          </w:p>
        </w:tc>
        <w:tc>
          <w:tcPr>
            <w:tcW w:w="100" w:type="dxa"/>
            <w:vAlign w:val="bottom"/>
            <w:shd w:val="clear" w:color="auto" w:fill="CFF0FC"/>
          </w:tcPr>
          <w:p>
            <w:pPr>
              <w:spacing w:after="0"/>
              <w:rPr>
                <w:sz w:val="18"/>
                <w:szCs w:val="18"/>
                <w:color w:val="auto"/>
              </w:rPr>
            </w:pPr>
          </w:p>
        </w:tc>
      </w:tr>
      <w:tr>
        <w:trPr>
          <w:trHeight w:val="648"/>
        </w:trPr>
        <w:tc>
          <w:tcPr>
            <w:tcW w:w="466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1040" w:type="dxa"/>
            <w:vAlign w:val="bottom"/>
            <w:gridSpan w:val="2"/>
          </w:tcPr>
          <w:p>
            <w:pPr>
              <w:jc w:val="right"/>
              <w:ind w:right="100"/>
              <w:spacing w:after="0"/>
              <w:rPr>
                <w:sz w:val="20"/>
                <w:szCs w:val="20"/>
                <w:color w:val="auto"/>
              </w:rPr>
            </w:pPr>
            <w:r>
              <w:rPr>
                <w:rFonts w:ascii="Times New Roman" w:cs="Times New Roman" w:eastAsia="Times New Roman" w:hAnsi="Times New Roman"/>
                <w:sz w:val="18"/>
                <w:szCs w:val="18"/>
                <w:color w:val="auto"/>
              </w:rPr>
              <w:t>45</w:t>
            </w:r>
          </w:p>
        </w:tc>
        <w:tc>
          <w:tcPr>
            <w:tcW w:w="10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100" w:type="dxa"/>
            <w:vAlign w:val="bottom"/>
          </w:tcPr>
          <w:p>
            <w:pPr>
              <w:spacing w:after="0"/>
              <w:rPr>
                <w:sz w:val="24"/>
                <w:szCs w:val="24"/>
                <w:color w:val="auto"/>
              </w:rPr>
            </w:pPr>
          </w:p>
        </w:tc>
      </w:tr>
      <w:tr>
        <w:trPr>
          <w:trHeight w:val="763"/>
        </w:trPr>
        <w:tc>
          <w:tcPr>
            <w:tcW w:w="466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80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78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80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78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78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8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45" w:name="page46"/>
    <w:bookmarkEnd w:id="45"/>
    <w:p>
      <w:pPr>
        <w:spacing w:after="0"/>
        <w:rPr>
          <w:sz w:val="20"/>
          <w:szCs w:val="20"/>
          <w:color w:val="auto"/>
        </w:rPr>
      </w:pPr>
      <w:r>
        <w:rPr>
          <w:rFonts w:ascii="Times New Roman" w:cs="Times New Roman" w:eastAsia="Times New Roman" w:hAnsi="Times New Roman"/>
          <w:sz w:val="17"/>
          <w:szCs w:val="17"/>
          <w:color w:val="auto"/>
        </w:rPr>
        <w:t>NOTE: Prepared by Zacks Investment Research, Inc. Used with permission. All rights reserved. Copyright 1980-2025.</w:t>
      </w:r>
    </w:p>
    <w:p>
      <w:pPr>
        <w:spacing w:after="0" w:line="3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NOTE: Index Data: Copyright NASDAQ OMX, Inc. Used with permission. All rights reserved.</w:t>
      </w:r>
    </w:p>
    <w:p>
      <w:pPr>
        <w:spacing w:after="0" w:line="200" w:lineRule="exact"/>
        <w:rPr>
          <w:sz w:val="20"/>
          <w:szCs w:val="20"/>
          <w:color w:val="auto"/>
        </w:rPr>
      </w:pPr>
    </w:p>
    <w:p>
      <w:pPr>
        <w:spacing w:after="0" w:line="219" w:lineRule="exact"/>
        <w:rPr>
          <w:sz w:val="20"/>
          <w:szCs w:val="20"/>
          <w:color w:val="auto"/>
        </w:rPr>
      </w:pPr>
    </w:p>
    <w:p>
      <w:pPr>
        <w:spacing w:after="0"/>
        <w:tabs>
          <w:tab w:leader="none" w:pos="700" w:val="left"/>
        </w:tabs>
        <w:rPr>
          <w:sz w:val="20"/>
          <w:szCs w:val="20"/>
          <w:color w:val="auto"/>
        </w:rPr>
      </w:pPr>
      <w:r>
        <w:rPr>
          <w:rFonts w:ascii="Times New Roman" w:cs="Times New Roman" w:eastAsia="Times New Roman" w:hAnsi="Times New Roman"/>
          <w:sz w:val="18"/>
          <w:szCs w:val="18"/>
          <w:b w:val="1"/>
          <w:bCs w:val="1"/>
          <w:color w:val="auto"/>
        </w:rPr>
        <w:t>Item 6.</w:t>
        <w:tab/>
        <w:t>[Reserved]</w:t>
      </w:r>
    </w:p>
    <w:p>
      <w:pPr>
        <w:spacing w:after="0" w:line="229" w:lineRule="exact"/>
        <w:rPr>
          <w:sz w:val="20"/>
          <w:szCs w:val="20"/>
          <w:color w:val="auto"/>
        </w:rPr>
      </w:pPr>
    </w:p>
    <w:p>
      <w:pPr>
        <w:ind w:left="5540"/>
        <w:spacing w:after="0"/>
        <w:rPr>
          <w:sz w:val="20"/>
          <w:szCs w:val="20"/>
          <w:color w:val="auto"/>
        </w:rPr>
      </w:pPr>
      <w:r>
        <w:rPr>
          <w:rFonts w:ascii="Times New Roman" w:cs="Times New Roman" w:eastAsia="Times New Roman" w:hAnsi="Times New Roman"/>
          <w:sz w:val="18"/>
          <w:szCs w:val="18"/>
          <w:color w:val="auto"/>
        </w:rPr>
        <w:t>46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139"/>
          </w:cols>
          <w:pgMar w:left="320" w:top="1188" w:right="1440" w:bottom="1440" w:gutter="0" w:footer="0" w:header="0"/>
        </w:sectPr>
      </w:pPr>
    </w:p>
    <w:bookmarkStart w:id="46" w:name="page47"/>
    <w:bookmarkEnd w:id="46"/>
    <w:p>
      <w:pPr>
        <w:ind w:right="3680"/>
        <w:spacing w:after="0" w:line="378" w:lineRule="auto"/>
        <w:rPr>
          <w:sz w:val="20"/>
          <w:szCs w:val="20"/>
          <w:color w:val="auto"/>
        </w:rPr>
      </w:pPr>
      <w:r>
        <w:rPr>
          <w:rFonts w:ascii="Times New Roman" w:cs="Times New Roman" w:eastAsia="Times New Roman" w:hAnsi="Times New Roman"/>
          <w:sz w:val="18"/>
          <w:szCs w:val="18"/>
          <w:b w:val="1"/>
          <w:bCs w:val="1"/>
          <w:color w:val="auto"/>
        </w:rPr>
        <w:t>Item 7.</w:t>
      </w:r>
      <w:r>
        <w:rPr>
          <w:sz w:val="20"/>
          <w:szCs w:val="20"/>
          <w:color w:val="auto"/>
        </w:rPr>
        <w:t xml:space="preserve"> </w:t>
      </w:r>
      <w:r>
        <w:rPr>
          <w:rFonts w:ascii="Times New Roman" w:cs="Times New Roman" w:eastAsia="Times New Roman" w:hAnsi="Times New Roman"/>
          <w:sz w:val="18"/>
          <w:szCs w:val="18"/>
          <w:b w:val="1"/>
          <w:bCs w:val="1"/>
          <w:color w:val="auto"/>
        </w:rPr>
        <w:t>Management’s Discussion and Analysis of Financial Condition and Results of Operations Forward-Looking Information</w:t>
      </w:r>
    </w:p>
    <w:p>
      <w:pPr>
        <w:jc w:val="both"/>
        <w:spacing w:after="0" w:line="255" w:lineRule="auto"/>
        <w:rPr>
          <w:sz w:val="20"/>
          <w:szCs w:val="20"/>
          <w:color w:val="auto"/>
        </w:rPr>
      </w:pPr>
      <w:r>
        <w:rPr>
          <w:rFonts w:ascii="Times New Roman" w:cs="Times New Roman" w:eastAsia="Times New Roman" w:hAnsi="Times New Roman"/>
          <w:sz w:val="18"/>
          <w:szCs w:val="18"/>
          <w:color w:val="auto"/>
        </w:rPr>
        <w:t>The following discussion and analysis provides information which our management believes is relevant to an assessment and understanding of our financial condition and results of operations. This discussion and analysis should be read together with our consolidated financial statements and related notes that are included elsewhere in this Annual Report on Form 10-K. In addition to historical financial information, this discussion and analysis contains forward-looking statements that are based upon our current expectations, beliefs, estimates and projections, and various assumptions, many of which, by their nature, are inherently uncertain and beyond our control. See the section of this Annual Report on Form 10-K entitled “Forward Looking Information and Risk Factor Summary.” Actual results and timing of selected events may differ materially from those anticipated in these forward-looking statements as a result of various factors, including those set forth under “Part I. Item 1A. Risk Factors” or elsewhere in this Annual Report on Form 10-K.</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10-for-1 stock split</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On August 7, 2024, we completed a 10-for-1 stock split of our class A and class B common stock. See Note 2(a), Summary of Significant Accounting Policies – Basis of Presentation, to the Consolidated Financial Statements, for further information. As a result of the stock split, all applicable share and per share information presented within this “Item 7. Management’s Discussion and Analysis of Financial Condition and Results of Operations” has been retroactively adjusted to reflect the stock split for all periods presented.</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Management’s Discussion and Analysis for the Year Ended December 31, 2022</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Management’s discussion and analysis of financial condition and results of operations for the year ended December 31, 2022, including comparison of our results for the years ended December 31, 2023 and 2022, is included in Item 7 of our Annual Report on Form 10-K for the year ended December 31, 2023.</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Business Overview</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Strategy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 income instruments.</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Our Bitcoin Strategy</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Our bitcoin strategy generally involves from time to time, subject to market conditions, (i) issuing debt or equity securities or engaging in other capital raising transactions with the objective of using the proceeds to purchase bitcoin and (ii) acquiring bitcoin with our liquid assets that exceed working capital requirements. We intend to fund further bitcoin acquisitions primarily through issuances of common stock and a variety of fixed-income instruments, including debt, convertible notes and preferred stock.</w:t>
      </w:r>
    </w:p>
    <w:p>
      <w:pPr>
        <w:spacing w:after="0" w:line="7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view our bitcoin holdings as long-term holdings and expect to continue to accumulate bitcoin. We have not set any specific target for the amount of bitcoin we seek to hold, and we will continue to monitor market conditions in determining whether to engage in additional financings to purchase additional bitcoin. This overall strategy also contemplates that we may (i) periodically sell bitcoin for general corporate purposes or in connection with strategies that generate tax benefits in accordance with applicable law, (ii) enter into additional capital raising transactions that are collateralized by our bitcoin holdings, and (iii) consider pursuing strategies to create income streams or otherwise generate funds using our bitcoin holdings.</w:t>
      </w:r>
    </w:p>
    <w:p>
      <w:pPr>
        <w:spacing w:after="0" w:line="7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Additionally, we periodically engage in advocacy and educational activities regarding the continued acceptance and value of Bitcoin as an open, secure protocol for an internet-native digital capital asset, and we leverage our software development capabilities to explore innovation in Bitcoin applications.</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231F20"/>
        </w:rPr>
        <w:t>Under our Treasury Reserve Policy, our treasury reserve assets consist of:</w:t>
      </w:r>
    </w:p>
    <w:p>
      <w:pPr>
        <w:spacing w:after="0" w:line="104" w:lineRule="exact"/>
        <w:rPr>
          <w:sz w:val="20"/>
          <w:szCs w:val="20"/>
          <w:color w:val="auto"/>
        </w:rPr>
      </w:pPr>
    </w:p>
    <w:p>
      <w:pPr>
        <w:ind w:left="5540" w:right="1280" w:hanging="5158"/>
        <w:spacing w:after="0" w:line="532" w:lineRule="auto"/>
        <w:tabs>
          <w:tab w:leader="none" w:pos="762" w:val="left"/>
        </w:tabs>
        <w:numPr>
          <w:ilvl w:val="0"/>
          <w:numId w:val="29"/>
        </w:numPr>
        <w:rPr>
          <w:rFonts w:ascii="Times New Roman" w:cs="Times New Roman" w:eastAsia="Times New Roman" w:hAnsi="Times New Roman"/>
          <w:sz w:val="18"/>
          <w:szCs w:val="18"/>
          <w:color w:val="231F20"/>
        </w:rPr>
      </w:pPr>
      <w:r>
        <w:rPr>
          <w:rFonts w:ascii="Times New Roman" w:cs="Times New Roman" w:eastAsia="Times New Roman" w:hAnsi="Times New Roman"/>
          <w:sz w:val="18"/>
          <w:szCs w:val="18"/>
          <w:color w:val="231F20"/>
        </w:rPr>
        <w:t xml:space="preserve">cash and cash equivalents and short-term investments (“Cash Assets”) held by us that exceed working capital requirements; and </w:t>
      </w:r>
      <w:r>
        <w:rPr>
          <w:rFonts w:ascii="Times New Roman" w:cs="Times New Roman" w:eastAsia="Times New Roman" w:hAnsi="Times New Roman"/>
          <w:sz w:val="18"/>
          <w:szCs w:val="18"/>
          <w:color w:val="000000"/>
        </w:rPr>
        <w:t>47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307975</wp:posOffset>
            </wp:positionV>
            <wp:extent cx="7157720" cy="42545"/>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47" w:name="page48"/>
    <w:bookmarkEnd w:id="47"/>
    <w:p>
      <w:pPr>
        <w:ind w:left="760" w:hanging="378"/>
        <w:spacing w:after="0" w:line="282" w:lineRule="auto"/>
        <w:tabs>
          <w:tab w:leader="none" w:pos="760"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bitcoin held </w:t>
      </w:r>
      <w:r>
        <w:rPr>
          <w:rFonts w:ascii="Times New Roman" w:cs="Times New Roman" w:eastAsia="Times New Roman" w:hAnsi="Times New Roman"/>
          <w:sz w:val="18"/>
          <w:szCs w:val="18"/>
          <w:color w:val="231F20"/>
        </w:rPr>
        <w:t>by</w:t>
      </w:r>
      <w:r>
        <w:rPr>
          <w:rFonts w:ascii="Times New Roman" w:cs="Times New Roman" w:eastAsia="Times New Roman" w:hAnsi="Times New Roman"/>
          <w:sz w:val="18"/>
          <w:szCs w:val="18"/>
          <w:color w:val="auto"/>
        </w:rPr>
        <w:t xml:space="preserve"> us, with bitcoin serving as the primary treasury reserve asset on an ongoing basis, subject to market conditions and anticipated needs of the business for Cash Assets.</w:t>
      </w:r>
    </w:p>
    <w:p>
      <w:pPr>
        <w:spacing w:after="0" w:line="54"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During 2023 and 2024, we used proceeds from various capital raising transactions to purchase bitcoin. As of December 31, 2024, we held an aggregate of approximately 447,470 bitcoins.</w:t>
      </w:r>
    </w:p>
    <w:p>
      <w:pPr>
        <w:spacing w:after="0" w:line="54"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The following table presents a roll-forward of our bitcoin holdings, including additional information related to our bitcoin purchases, sales, and digital asset impairment losses within the respective periods:</w:t>
      </w:r>
    </w:p>
    <w:p>
      <w:pPr>
        <w:spacing w:after="0" w:line="251"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3580" w:type="dxa"/>
            <w:vAlign w:val="bottom"/>
          </w:tcPr>
          <w:p>
            <w:pPr>
              <w:spacing w:after="0"/>
              <w:rPr>
                <w:sz w:val="13"/>
                <w:szCs w:val="13"/>
                <w:color w:val="auto"/>
              </w:rPr>
            </w:pPr>
          </w:p>
        </w:tc>
        <w:tc>
          <w:tcPr>
            <w:tcW w:w="118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Source of Capital</w:t>
            </w:r>
          </w:p>
        </w:tc>
        <w:tc>
          <w:tcPr>
            <w:tcW w:w="1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60" w:type="dxa"/>
            <w:vAlign w:val="bottom"/>
          </w:tcPr>
          <w:p>
            <w:pPr>
              <w:jc w:val="center"/>
              <w:ind w:right="95"/>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1180" w:type="dxa"/>
            <w:vAlign w:val="bottom"/>
            <w:gridSpan w:val="2"/>
          </w:tcPr>
          <w:p>
            <w:pPr>
              <w:jc w:val="center"/>
              <w:ind w:right="281"/>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120" w:type="dxa"/>
            <w:vAlign w:val="bottom"/>
          </w:tcPr>
          <w:p>
            <w:pPr>
              <w:spacing w:after="0"/>
              <w:rPr>
                <w:sz w:val="13"/>
                <w:szCs w:val="13"/>
                <w:color w:val="auto"/>
              </w:rPr>
            </w:pPr>
          </w:p>
        </w:tc>
        <w:tc>
          <w:tcPr>
            <w:tcW w:w="1140" w:type="dxa"/>
            <w:vAlign w:val="bottom"/>
            <w:gridSpan w:val="2"/>
            <w:vMerge w:val="restart"/>
          </w:tcPr>
          <w:p>
            <w:pPr>
              <w:jc w:val="center"/>
              <w:ind w:right="360"/>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112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1100" w:type="dxa"/>
            <w:vAlign w:val="bottom"/>
            <w:gridSpan w:val="2"/>
          </w:tcPr>
          <w:p>
            <w:pPr>
              <w:jc w:val="center"/>
              <w:ind w:right="260"/>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0" w:type="dxa"/>
            <w:vAlign w:val="bottom"/>
          </w:tcPr>
          <w:p>
            <w:pPr>
              <w:spacing w:after="0"/>
              <w:rPr>
                <w:sz w:val="1"/>
                <w:szCs w:val="1"/>
                <w:color w:val="auto"/>
              </w:rPr>
            </w:pPr>
          </w:p>
        </w:tc>
      </w:tr>
      <w:tr>
        <w:trPr>
          <w:trHeight w:val="148"/>
        </w:trPr>
        <w:tc>
          <w:tcPr>
            <w:tcW w:w="3580" w:type="dxa"/>
            <w:vAlign w:val="bottom"/>
          </w:tcPr>
          <w:p>
            <w:pPr>
              <w:spacing w:after="0"/>
              <w:rPr>
                <w:sz w:val="12"/>
                <w:szCs w:val="12"/>
                <w:color w:val="auto"/>
              </w:rPr>
            </w:pPr>
          </w:p>
        </w:tc>
        <w:tc>
          <w:tcPr>
            <w:tcW w:w="1180" w:type="dxa"/>
            <w:vAlign w:val="bottom"/>
            <w:vMerge w:val="continue"/>
          </w:tcPr>
          <w:p>
            <w:pPr>
              <w:spacing w:after="0"/>
              <w:rPr>
                <w:sz w:val="12"/>
                <w:szCs w:val="12"/>
                <w:color w:val="auto"/>
              </w:rPr>
            </w:pPr>
          </w:p>
        </w:tc>
        <w:tc>
          <w:tcPr>
            <w:tcW w:w="100" w:type="dxa"/>
            <w:vAlign w:val="bottom"/>
          </w:tcPr>
          <w:p>
            <w:pPr>
              <w:spacing w:after="0"/>
              <w:rPr>
                <w:sz w:val="12"/>
                <w:szCs w:val="12"/>
                <w:color w:val="auto"/>
              </w:rPr>
            </w:pPr>
          </w:p>
        </w:tc>
        <w:tc>
          <w:tcPr>
            <w:tcW w:w="108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Original Cost</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180" w:type="dxa"/>
            <w:vAlign w:val="bottom"/>
            <w:gridSpan w:val="2"/>
          </w:tcPr>
          <w:p>
            <w:pPr>
              <w:jc w:val="center"/>
              <w:ind w:right="281"/>
              <w:spacing w:after="0" w:line="149" w:lineRule="exact"/>
              <w:rPr>
                <w:sz w:val="20"/>
                <w:szCs w:val="20"/>
                <w:color w:val="auto"/>
              </w:rPr>
            </w:pPr>
            <w:r>
              <w:rPr>
                <w:rFonts w:ascii="Times New Roman" w:cs="Times New Roman" w:eastAsia="Times New Roman" w:hAnsi="Times New Roman"/>
                <w:sz w:val="14"/>
                <w:szCs w:val="14"/>
                <w:b w:val="1"/>
                <w:bCs w:val="1"/>
                <w:color w:val="auto"/>
              </w:rPr>
              <w:t>Impairment</w:t>
            </w:r>
          </w:p>
        </w:tc>
        <w:tc>
          <w:tcPr>
            <w:tcW w:w="120" w:type="dxa"/>
            <w:vAlign w:val="bottom"/>
          </w:tcPr>
          <w:p>
            <w:pPr>
              <w:spacing w:after="0"/>
              <w:rPr>
                <w:sz w:val="12"/>
                <w:szCs w:val="12"/>
                <w:color w:val="auto"/>
              </w:rPr>
            </w:pPr>
          </w:p>
        </w:tc>
        <w:tc>
          <w:tcPr>
            <w:tcW w:w="1140" w:type="dxa"/>
            <w:vAlign w:val="bottom"/>
            <w:gridSpan w:val="2"/>
            <w:vMerge w:val="continue"/>
          </w:tcPr>
          <w:p>
            <w:pPr>
              <w:spacing w:after="0"/>
              <w:rPr>
                <w:sz w:val="12"/>
                <w:szCs w:val="12"/>
                <w:color w:val="auto"/>
              </w:rPr>
            </w:pPr>
          </w:p>
        </w:tc>
        <w:tc>
          <w:tcPr>
            <w:tcW w:w="112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100" w:type="dxa"/>
            <w:vAlign w:val="bottom"/>
            <w:gridSpan w:val="2"/>
          </w:tcPr>
          <w:p>
            <w:pPr>
              <w:jc w:val="center"/>
              <w:ind w:right="260"/>
              <w:spacing w:after="0" w:line="149" w:lineRule="exact"/>
              <w:rPr>
                <w:sz w:val="20"/>
                <w:szCs w:val="20"/>
                <w:color w:val="auto"/>
              </w:rPr>
            </w:pPr>
            <w:r>
              <w:rPr>
                <w:rFonts w:ascii="Times New Roman" w:cs="Times New Roman" w:eastAsia="Times New Roman" w:hAnsi="Times New Roman"/>
                <w:sz w:val="14"/>
                <w:szCs w:val="14"/>
                <w:b w:val="1"/>
                <w:bCs w:val="1"/>
                <w:color w:val="auto"/>
              </w:rPr>
              <w:t>Average</w:t>
            </w:r>
          </w:p>
        </w:tc>
        <w:tc>
          <w:tcPr>
            <w:tcW w:w="0" w:type="dxa"/>
            <w:vAlign w:val="bottom"/>
          </w:tcPr>
          <w:p>
            <w:pPr>
              <w:spacing w:after="0"/>
              <w:rPr>
                <w:sz w:val="1"/>
                <w:szCs w:val="1"/>
                <w:color w:val="auto"/>
              </w:rPr>
            </w:pPr>
          </w:p>
        </w:tc>
      </w:tr>
      <w:tr>
        <w:trPr>
          <w:trHeight w:val="148"/>
        </w:trPr>
        <w:tc>
          <w:tcPr>
            <w:tcW w:w="3580" w:type="dxa"/>
            <w:vAlign w:val="bottom"/>
          </w:tcPr>
          <w:p>
            <w:pPr>
              <w:spacing w:after="0"/>
              <w:rPr>
                <w:sz w:val="12"/>
                <w:szCs w:val="12"/>
                <w:color w:val="auto"/>
              </w:rPr>
            </w:pPr>
          </w:p>
        </w:tc>
        <w:tc>
          <w:tcPr>
            <w:tcW w:w="11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Used to Purchase</w:t>
            </w:r>
          </w:p>
        </w:tc>
        <w:tc>
          <w:tcPr>
            <w:tcW w:w="10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960" w:type="dxa"/>
            <w:vAlign w:val="bottom"/>
          </w:tcPr>
          <w:p>
            <w:pPr>
              <w:jc w:val="center"/>
              <w:ind w:right="35"/>
              <w:spacing w:after="0" w:line="149" w:lineRule="exact"/>
              <w:rPr>
                <w:sz w:val="20"/>
                <w:szCs w:val="20"/>
                <w:color w:val="auto"/>
              </w:rPr>
            </w:pPr>
            <w:r>
              <w:rPr>
                <w:rFonts w:ascii="Times New Roman" w:cs="Times New Roman" w:eastAsia="Times New Roman" w:hAnsi="Times New Roman"/>
                <w:sz w:val="14"/>
                <w:szCs w:val="14"/>
                <w:b w:val="1"/>
                <w:bCs w:val="1"/>
                <w:color w:val="auto"/>
              </w:rPr>
              <w:t>Basis</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180" w:type="dxa"/>
            <w:vAlign w:val="bottom"/>
            <w:gridSpan w:val="2"/>
          </w:tcPr>
          <w:p>
            <w:pPr>
              <w:jc w:val="center"/>
              <w:ind w:right="301"/>
              <w:spacing w:after="0" w:line="149" w:lineRule="exact"/>
              <w:rPr>
                <w:sz w:val="20"/>
                <w:szCs w:val="20"/>
                <w:color w:val="auto"/>
              </w:rPr>
            </w:pPr>
            <w:r>
              <w:rPr>
                <w:rFonts w:ascii="Times New Roman" w:cs="Times New Roman" w:eastAsia="Times New Roman" w:hAnsi="Times New Roman"/>
                <w:sz w:val="14"/>
                <w:szCs w:val="14"/>
                <w:b w:val="1"/>
                <w:bCs w:val="1"/>
                <w:color w:val="auto"/>
              </w:rPr>
              <w:t>Losses</w:t>
            </w:r>
          </w:p>
        </w:tc>
        <w:tc>
          <w:tcPr>
            <w:tcW w:w="1260" w:type="dxa"/>
            <w:vAlign w:val="bottom"/>
            <w:gridSpan w:val="3"/>
          </w:tcPr>
          <w:p>
            <w:pPr>
              <w:jc w:val="center"/>
              <w:ind w:right="220"/>
              <w:spacing w:after="0" w:line="149" w:lineRule="exact"/>
              <w:rPr>
                <w:sz w:val="20"/>
                <w:szCs w:val="20"/>
                <w:color w:val="auto"/>
              </w:rPr>
            </w:pPr>
            <w:r>
              <w:rPr>
                <w:rFonts w:ascii="Times New Roman" w:cs="Times New Roman" w:eastAsia="Times New Roman" w:hAnsi="Times New Roman"/>
                <w:sz w:val="14"/>
                <w:szCs w:val="14"/>
                <w:b w:val="1"/>
                <w:bCs w:val="1"/>
                <w:color w:val="auto"/>
              </w:rPr>
              <w:t>Carrying Value</w:t>
            </w:r>
          </w:p>
        </w:tc>
        <w:tc>
          <w:tcPr>
            <w:tcW w:w="11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Number of</w:t>
            </w:r>
          </w:p>
        </w:tc>
        <w:tc>
          <w:tcPr>
            <w:tcW w:w="220" w:type="dxa"/>
            <w:vAlign w:val="bottom"/>
          </w:tcPr>
          <w:p>
            <w:pPr>
              <w:spacing w:after="0"/>
              <w:rPr>
                <w:sz w:val="12"/>
                <w:szCs w:val="12"/>
                <w:color w:val="auto"/>
              </w:rPr>
            </w:pPr>
          </w:p>
        </w:tc>
        <w:tc>
          <w:tcPr>
            <w:tcW w:w="1200" w:type="dxa"/>
            <w:vAlign w:val="bottom"/>
            <w:gridSpan w:val="3"/>
          </w:tcPr>
          <w:p>
            <w:pPr>
              <w:jc w:val="center"/>
              <w:ind w:right="160"/>
              <w:spacing w:after="0" w:line="149" w:lineRule="exact"/>
              <w:rPr>
                <w:sz w:val="20"/>
                <w:szCs w:val="20"/>
                <w:color w:val="auto"/>
              </w:rPr>
            </w:pPr>
            <w:r>
              <w:rPr>
                <w:rFonts w:ascii="Times New Roman" w:cs="Times New Roman" w:eastAsia="Times New Roman" w:hAnsi="Times New Roman"/>
                <w:sz w:val="14"/>
                <w:szCs w:val="14"/>
                <w:b w:val="1"/>
                <w:bCs w:val="1"/>
                <w:color w:val="auto"/>
              </w:rPr>
              <w:t>Purchase Price</w:t>
            </w:r>
          </w:p>
        </w:tc>
        <w:tc>
          <w:tcPr>
            <w:tcW w:w="0" w:type="dxa"/>
            <w:vAlign w:val="bottom"/>
          </w:tcPr>
          <w:p>
            <w:pPr>
              <w:spacing w:after="0"/>
              <w:rPr>
                <w:sz w:val="1"/>
                <w:szCs w:val="1"/>
                <w:color w:val="auto"/>
              </w:rPr>
            </w:pPr>
          </w:p>
        </w:tc>
      </w:tr>
      <w:tr>
        <w:trPr>
          <w:trHeight w:val="173"/>
        </w:trPr>
        <w:tc>
          <w:tcPr>
            <w:tcW w:w="3580" w:type="dxa"/>
            <w:vAlign w:val="bottom"/>
          </w:tcPr>
          <w:p>
            <w:pPr>
              <w:spacing w:after="0"/>
              <w:rPr>
                <w:sz w:val="15"/>
                <w:szCs w:val="15"/>
                <w:color w:val="auto"/>
              </w:rPr>
            </w:pPr>
          </w:p>
        </w:tc>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Bitcoin</w:t>
            </w:r>
          </w:p>
        </w:tc>
        <w:tc>
          <w:tcPr>
            <w:tcW w:w="100" w:type="dxa"/>
            <w:vAlign w:val="bottom"/>
          </w:tcPr>
          <w:p>
            <w:pPr>
              <w:spacing w:after="0"/>
              <w:rPr>
                <w:sz w:val="15"/>
                <w:szCs w:val="15"/>
                <w:color w:val="auto"/>
              </w:rPr>
            </w:pPr>
          </w:p>
        </w:tc>
        <w:tc>
          <w:tcPr>
            <w:tcW w:w="1080" w:type="dxa"/>
            <w:vAlign w:val="bottom"/>
            <w:gridSpan w:val="2"/>
          </w:tcPr>
          <w:p>
            <w:pPr>
              <w:jc w:val="center"/>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220" w:type="dxa"/>
            <w:vAlign w:val="bottom"/>
          </w:tcPr>
          <w:p>
            <w:pPr>
              <w:spacing w:after="0"/>
              <w:rPr>
                <w:sz w:val="15"/>
                <w:szCs w:val="15"/>
                <w:color w:val="auto"/>
              </w:rPr>
            </w:pPr>
          </w:p>
        </w:tc>
        <w:tc>
          <w:tcPr>
            <w:tcW w:w="1280" w:type="dxa"/>
            <w:vAlign w:val="bottom"/>
            <w:gridSpan w:val="3"/>
          </w:tcPr>
          <w:p>
            <w:pPr>
              <w:jc w:val="center"/>
              <w:ind w:right="161"/>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1260" w:type="dxa"/>
            <w:vAlign w:val="bottom"/>
            <w:gridSpan w:val="3"/>
          </w:tcPr>
          <w:p>
            <w:pPr>
              <w:jc w:val="center"/>
              <w:ind w:right="220"/>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112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Bitcoins Held</w:t>
            </w:r>
          </w:p>
        </w:tc>
        <w:tc>
          <w:tcPr>
            <w:tcW w:w="2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100" w:type="dxa"/>
            <w:vAlign w:val="bottom"/>
            <w:gridSpan w:val="2"/>
          </w:tcPr>
          <w:p>
            <w:pPr>
              <w:jc w:val="center"/>
              <w:ind w:right="220"/>
              <w:spacing w:after="0"/>
              <w:rPr>
                <w:sz w:val="20"/>
                <w:szCs w:val="20"/>
                <w:color w:val="auto"/>
              </w:rPr>
            </w:pPr>
            <w:r>
              <w:rPr>
                <w:rFonts w:ascii="Times New Roman" w:cs="Times New Roman" w:eastAsia="Times New Roman" w:hAnsi="Times New Roman"/>
                <w:sz w:val="14"/>
                <w:szCs w:val="14"/>
                <w:b w:val="1"/>
                <w:bCs w:val="1"/>
                <w:color w:val="auto"/>
              </w:rPr>
              <w:t>Per Bitcoin</w:t>
            </w:r>
          </w:p>
        </w:tc>
        <w:tc>
          <w:tcPr>
            <w:tcW w:w="0" w:type="dxa"/>
            <w:vAlign w:val="bottom"/>
          </w:tcPr>
          <w:p>
            <w:pPr>
              <w:spacing w:after="0"/>
              <w:rPr>
                <w:sz w:val="1"/>
                <w:szCs w:val="1"/>
                <w:color w:val="auto"/>
              </w:rPr>
            </w:pPr>
          </w:p>
        </w:tc>
      </w:tr>
      <w:tr>
        <w:trPr>
          <w:trHeight w:val="210"/>
        </w:trPr>
        <w:tc>
          <w:tcPr>
            <w:tcW w:w="358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December 31, 2022</w:t>
            </w:r>
          </w:p>
        </w:tc>
        <w:tc>
          <w:tcPr>
            <w:tcW w:w="1180" w:type="dxa"/>
            <w:vAlign w:val="bottom"/>
            <w:tcBorders>
              <w:top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1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3,993,190</w:t>
            </w:r>
          </w:p>
        </w:tc>
        <w:tc>
          <w:tcPr>
            <w:tcW w:w="220" w:type="dxa"/>
            <w:vAlign w:val="bottom"/>
          </w:tcPr>
          <w:p>
            <w:pPr>
              <w:spacing w:after="0"/>
              <w:rPr>
                <w:sz w:val="18"/>
                <w:szCs w:val="18"/>
                <w:color w:val="auto"/>
              </w:rPr>
            </w:pPr>
          </w:p>
        </w:tc>
        <w:tc>
          <w:tcPr>
            <w:tcW w:w="1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(2,153,162</w:t>
            </w:r>
          </w:p>
        </w:tc>
        <w:tc>
          <w:tcPr>
            <w:tcW w:w="200" w:type="dxa"/>
            <w:vAlign w:val="bottom"/>
          </w:tcPr>
          <w:p>
            <w:pPr>
              <w:jc w:val="right"/>
              <w:ind w:right="61"/>
              <w:spacing w:after="0"/>
              <w:rPr>
                <w:sz w:val="20"/>
                <w:szCs w:val="20"/>
                <w:color w:val="auto"/>
              </w:rPr>
            </w:pPr>
            <w:r>
              <w:rPr>
                <w:rFonts w:ascii="Times New Roman" w:cs="Times New Roman" w:eastAsia="Times New Roman" w:hAnsi="Times New Roman"/>
                <w:sz w:val="16"/>
                <w:szCs w:val="16"/>
                <w:b w:val="1"/>
                <w:bCs w:val="1"/>
                <w:color w:val="auto"/>
                <w:w w:val="74"/>
              </w:rPr>
              <w:t>)</w:t>
            </w:r>
          </w:p>
        </w:tc>
        <w:tc>
          <w:tcPr>
            <w:tcW w:w="1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1,840,028</w:t>
            </w:r>
          </w:p>
        </w:tc>
        <w:tc>
          <w:tcPr>
            <w:tcW w:w="220" w:type="dxa"/>
            <w:vAlign w:val="bottom"/>
          </w:tcPr>
          <w:p>
            <w:pPr>
              <w:spacing w:after="0"/>
              <w:rPr>
                <w:sz w:val="18"/>
                <w:szCs w:val="18"/>
                <w:color w:val="auto"/>
              </w:rPr>
            </w:pPr>
          </w:p>
        </w:tc>
        <w:tc>
          <w:tcPr>
            <w:tcW w:w="11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132,500</w:t>
            </w:r>
          </w:p>
        </w:tc>
        <w:tc>
          <w:tcPr>
            <w:tcW w:w="220" w:type="dxa"/>
            <w:vAlign w:val="bottom"/>
          </w:tcPr>
          <w:p>
            <w:pPr>
              <w:spacing w:after="0"/>
              <w:rPr>
                <w:sz w:val="18"/>
                <w:szCs w:val="18"/>
                <w:color w:val="auto"/>
              </w:rPr>
            </w:pPr>
          </w:p>
        </w:tc>
        <w:tc>
          <w:tcPr>
            <w:tcW w:w="1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30,137</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58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Digital asset purchases</w:t>
            </w:r>
          </w:p>
        </w:tc>
        <w:tc>
          <w:tcPr>
            <w:tcW w:w="118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4"/>
                <w:szCs w:val="14"/>
                <w:color w:val="auto"/>
              </w:rPr>
              <w:t>(a)</w:t>
            </w:r>
          </w:p>
        </w:tc>
        <w:tc>
          <w:tcPr>
            <w:tcW w:w="10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1,902,299</w:t>
            </w:r>
          </w:p>
        </w:tc>
        <w:tc>
          <w:tcPr>
            <w:tcW w:w="2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1,902,299</w:t>
            </w:r>
          </w:p>
        </w:tc>
        <w:tc>
          <w:tcPr>
            <w:tcW w:w="220" w:type="dxa"/>
            <w:vAlign w:val="bottom"/>
            <w:shd w:val="clear" w:color="auto" w:fill="CFF0FC"/>
          </w:tcPr>
          <w:p>
            <w:pPr>
              <w:spacing w:after="0"/>
              <w:rPr>
                <w:sz w:val="18"/>
                <w:szCs w:val="18"/>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56,650</w:t>
            </w:r>
          </w:p>
        </w:tc>
        <w:tc>
          <w:tcPr>
            <w:tcW w:w="2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33,580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58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1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color w:val="auto"/>
              </w:rPr>
              <w:t>(115,851 )</w:t>
            </w:r>
          </w:p>
        </w:tc>
        <w:tc>
          <w:tcPr>
            <w:tcW w:w="120" w:type="dxa"/>
            <w:vAlign w:val="bottom"/>
          </w:tcPr>
          <w:p>
            <w:pPr>
              <w:spacing w:after="0"/>
              <w:rPr>
                <w:sz w:val="18"/>
                <w:szCs w:val="18"/>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(115,851 )</w:t>
            </w:r>
          </w:p>
        </w:tc>
        <w:tc>
          <w:tcPr>
            <w:tcW w:w="112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0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December 31, 2023</w:t>
            </w:r>
          </w:p>
        </w:tc>
        <w:tc>
          <w:tcPr>
            <w:tcW w:w="1180" w:type="dxa"/>
            <w:vAlign w:val="bottom"/>
            <w:shd w:val="clear" w:color="auto" w:fill="CFF0FC"/>
          </w:tcPr>
          <w:p>
            <w:pPr>
              <w:spacing w:after="0"/>
              <w:rPr>
                <w:sz w:val="18"/>
                <w:szCs w:val="18"/>
                <w:color w:val="auto"/>
              </w:rPr>
            </w:pPr>
          </w:p>
        </w:tc>
        <w:tc>
          <w:tcPr>
            <w:tcW w:w="2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5,895,489</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300" w:type="dxa"/>
            <w:vAlign w:val="bottom"/>
            <w:gridSpan w:val="3"/>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(2,269,013 )  $</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3,626,476</w:t>
            </w:r>
          </w:p>
        </w:tc>
        <w:tc>
          <w:tcPr>
            <w:tcW w:w="220" w:type="dxa"/>
            <w:vAlign w:val="bottom"/>
            <w:shd w:val="clear" w:color="auto" w:fill="CFF0FC"/>
          </w:tcPr>
          <w:p>
            <w:pPr>
              <w:spacing w:after="0"/>
              <w:rPr>
                <w:sz w:val="18"/>
                <w:szCs w:val="18"/>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189,150</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31,168</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58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 purchases</w:t>
            </w:r>
          </w:p>
        </w:tc>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(b)</w:t>
            </w: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22,072,759</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22,072,759</w:t>
            </w:r>
          </w:p>
        </w:tc>
        <w:tc>
          <w:tcPr>
            <w:tcW w:w="22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258,320</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85,447</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58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1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c>
          <w:tcPr>
            <w:tcW w:w="96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180" w:type="dxa"/>
            <w:vAlign w:val="bottom"/>
            <w:gridSpan w:val="2"/>
            <w:shd w:val="clear" w:color="auto" w:fill="CFF0FC"/>
          </w:tcPr>
          <w:p>
            <w:pPr>
              <w:jc w:val="right"/>
              <w:ind w:right="61"/>
              <w:spacing w:after="0"/>
              <w:rPr>
                <w:sz w:val="20"/>
                <w:szCs w:val="20"/>
                <w:color w:val="auto"/>
              </w:rPr>
            </w:pPr>
            <w:r>
              <w:rPr>
                <w:rFonts w:ascii="Times New Roman" w:cs="Times New Roman" w:eastAsia="Times New Roman" w:hAnsi="Times New Roman"/>
                <w:sz w:val="18"/>
                <w:szCs w:val="18"/>
                <w:color w:val="auto"/>
              </w:rPr>
              <w:t>(1,789,862 )</w:t>
            </w:r>
          </w:p>
        </w:tc>
        <w:tc>
          <w:tcPr>
            <w:tcW w:w="120" w:type="dxa"/>
            <w:vAlign w:val="bottom"/>
            <w:shd w:val="clear" w:color="auto" w:fill="CFF0FC"/>
          </w:tcPr>
          <w:p>
            <w:pPr>
              <w:spacing w:after="0"/>
              <w:rPr>
                <w:sz w:val="18"/>
                <w:szCs w:val="18"/>
                <w:color w:val="auto"/>
              </w:rPr>
            </w:pPr>
          </w:p>
        </w:tc>
        <w:tc>
          <w:tcPr>
            <w:tcW w:w="11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(1,789,862 )</w:t>
            </w:r>
          </w:p>
        </w:tc>
        <w:tc>
          <w:tcPr>
            <w:tcW w:w="112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0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3580" w:type="dxa"/>
            <w:vAlign w:val="bottom"/>
            <w:shd w:val="clear" w:color="auto" w:fill="CFF0FC"/>
          </w:tcPr>
          <w:p>
            <w:pPr>
              <w:spacing w:after="0" w:line="20" w:lineRule="exact"/>
              <w:rPr>
                <w:sz w:val="1"/>
                <w:szCs w:val="1"/>
                <w:color w:val="auto"/>
              </w:rPr>
            </w:pPr>
          </w:p>
        </w:tc>
        <w:tc>
          <w:tcPr>
            <w:tcW w:w="1180" w:type="dxa"/>
            <w:vAlign w:val="bottom"/>
            <w:shd w:val="clear" w:color="auto" w:fill="CFF0FC"/>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96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0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92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12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100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2"/>
        </w:trPr>
        <w:tc>
          <w:tcPr>
            <w:tcW w:w="358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December 31, 2024</w:t>
            </w:r>
          </w:p>
        </w:tc>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27,968,248</w:t>
            </w:r>
          </w:p>
        </w:tc>
        <w:tc>
          <w:tcPr>
            <w:tcW w:w="220" w:type="dxa"/>
            <w:vAlign w:val="bottom"/>
          </w:tcPr>
          <w:p>
            <w:pPr>
              <w:spacing w:after="0"/>
              <w:rPr>
                <w:sz w:val="20"/>
                <w:szCs w:val="20"/>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b w:val="1"/>
                <w:bCs w:val="1"/>
                <w:color w:val="auto"/>
              </w:rPr>
              <w:t>(4,058,875 )</w:t>
            </w: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23,909,373</w:t>
            </w:r>
          </w:p>
        </w:tc>
        <w:tc>
          <w:tcPr>
            <w:tcW w:w="220" w:type="dxa"/>
            <w:vAlign w:val="bottom"/>
          </w:tcPr>
          <w:p>
            <w:pPr>
              <w:spacing w:after="0"/>
              <w:rPr>
                <w:sz w:val="20"/>
                <w:szCs w:val="20"/>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447,470</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62,503</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3768090</wp:posOffset>
            </wp:positionH>
            <wp:positionV relativeFrom="paragraph">
              <wp:posOffset>-159385</wp:posOffset>
            </wp:positionV>
            <wp:extent cx="68580" cy="825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4591050</wp:posOffset>
            </wp:positionH>
            <wp:positionV relativeFrom="paragraph">
              <wp:posOffset>-159385</wp:posOffset>
            </wp:positionV>
            <wp:extent cx="68580" cy="825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5388610</wp:posOffset>
            </wp:positionH>
            <wp:positionV relativeFrom="paragraph">
              <wp:posOffset>-159385</wp:posOffset>
            </wp:positionV>
            <wp:extent cx="68580" cy="825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6236970</wp:posOffset>
            </wp:positionH>
            <wp:positionV relativeFrom="paragraph">
              <wp:posOffset>-159385</wp:posOffset>
            </wp:positionV>
            <wp:extent cx="68580" cy="825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-159385</wp:posOffset>
            </wp:positionV>
            <wp:extent cx="68580" cy="825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46" w:lineRule="exact"/>
        <w:rPr>
          <w:sz w:val="20"/>
          <w:szCs w:val="20"/>
          <w:color w:val="auto"/>
        </w:rPr>
      </w:pPr>
    </w:p>
    <w:p>
      <w:pPr>
        <w:ind w:left="380" w:right="20" w:hanging="372"/>
        <w:spacing w:after="0" w:line="298" w:lineRule="auto"/>
        <w:tabs>
          <w:tab w:leader="none" w:pos="380" w:val="left"/>
        </w:tabs>
        <w:numPr>
          <w:ilvl w:val="0"/>
          <w:numId w:val="31"/>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During 2023, we purchased bitcoin using $1.864 billion of the net proceeds from our sale of class A common stock under our at-the-market equity offering programs, and $37.9 million of Excess Cash.</w:t>
      </w:r>
    </w:p>
    <w:p>
      <w:pPr>
        <w:spacing w:after="0" w:line="56" w:lineRule="exact"/>
        <w:rPr>
          <w:rFonts w:ascii="Times New Roman" w:cs="Times New Roman" w:eastAsia="Times New Roman" w:hAnsi="Times New Roman"/>
          <w:sz w:val="16"/>
          <w:szCs w:val="16"/>
          <w:color w:val="auto"/>
        </w:rPr>
      </w:pPr>
    </w:p>
    <w:p>
      <w:pPr>
        <w:jc w:val="both"/>
        <w:ind w:left="380" w:hanging="372"/>
        <w:spacing w:after="0" w:line="275" w:lineRule="auto"/>
        <w:tabs>
          <w:tab w:leader="none" w:pos="380" w:val="left"/>
        </w:tabs>
        <w:numPr>
          <w:ilvl w:val="0"/>
          <w:numId w:val="31"/>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During 2024, we purchased bitcoin using $16.330 billion of the net proceeds from our sale of class A common stock under our at-the-market equity offering program, $2.974 billion of the net proceeds from our issuance of the 2029 Convertible Notes, $782.0 million of the net proceeds from our issuance of the 2030 Convertible Notes, $756.0 million of the net proceeds from our issuance of the 2032 Convertible Notes, $592.3 million of the net proceeds from our issuance of the 2031 Convertible Notes, $458.2 million of the net proceeds from our issuance of the 2028 Convertible Notes, and $179.7 million of Excess Cash.</w:t>
      </w:r>
    </w:p>
    <w:p>
      <w:pPr>
        <w:spacing w:after="0" w:line="17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Excess Cash refers to cash in excess of the minimum Cash Assets that we are required to hold under our Treasury Reserve Policy, which may include cash generated by operating activities and cash from the proceeds of financing activities.</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following table shows the approximate number of bitcoins held at the end of each respective period, as well as market value calculations of our bitcoin holdings based on the lowest, highest, and ending market prices of one bitcoin on the Coinbase exchange (our principal market) for each respective year, as further defined below:</w:t>
      </w:r>
    </w:p>
    <w:p>
      <w:pPr>
        <w:spacing w:after="0" w:line="157"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1940" w:type="dxa"/>
            <w:vAlign w:val="bottom"/>
          </w:tcPr>
          <w:p>
            <w:pPr>
              <w:spacing w:after="0"/>
              <w:rPr>
                <w:sz w:val="13"/>
                <w:szCs w:val="13"/>
                <w:color w:val="auto"/>
              </w:rPr>
            </w:pPr>
          </w:p>
        </w:tc>
        <w:tc>
          <w:tcPr>
            <w:tcW w:w="102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120" w:type="dxa"/>
            <w:vAlign w:val="bottom"/>
            <w:gridSpan w:val="2"/>
          </w:tcPr>
          <w:p>
            <w:pPr>
              <w:ind w:left="40"/>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22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120" w:type="dxa"/>
            <w:vAlign w:val="bottom"/>
            <w:gridSpan w:val="2"/>
          </w:tcPr>
          <w:p>
            <w:pPr>
              <w:ind w:left="20"/>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22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1360" w:type="dxa"/>
            <w:vAlign w:val="bottom"/>
            <w:gridSpan w:val="3"/>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0" w:type="dxa"/>
            <w:vAlign w:val="bottom"/>
          </w:tcPr>
          <w:p>
            <w:pPr>
              <w:spacing w:after="0"/>
              <w:rPr>
                <w:sz w:val="1"/>
                <w:szCs w:val="1"/>
                <w:color w:val="auto"/>
              </w:rPr>
            </w:pPr>
          </w:p>
        </w:tc>
      </w:tr>
      <w:tr>
        <w:trPr>
          <w:trHeight w:val="148"/>
        </w:trPr>
        <w:tc>
          <w:tcPr>
            <w:tcW w:w="1940" w:type="dxa"/>
            <w:vAlign w:val="bottom"/>
          </w:tcPr>
          <w:p>
            <w:pPr>
              <w:spacing w:after="0"/>
              <w:rPr>
                <w:sz w:val="12"/>
                <w:szCs w:val="12"/>
                <w:color w:val="auto"/>
              </w:rPr>
            </w:pPr>
          </w:p>
        </w:tc>
        <w:tc>
          <w:tcPr>
            <w:tcW w:w="102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24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2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92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2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9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40" w:type="dxa"/>
            <w:vAlign w:val="bottom"/>
            <w:gridSpan w:val="2"/>
          </w:tcPr>
          <w:p>
            <w:pPr>
              <w:jc w:val="center"/>
              <w:ind w:right="260"/>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0" w:type="dxa"/>
            <w:vAlign w:val="bottom"/>
          </w:tcPr>
          <w:p>
            <w:pPr>
              <w:spacing w:after="0"/>
              <w:rPr>
                <w:sz w:val="1"/>
                <w:szCs w:val="1"/>
                <w:color w:val="auto"/>
              </w:rPr>
            </w:pPr>
          </w:p>
        </w:tc>
      </w:tr>
      <w:tr>
        <w:trPr>
          <w:trHeight w:val="149"/>
        </w:trPr>
        <w:tc>
          <w:tcPr>
            <w:tcW w:w="1940" w:type="dxa"/>
            <w:vAlign w:val="bottom"/>
          </w:tcPr>
          <w:p>
            <w:pPr>
              <w:spacing w:after="0"/>
              <w:rPr>
                <w:sz w:val="12"/>
                <w:szCs w:val="12"/>
                <w:color w:val="auto"/>
              </w:rPr>
            </w:pPr>
          </w:p>
        </w:tc>
        <w:tc>
          <w:tcPr>
            <w:tcW w:w="102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1120" w:type="dxa"/>
            <w:vAlign w:val="bottom"/>
            <w:gridSpan w:val="2"/>
            <w:vMerge w:val="restart"/>
          </w:tcPr>
          <w:p>
            <w:pPr>
              <w:ind w:left="80"/>
              <w:spacing w:after="0"/>
              <w:rPr>
                <w:sz w:val="20"/>
                <w:szCs w:val="20"/>
                <w:color w:val="auto"/>
              </w:rPr>
            </w:pPr>
            <w:r>
              <w:rPr>
                <w:rFonts w:ascii="Times New Roman" w:cs="Times New Roman" w:eastAsia="Times New Roman" w:hAnsi="Times New Roman"/>
                <w:sz w:val="14"/>
                <w:szCs w:val="14"/>
                <w:b w:val="1"/>
                <w:bCs w:val="1"/>
                <w:color w:val="auto"/>
              </w:rPr>
              <w:t>Lowest Market</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00" w:type="dxa"/>
            <w:vAlign w:val="bottom"/>
          </w:tcPr>
          <w:p>
            <w:pPr>
              <w:jc w:val="center"/>
              <w:ind w:right="79"/>
              <w:spacing w:after="0" w:line="149" w:lineRule="exact"/>
              <w:rPr>
                <w:sz w:val="20"/>
                <w:szCs w:val="20"/>
                <w:color w:val="auto"/>
              </w:rPr>
            </w:pPr>
            <w:r>
              <w:rPr>
                <w:rFonts w:ascii="Times New Roman" w:cs="Times New Roman" w:eastAsia="Times New Roman" w:hAnsi="Times New Roman"/>
                <w:sz w:val="14"/>
                <w:szCs w:val="14"/>
                <w:b w:val="1"/>
                <w:bCs w:val="1"/>
                <w:color w:val="auto"/>
              </w:rPr>
              <w:t>End of Year</w:t>
            </w:r>
          </w:p>
        </w:tc>
        <w:tc>
          <w:tcPr>
            <w:tcW w:w="220" w:type="dxa"/>
            <w:vAlign w:val="bottom"/>
          </w:tcPr>
          <w:p>
            <w:pPr>
              <w:spacing w:after="0"/>
              <w:rPr>
                <w:sz w:val="12"/>
                <w:szCs w:val="12"/>
                <w:color w:val="auto"/>
              </w:rPr>
            </w:pPr>
          </w:p>
        </w:tc>
        <w:tc>
          <w:tcPr>
            <w:tcW w:w="1120" w:type="dxa"/>
            <w:vAlign w:val="bottom"/>
            <w:gridSpan w:val="2"/>
            <w:vMerge w:val="restart"/>
          </w:tcPr>
          <w:p>
            <w:pPr>
              <w:jc w:val="right"/>
              <w:ind w:right="10"/>
              <w:spacing w:after="0"/>
              <w:rPr>
                <w:sz w:val="20"/>
                <w:szCs w:val="20"/>
                <w:color w:val="auto"/>
              </w:rPr>
            </w:pPr>
            <w:r>
              <w:rPr>
                <w:rFonts w:ascii="Times New Roman" w:cs="Times New Roman" w:eastAsia="Times New Roman" w:hAnsi="Times New Roman"/>
                <w:sz w:val="14"/>
                <w:szCs w:val="14"/>
                <w:b w:val="1"/>
                <w:bCs w:val="1"/>
                <w:color w:val="auto"/>
              </w:rPr>
              <w:t>Highest Market</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020" w:type="dxa"/>
            <w:vAlign w:val="bottom"/>
          </w:tcPr>
          <w:p>
            <w:pPr>
              <w:jc w:val="center"/>
              <w:ind w:right="79"/>
              <w:spacing w:after="0" w:line="149" w:lineRule="exact"/>
              <w:rPr>
                <w:sz w:val="20"/>
                <w:szCs w:val="20"/>
                <w:color w:val="auto"/>
              </w:rPr>
            </w:pPr>
            <w:r>
              <w:rPr>
                <w:rFonts w:ascii="Times New Roman" w:cs="Times New Roman" w:eastAsia="Times New Roman" w:hAnsi="Times New Roman"/>
                <w:sz w:val="14"/>
                <w:szCs w:val="14"/>
                <w:b w:val="1"/>
                <w:bCs w:val="1"/>
                <w:color w:val="auto"/>
              </w:rPr>
              <w:t>End of Year</w:t>
            </w:r>
          </w:p>
        </w:tc>
        <w:tc>
          <w:tcPr>
            <w:tcW w:w="220" w:type="dxa"/>
            <w:vAlign w:val="bottom"/>
          </w:tcPr>
          <w:p>
            <w:pPr>
              <w:spacing w:after="0"/>
              <w:rPr>
                <w:sz w:val="12"/>
                <w:szCs w:val="12"/>
                <w:color w:val="auto"/>
              </w:rPr>
            </w:pPr>
          </w:p>
        </w:tc>
        <w:tc>
          <w:tcPr>
            <w:tcW w:w="1120" w:type="dxa"/>
            <w:vAlign w:val="bottom"/>
            <w:gridSpan w:val="2"/>
            <w:vMerge w:val="restart"/>
          </w:tcPr>
          <w:p>
            <w:pPr>
              <w:spacing w:after="0"/>
              <w:rPr>
                <w:sz w:val="20"/>
                <w:szCs w:val="20"/>
                <w:color w:val="auto"/>
              </w:rPr>
            </w:pPr>
            <w:r>
              <w:rPr>
                <w:rFonts w:ascii="Times New Roman" w:cs="Times New Roman" w:eastAsia="Times New Roman" w:hAnsi="Times New Roman"/>
                <w:sz w:val="14"/>
                <w:szCs w:val="14"/>
                <w:b w:val="1"/>
                <w:bCs w:val="1"/>
                <w:color w:val="auto"/>
              </w:rPr>
              <w:t>Market Price Per</w:t>
            </w:r>
          </w:p>
        </w:tc>
        <w:tc>
          <w:tcPr>
            <w:tcW w:w="200" w:type="dxa"/>
            <w:vAlign w:val="bottom"/>
          </w:tcPr>
          <w:p>
            <w:pPr>
              <w:spacing w:after="0"/>
              <w:rPr>
                <w:sz w:val="12"/>
                <w:szCs w:val="12"/>
                <w:color w:val="auto"/>
              </w:rPr>
            </w:pPr>
          </w:p>
        </w:tc>
        <w:tc>
          <w:tcPr>
            <w:tcW w:w="1360" w:type="dxa"/>
            <w:vAlign w:val="bottom"/>
            <w:gridSpan w:val="3"/>
          </w:tcPr>
          <w:p>
            <w:pPr>
              <w:jc w:val="center"/>
              <w:ind w:right="140"/>
              <w:spacing w:after="0" w:line="149" w:lineRule="exact"/>
              <w:rPr>
                <w:sz w:val="20"/>
                <w:szCs w:val="20"/>
                <w:color w:val="auto"/>
              </w:rPr>
            </w:pPr>
            <w:r>
              <w:rPr>
                <w:rFonts w:ascii="Times New Roman" w:cs="Times New Roman" w:eastAsia="Times New Roman" w:hAnsi="Times New Roman"/>
                <w:sz w:val="14"/>
                <w:szCs w:val="14"/>
                <w:b w:val="1"/>
                <w:bCs w:val="1"/>
                <w:color w:val="auto"/>
              </w:rPr>
              <w:t>End of Year Using</w:t>
            </w:r>
          </w:p>
        </w:tc>
        <w:tc>
          <w:tcPr>
            <w:tcW w:w="0" w:type="dxa"/>
            <w:vAlign w:val="bottom"/>
          </w:tcPr>
          <w:p>
            <w:pPr>
              <w:spacing w:after="0"/>
              <w:rPr>
                <w:sz w:val="1"/>
                <w:szCs w:val="1"/>
                <w:color w:val="auto"/>
              </w:rPr>
            </w:pPr>
          </w:p>
        </w:tc>
      </w:tr>
      <w:tr>
        <w:trPr>
          <w:trHeight w:val="148"/>
        </w:trPr>
        <w:tc>
          <w:tcPr>
            <w:tcW w:w="1940" w:type="dxa"/>
            <w:vAlign w:val="bottom"/>
          </w:tcPr>
          <w:p>
            <w:pPr>
              <w:spacing w:after="0"/>
              <w:rPr>
                <w:sz w:val="12"/>
                <w:szCs w:val="12"/>
                <w:color w:val="auto"/>
              </w:rPr>
            </w:pPr>
          </w:p>
        </w:tc>
        <w:tc>
          <w:tcPr>
            <w:tcW w:w="10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Number of</w:t>
            </w:r>
          </w:p>
        </w:tc>
        <w:tc>
          <w:tcPr>
            <w:tcW w:w="240" w:type="dxa"/>
            <w:vAlign w:val="bottom"/>
          </w:tcPr>
          <w:p>
            <w:pPr>
              <w:spacing w:after="0"/>
              <w:rPr>
                <w:sz w:val="12"/>
                <w:szCs w:val="12"/>
                <w:color w:val="auto"/>
              </w:rPr>
            </w:pPr>
          </w:p>
        </w:tc>
        <w:tc>
          <w:tcPr>
            <w:tcW w:w="112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00" w:type="dxa"/>
            <w:vAlign w:val="bottom"/>
          </w:tcPr>
          <w:p>
            <w:pPr>
              <w:jc w:val="center"/>
              <w:ind w:right="79"/>
              <w:spacing w:after="0" w:line="149" w:lineRule="exact"/>
              <w:rPr>
                <w:sz w:val="20"/>
                <w:szCs w:val="20"/>
                <w:color w:val="auto"/>
              </w:rPr>
            </w:pPr>
            <w:r>
              <w:rPr>
                <w:rFonts w:ascii="Times New Roman" w:cs="Times New Roman" w:eastAsia="Times New Roman" w:hAnsi="Times New Roman"/>
                <w:sz w:val="14"/>
                <w:szCs w:val="14"/>
                <w:b w:val="1"/>
                <w:bCs w:val="1"/>
                <w:color w:val="auto"/>
              </w:rPr>
              <w:t>Using Lowest</w:t>
            </w:r>
          </w:p>
        </w:tc>
        <w:tc>
          <w:tcPr>
            <w:tcW w:w="220" w:type="dxa"/>
            <w:vAlign w:val="bottom"/>
          </w:tcPr>
          <w:p>
            <w:pPr>
              <w:spacing w:after="0"/>
              <w:rPr>
                <w:sz w:val="12"/>
                <w:szCs w:val="12"/>
                <w:color w:val="auto"/>
              </w:rPr>
            </w:pPr>
          </w:p>
        </w:tc>
        <w:tc>
          <w:tcPr>
            <w:tcW w:w="112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020" w:type="dxa"/>
            <w:vAlign w:val="bottom"/>
          </w:tcPr>
          <w:p>
            <w:pPr>
              <w:jc w:val="center"/>
              <w:ind w:right="79"/>
              <w:spacing w:after="0" w:line="149" w:lineRule="exact"/>
              <w:rPr>
                <w:sz w:val="20"/>
                <w:szCs w:val="20"/>
                <w:color w:val="auto"/>
              </w:rPr>
            </w:pPr>
            <w:r>
              <w:rPr>
                <w:rFonts w:ascii="Times New Roman" w:cs="Times New Roman" w:eastAsia="Times New Roman" w:hAnsi="Times New Roman"/>
                <w:sz w:val="14"/>
                <w:szCs w:val="14"/>
                <w:b w:val="1"/>
                <w:bCs w:val="1"/>
                <w:color w:val="auto"/>
              </w:rPr>
              <w:t>Using Highest</w:t>
            </w:r>
          </w:p>
        </w:tc>
        <w:tc>
          <w:tcPr>
            <w:tcW w:w="220" w:type="dxa"/>
            <w:vAlign w:val="bottom"/>
          </w:tcPr>
          <w:p>
            <w:pPr>
              <w:spacing w:after="0"/>
              <w:rPr>
                <w:sz w:val="12"/>
                <w:szCs w:val="12"/>
                <w:color w:val="auto"/>
              </w:rPr>
            </w:pPr>
          </w:p>
        </w:tc>
        <w:tc>
          <w:tcPr>
            <w:tcW w:w="1120" w:type="dxa"/>
            <w:vAlign w:val="bottom"/>
            <w:gridSpan w:val="2"/>
            <w:vMerge w:val="continue"/>
          </w:tcPr>
          <w:p>
            <w:pPr>
              <w:spacing w:after="0"/>
              <w:rPr>
                <w:sz w:val="12"/>
                <w:szCs w:val="12"/>
                <w:color w:val="auto"/>
              </w:rPr>
            </w:pPr>
          </w:p>
        </w:tc>
        <w:tc>
          <w:tcPr>
            <w:tcW w:w="20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40" w:type="dxa"/>
            <w:vAlign w:val="bottom"/>
            <w:gridSpan w:val="2"/>
          </w:tcPr>
          <w:p>
            <w:pPr>
              <w:jc w:val="center"/>
              <w:ind w:right="260"/>
              <w:spacing w:after="0" w:line="149" w:lineRule="exact"/>
              <w:rPr>
                <w:sz w:val="20"/>
                <w:szCs w:val="20"/>
                <w:color w:val="auto"/>
              </w:rPr>
            </w:pPr>
            <w:r>
              <w:rPr>
                <w:rFonts w:ascii="Times New Roman" w:cs="Times New Roman" w:eastAsia="Times New Roman" w:hAnsi="Times New Roman"/>
                <w:sz w:val="14"/>
                <w:szCs w:val="14"/>
                <w:b w:val="1"/>
                <w:bCs w:val="1"/>
                <w:color w:val="auto"/>
              </w:rPr>
              <w:t>Ending Market</w:t>
            </w:r>
          </w:p>
        </w:tc>
        <w:tc>
          <w:tcPr>
            <w:tcW w:w="0" w:type="dxa"/>
            <w:vAlign w:val="bottom"/>
          </w:tcPr>
          <w:p>
            <w:pPr>
              <w:spacing w:after="0"/>
              <w:rPr>
                <w:sz w:val="1"/>
                <w:szCs w:val="1"/>
                <w:color w:val="auto"/>
              </w:rPr>
            </w:pPr>
          </w:p>
        </w:tc>
      </w:tr>
      <w:tr>
        <w:trPr>
          <w:trHeight w:val="149"/>
        </w:trPr>
        <w:tc>
          <w:tcPr>
            <w:tcW w:w="1940" w:type="dxa"/>
            <w:vAlign w:val="bottom"/>
          </w:tcPr>
          <w:p>
            <w:pPr>
              <w:spacing w:after="0"/>
              <w:rPr>
                <w:sz w:val="12"/>
                <w:szCs w:val="12"/>
                <w:color w:val="auto"/>
              </w:rPr>
            </w:pPr>
          </w:p>
        </w:tc>
        <w:tc>
          <w:tcPr>
            <w:tcW w:w="10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b w:val="1"/>
                <w:bCs w:val="1"/>
                <w:color w:val="auto"/>
              </w:rPr>
              <w:t>Bitcoins Held at</w:t>
            </w:r>
          </w:p>
        </w:tc>
        <w:tc>
          <w:tcPr>
            <w:tcW w:w="240" w:type="dxa"/>
            <w:vAlign w:val="bottom"/>
          </w:tcPr>
          <w:p>
            <w:pPr>
              <w:spacing w:after="0"/>
              <w:rPr>
                <w:sz w:val="12"/>
                <w:szCs w:val="12"/>
                <w:color w:val="auto"/>
              </w:rPr>
            </w:pPr>
          </w:p>
        </w:tc>
        <w:tc>
          <w:tcPr>
            <w:tcW w:w="112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Price Per Bitcoin</w:t>
            </w:r>
          </w:p>
        </w:tc>
        <w:tc>
          <w:tcPr>
            <w:tcW w:w="220" w:type="dxa"/>
            <w:vAlign w:val="bottom"/>
          </w:tcPr>
          <w:p>
            <w:pPr>
              <w:spacing w:after="0"/>
              <w:rPr>
                <w:sz w:val="12"/>
                <w:szCs w:val="12"/>
                <w:color w:val="auto"/>
              </w:rPr>
            </w:pPr>
          </w:p>
        </w:tc>
        <w:tc>
          <w:tcPr>
            <w:tcW w:w="112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220" w:type="dxa"/>
            <w:vAlign w:val="bottom"/>
          </w:tcPr>
          <w:p>
            <w:pPr>
              <w:spacing w:after="0"/>
              <w:rPr>
                <w:sz w:val="12"/>
                <w:szCs w:val="12"/>
                <w:color w:val="auto"/>
              </w:rPr>
            </w:pPr>
          </w:p>
        </w:tc>
        <w:tc>
          <w:tcPr>
            <w:tcW w:w="112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Price Per Bitcoin</w:t>
            </w:r>
          </w:p>
        </w:tc>
        <w:tc>
          <w:tcPr>
            <w:tcW w:w="220" w:type="dxa"/>
            <w:vAlign w:val="bottom"/>
          </w:tcPr>
          <w:p>
            <w:pPr>
              <w:spacing w:after="0"/>
              <w:rPr>
                <w:sz w:val="12"/>
                <w:szCs w:val="12"/>
                <w:color w:val="auto"/>
              </w:rPr>
            </w:pPr>
          </w:p>
        </w:tc>
        <w:tc>
          <w:tcPr>
            <w:tcW w:w="112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220" w:type="dxa"/>
            <w:vAlign w:val="bottom"/>
          </w:tcPr>
          <w:p>
            <w:pPr>
              <w:spacing w:after="0"/>
              <w:rPr>
                <w:sz w:val="12"/>
                <w:szCs w:val="12"/>
                <w:color w:val="auto"/>
              </w:rPr>
            </w:pPr>
          </w:p>
        </w:tc>
        <w:tc>
          <w:tcPr>
            <w:tcW w:w="1120" w:type="dxa"/>
            <w:vAlign w:val="bottom"/>
            <w:gridSpan w:val="2"/>
          </w:tcPr>
          <w:p>
            <w:pPr>
              <w:spacing w:after="0" w:line="149" w:lineRule="exact"/>
              <w:rPr>
                <w:sz w:val="20"/>
                <w:szCs w:val="20"/>
                <w:color w:val="auto"/>
              </w:rPr>
            </w:pPr>
            <w:r>
              <w:rPr>
                <w:rFonts w:ascii="Times New Roman" w:cs="Times New Roman" w:eastAsia="Times New Roman" w:hAnsi="Times New Roman"/>
                <w:sz w:val="14"/>
                <w:szCs w:val="14"/>
                <w:b w:val="1"/>
                <w:bCs w:val="1"/>
                <w:color w:val="auto"/>
              </w:rPr>
              <w:t>Bitcoin at End of</w:t>
            </w:r>
          </w:p>
        </w:tc>
        <w:tc>
          <w:tcPr>
            <w:tcW w:w="20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40" w:type="dxa"/>
            <w:vAlign w:val="bottom"/>
            <w:gridSpan w:val="2"/>
          </w:tcPr>
          <w:p>
            <w:pPr>
              <w:jc w:val="center"/>
              <w:ind w:right="280"/>
              <w:spacing w:after="0" w:line="149" w:lineRule="exact"/>
              <w:rPr>
                <w:sz w:val="20"/>
                <w:szCs w:val="20"/>
                <w:color w:val="auto"/>
              </w:rPr>
            </w:pPr>
            <w:r>
              <w:rPr>
                <w:rFonts w:ascii="Times New Roman" w:cs="Times New Roman" w:eastAsia="Times New Roman" w:hAnsi="Times New Roman"/>
                <w:sz w:val="14"/>
                <w:szCs w:val="14"/>
                <w:b w:val="1"/>
                <w:bCs w:val="1"/>
                <w:color w:val="auto"/>
              </w:rPr>
              <w:t>Price (in</w:t>
            </w:r>
          </w:p>
        </w:tc>
        <w:tc>
          <w:tcPr>
            <w:tcW w:w="0" w:type="dxa"/>
            <w:vAlign w:val="bottom"/>
          </w:tcPr>
          <w:p>
            <w:pPr>
              <w:spacing w:after="0"/>
              <w:rPr>
                <w:sz w:val="1"/>
                <w:szCs w:val="1"/>
                <w:color w:val="auto"/>
              </w:rPr>
            </w:pPr>
          </w:p>
        </w:tc>
      </w:tr>
      <w:tr>
        <w:trPr>
          <w:trHeight w:val="173"/>
        </w:trPr>
        <w:tc>
          <w:tcPr>
            <w:tcW w:w="1940" w:type="dxa"/>
            <w:vAlign w:val="bottom"/>
          </w:tcPr>
          <w:p>
            <w:pPr>
              <w:spacing w:after="0"/>
              <w:rPr>
                <w:sz w:val="15"/>
                <w:szCs w:val="15"/>
                <w:color w:val="auto"/>
              </w:rPr>
            </w:pPr>
          </w:p>
        </w:tc>
        <w:tc>
          <w:tcPr>
            <w:tcW w:w="10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End of Year</w:t>
            </w:r>
          </w:p>
        </w:tc>
        <w:tc>
          <w:tcPr>
            <w:tcW w:w="240" w:type="dxa"/>
            <w:vAlign w:val="bottom"/>
          </w:tcPr>
          <w:p>
            <w:pPr>
              <w:spacing w:after="0"/>
              <w:rPr>
                <w:sz w:val="15"/>
                <w:szCs w:val="15"/>
                <w:color w:val="auto"/>
              </w:rPr>
            </w:pPr>
          </w:p>
        </w:tc>
        <w:tc>
          <w:tcPr>
            <w:tcW w:w="1120" w:type="dxa"/>
            <w:vAlign w:val="bottom"/>
            <w:tcBorders>
              <w:bottom w:val="single" w:sz="8" w:color="auto"/>
            </w:tcBorders>
            <w:gridSpan w:val="2"/>
          </w:tcPr>
          <w:p>
            <w:pPr>
              <w:ind w:left="80"/>
              <w:spacing w:after="0"/>
              <w:rPr>
                <w:sz w:val="20"/>
                <w:szCs w:val="20"/>
                <w:color w:val="auto"/>
              </w:rPr>
            </w:pPr>
            <w:r>
              <w:rPr>
                <w:rFonts w:ascii="Times New Roman" w:cs="Times New Roman" w:eastAsia="Times New Roman" w:hAnsi="Times New Roman"/>
                <w:sz w:val="14"/>
                <w:szCs w:val="14"/>
                <w:b w:val="1"/>
                <w:bCs w:val="1"/>
                <w:color w:val="auto"/>
              </w:rPr>
              <w:t>During Year (a)</w:t>
            </w:r>
          </w:p>
        </w:tc>
        <w:tc>
          <w:tcPr>
            <w:tcW w:w="22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000" w:type="dxa"/>
            <w:vAlign w:val="bottom"/>
            <w:tcBorders>
              <w:bottom w:val="single" w:sz="8" w:color="auto"/>
            </w:tcBorders>
          </w:tcPr>
          <w:p>
            <w:pPr>
              <w:jc w:val="center"/>
              <w:ind w:right="39"/>
              <w:spacing w:after="0"/>
              <w:rPr>
                <w:sz w:val="20"/>
                <w:szCs w:val="20"/>
                <w:color w:val="auto"/>
              </w:rPr>
            </w:pPr>
            <w:r>
              <w:rPr>
                <w:rFonts w:ascii="Times New Roman" w:cs="Times New Roman" w:eastAsia="Times New Roman" w:hAnsi="Times New Roman"/>
                <w:sz w:val="14"/>
                <w:szCs w:val="14"/>
                <w:b w:val="1"/>
                <w:bCs w:val="1"/>
                <w:color w:val="auto"/>
              </w:rPr>
              <w:t>thousands) (b)</w:t>
            </w:r>
          </w:p>
        </w:tc>
        <w:tc>
          <w:tcPr>
            <w:tcW w:w="220" w:type="dxa"/>
            <w:vAlign w:val="bottom"/>
          </w:tcPr>
          <w:p>
            <w:pPr>
              <w:spacing w:after="0"/>
              <w:rPr>
                <w:sz w:val="15"/>
                <w:szCs w:val="15"/>
                <w:color w:val="auto"/>
              </w:rPr>
            </w:pPr>
          </w:p>
        </w:tc>
        <w:tc>
          <w:tcPr>
            <w:tcW w:w="112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4"/>
                <w:szCs w:val="14"/>
                <w:b w:val="1"/>
                <w:bCs w:val="1"/>
                <w:color w:val="auto"/>
              </w:rPr>
              <w:t>During Year (c)</w:t>
            </w: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1020" w:type="dxa"/>
            <w:vAlign w:val="bottom"/>
            <w:tcBorders>
              <w:bottom w:val="single" w:sz="8" w:color="auto"/>
            </w:tcBorders>
          </w:tcPr>
          <w:p>
            <w:pPr>
              <w:jc w:val="center"/>
              <w:ind w:right="39"/>
              <w:spacing w:after="0"/>
              <w:rPr>
                <w:sz w:val="20"/>
                <w:szCs w:val="20"/>
                <w:color w:val="auto"/>
              </w:rPr>
            </w:pPr>
            <w:r>
              <w:rPr>
                <w:rFonts w:ascii="Times New Roman" w:cs="Times New Roman" w:eastAsia="Times New Roman" w:hAnsi="Times New Roman"/>
                <w:sz w:val="14"/>
                <w:szCs w:val="14"/>
                <w:b w:val="1"/>
                <w:bCs w:val="1"/>
                <w:color w:val="auto"/>
              </w:rPr>
              <w:t>thousands) (d)</w:t>
            </w:r>
          </w:p>
        </w:tc>
        <w:tc>
          <w:tcPr>
            <w:tcW w:w="22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920" w:type="dxa"/>
            <w:vAlign w:val="bottom"/>
            <w:tcBorders>
              <w:bottom w:val="single" w:sz="8" w:color="auto"/>
            </w:tcBorders>
          </w:tcPr>
          <w:p>
            <w:pPr>
              <w:jc w:val="right"/>
              <w:ind w:right="235"/>
              <w:spacing w:after="0"/>
              <w:rPr>
                <w:sz w:val="20"/>
                <w:szCs w:val="20"/>
                <w:color w:val="auto"/>
              </w:rPr>
            </w:pPr>
            <w:r>
              <w:rPr>
                <w:rFonts w:ascii="Times New Roman" w:cs="Times New Roman" w:eastAsia="Times New Roman" w:hAnsi="Times New Roman"/>
                <w:sz w:val="14"/>
                <w:szCs w:val="14"/>
                <w:b w:val="1"/>
                <w:bCs w:val="1"/>
                <w:color w:val="auto"/>
              </w:rPr>
              <w:t>Year (e)</w:t>
            </w:r>
          </w:p>
        </w:tc>
        <w:tc>
          <w:tcPr>
            <w:tcW w:w="20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140" w:type="dxa"/>
            <w:vAlign w:val="bottom"/>
            <w:tcBorders>
              <w:bottom w:val="single" w:sz="8" w:color="auto"/>
            </w:tcBorders>
          </w:tcPr>
          <w:p>
            <w:pPr>
              <w:jc w:val="center"/>
              <w:ind w:right="40"/>
              <w:spacing w:after="0"/>
              <w:rPr>
                <w:sz w:val="20"/>
                <w:szCs w:val="20"/>
                <w:color w:val="auto"/>
              </w:rPr>
            </w:pPr>
            <w:r>
              <w:rPr>
                <w:rFonts w:ascii="Times New Roman" w:cs="Times New Roman" w:eastAsia="Times New Roman" w:hAnsi="Times New Roman"/>
                <w:sz w:val="14"/>
                <w:szCs w:val="14"/>
                <w:b w:val="1"/>
                <w:bCs w:val="1"/>
                <w:color w:val="auto"/>
              </w:rPr>
              <w:t>thousands) (f)</w:t>
            </w: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10"/>
        </w:trPr>
        <w:tc>
          <w:tcPr>
            <w:tcW w:w="194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December 31, 2022</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132,500</w:t>
            </w:r>
          </w:p>
        </w:tc>
        <w:tc>
          <w:tcPr>
            <w:tcW w:w="4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15,460.00</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2,048,450</w:t>
            </w:r>
          </w:p>
        </w:tc>
        <w:tc>
          <w:tcPr>
            <w:tcW w:w="4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48,240.00</w:t>
            </w:r>
          </w:p>
        </w:tc>
        <w:tc>
          <w:tcPr>
            <w:tcW w:w="3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7"/>
                <w:szCs w:val="17"/>
                <w:color w:val="auto"/>
                <w:w w:val="70"/>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6,391,800</w:t>
            </w:r>
          </w:p>
        </w:tc>
        <w:tc>
          <w:tcPr>
            <w:tcW w:w="4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16,556.32</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2,193,712</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194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December 31, 2023</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189,150</w:t>
            </w:r>
          </w:p>
        </w:tc>
        <w:tc>
          <w:tcPr>
            <w:tcW w:w="48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16,490.00</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3,119,084</w:t>
            </w:r>
          </w:p>
        </w:tc>
        <w:tc>
          <w:tcPr>
            <w:tcW w:w="42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45,000.00</w:t>
            </w:r>
          </w:p>
        </w:tc>
        <w:tc>
          <w:tcPr>
            <w:tcW w:w="320" w:type="dxa"/>
            <w:vAlign w:val="bottom"/>
            <w:gridSpan w:val="2"/>
          </w:tcPr>
          <w:p>
            <w:pPr>
              <w:ind w:left="240"/>
              <w:spacing w:after="0"/>
              <w:rPr>
                <w:sz w:val="20"/>
                <w:szCs w:val="20"/>
                <w:color w:val="auto"/>
              </w:rPr>
            </w:pPr>
            <w:r>
              <w:rPr>
                <w:rFonts w:ascii="Times New Roman" w:cs="Times New Roman" w:eastAsia="Times New Roman" w:hAnsi="Times New Roman"/>
                <w:sz w:val="17"/>
                <w:szCs w:val="17"/>
                <w:color w:val="auto"/>
                <w:w w:val="70"/>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8,511,750</w:t>
            </w:r>
          </w:p>
        </w:tc>
        <w:tc>
          <w:tcPr>
            <w:tcW w:w="4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42,531.41</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8,044,816</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194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December 31, 2024</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447,470</w:t>
            </w:r>
          </w:p>
        </w:tc>
        <w:tc>
          <w:tcPr>
            <w:tcW w:w="4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38,501.00</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17,228,042</w:t>
            </w:r>
          </w:p>
        </w:tc>
        <w:tc>
          <w:tcPr>
            <w:tcW w:w="4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108,388.88</w:t>
            </w:r>
          </w:p>
        </w:tc>
        <w:tc>
          <w:tcPr>
            <w:tcW w:w="3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7"/>
                <w:szCs w:val="17"/>
                <w:color w:val="auto"/>
                <w:w w:val="70"/>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48,500,772</w:t>
            </w:r>
          </w:p>
        </w:tc>
        <w:tc>
          <w:tcPr>
            <w:tcW w:w="4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93,390.21</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41,789,317</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bl>
    <w:p>
      <w:pPr>
        <w:spacing w:after="0" w:line="94" w:lineRule="exact"/>
        <w:rPr>
          <w:sz w:val="20"/>
          <w:szCs w:val="20"/>
          <w:color w:val="auto"/>
        </w:rPr>
      </w:pPr>
    </w:p>
    <w:p>
      <w:pPr>
        <w:ind w:left="380" w:hanging="372"/>
        <w:spacing w:after="0" w:line="298" w:lineRule="auto"/>
        <w:tabs>
          <w:tab w:leader="none" w:pos="380" w:val="left"/>
        </w:tabs>
        <w:numPr>
          <w:ilvl w:val="0"/>
          <w:numId w:val="32"/>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“Lowest Market Price Per Bitcoin During Year” represents the lowest market price for one bitcoin reported on the Coinbase exchange during the respective year, without regard to when we purchased any of our bitcoin.</w:t>
      </w:r>
    </w:p>
    <w:p>
      <w:pPr>
        <w:spacing w:after="0" w:line="56" w:lineRule="exact"/>
        <w:rPr>
          <w:rFonts w:ascii="Times New Roman" w:cs="Times New Roman" w:eastAsia="Times New Roman" w:hAnsi="Times New Roman"/>
          <w:sz w:val="16"/>
          <w:szCs w:val="16"/>
          <w:color w:val="auto"/>
        </w:rPr>
      </w:pPr>
    </w:p>
    <w:p>
      <w:pPr>
        <w:ind w:left="380" w:right="20" w:hanging="372"/>
        <w:spacing w:after="0" w:line="298" w:lineRule="auto"/>
        <w:tabs>
          <w:tab w:leader="none" w:pos="380" w:val="left"/>
        </w:tabs>
        <w:numPr>
          <w:ilvl w:val="0"/>
          <w:numId w:val="32"/>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Year Using Lowest Market Price” represents a mathematical calculation consisting of the lowest market price for one bitcoin reported on the Coinbase exchange during the respective year multiplied by the number of bitcoins held by us at the end of the applicable year.</w:t>
      </w:r>
    </w:p>
    <w:p>
      <w:pPr>
        <w:spacing w:after="0" w:line="56" w:lineRule="exact"/>
        <w:rPr>
          <w:rFonts w:ascii="Times New Roman" w:cs="Times New Roman" w:eastAsia="Times New Roman" w:hAnsi="Times New Roman"/>
          <w:sz w:val="16"/>
          <w:szCs w:val="16"/>
          <w:color w:val="auto"/>
        </w:rPr>
      </w:pPr>
    </w:p>
    <w:p>
      <w:pPr>
        <w:ind w:left="380" w:right="20" w:hanging="372"/>
        <w:spacing w:after="0" w:line="298" w:lineRule="auto"/>
        <w:tabs>
          <w:tab w:leader="none" w:pos="380" w:val="left"/>
        </w:tabs>
        <w:numPr>
          <w:ilvl w:val="0"/>
          <w:numId w:val="32"/>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“Highest Market Price Per Bitcoin During Year” represents the highest market price for one bitcoin reported on the Coinbase exchange during the respective year, without regard to when we purchased any of our bitcoin.</w:t>
      </w:r>
    </w:p>
    <w:p>
      <w:pPr>
        <w:spacing w:after="0" w:line="56" w:lineRule="exact"/>
        <w:rPr>
          <w:rFonts w:ascii="Times New Roman" w:cs="Times New Roman" w:eastAsia="Times New Roman" w:hAnsi="Times New Roman"/>
          <w:sz w:val="16"/>
          <w:szCs w:val="16"/>
          <w:color w:val="auto"/>
        </w:rPr>
      </w:pPr>
    </w:p>
    <w:p>
      <w:pPr>
        <w:ind w:left="380" w:hanging="372"/>
        <w:spacing w:after="0" w:line="298" w:lineRule="auto"/>
        <w:tabs>
          <w:tab w:leader="none" w:pos="380" w:val="left"/>
        </w:tabs>
        <w:numPr>
          <w:ilvl w:val="0"/>
          <w:numId w:val="32"/>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Year Using Highest Market Price” represents a mathematical calculation consisting of the highest market price for one bitcoin reported on the Coinbase exchange during the respective year multiplied by the number of bitcoins held by us at the end of the applicable year.</w:t>
      </w:r>
    </w:p>
    <w:p>
      <w:pPr>
        <w:spacing w:after="0" w:line="56" w:lineRule="exact"/>
        <w:rPr>
          <w:rFonts w:ascii="Times New Roman" w:cs="Times New Roman" w:eastAsia="Times New Roman" w:hAnsi="Times New Roman"/>
          <w:sz w:val="16"/>
          <w:szCs w:val="16"/>
          <w:color w:val="auto"/>
        </w:rPr>
      </w:pPr>
    </w:p>
    <w:p>
      <w:pPr>
        <w:ind w:left="380" w:hanging="372"/>
        <w:spacing w:after="0" w:line="298" w:lineRule="auto"/>
        <w:tabs>
          <w:tab w:leader="none" w:pos="380" w:val="left"/>
        </w:tabs>
        <w:numPr>
          <w:ilvl w:val="0"/>
          <w:numId w:val="32"/>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Price Per Bitcoin at End of Year” represents the market price of one bitcoin on the Coinbase exchange at 4:00 p.m. Eastern Time on the last day of the respective year.</w:t>
      </w:r>
    </w:p>
    <w:p>
      <w:pPr>
        <w:spacing w:after="0" w:line="16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80" w:right="339" w:bottom="1440" w:gutter="0" w:footer="0" w:header="0"/>
        </w:sectPr>
      </w:pPr>
    </w:p>
    <w:bookmarkStart w:id="48" w:name="page49"/>
    <w:bookmarkEnd w:id="48"/>
    <w:p>
      <w:pPr>
        <w:jc w:val="both"/>
        <w:ind w:left="380" w:hanging="372"/>
        <w:spacing w:after="0" w:line="295" w:lineRule="auto"/>
        <w:tabs>
          <w:tab w:leader="none" w:pos="380" w:val="left"/>
        </w:tabs>
        <w:numPr>
          <w:ilvl w:val="0"/>
          <w:numId w:val="3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Year Using Ending Market Price” represents a mathematical calculation consisting of the market price of one bitcoin on the Coinbase exchange at 4:00 p.m. Eastern Time on the last day of the respective year multiplied by the number of bitcoins held by us at the end of the applicable year.</w:t>
      </w:r>
    </w:p>
    <w:p>
      <w:pPr>
        <w:spacing w:after="0" w:line="25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The amounts reported as “Market Value” in the above table represent only a mathematical calculation consisting of the price for one bitcoin reported on the Coinbase exchange (our principal market) in each scenario defined above multiplied by the number of bitcoins held by us at the end of the applicable year. Bitcoin and bitcoin markets may be subject to manipulation and the spot price of bitcoin may be subject to fraud and manipulation. Accordingly, the Market Value amounts reported above may not accurately represent fair market value, and the actual fair market value of our bitcoin may be different from such amounts and such deviation may be material. Moreover, (i) the bitcoin market historically has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that are, or may be, inherent in its entirely electronic, virtual form and decentralized network and (ii) we may not be able to sell our bitcoins at the Market Value amounts indicated above, at the market price as reported on the Coinbase exchange (our principal market) on the date of sale, or at all.</w:t>
      </w:r>
    </w:p>
    <w:p>
      <w:pPr>
        <w:spacing w:after="0" w:line="80"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Our digital asset impairment losses have significantly contributed to our operating expenses. During 2024, digital asset impairment losses of $1.790 billion represented 81.8% of our operating expenses, compared to digital asset impairment losses of $115.9 million during 2023, representing 23.1% of our operating expenses. Upon our adoption of ASU 2023-08 on January 1, 2025, we will no longer recognize impairment losses under the current cost-less-impairment accounting model described in Note 2(g), Summary of Significant Accounting Policies - Digital Assets, to the Consolidated Financial Statements. In future periods, both realized and unrealized gains and losses from changes in fair value of our bitcoin holdings will be recognized as incurred in our Consolidated Statements of Operations. See Note 3, Recent Accounting Standards, to the Consolidated Financial Statements for further information.</w:t>
      </w:r>
    </w:p>
    <w:p>
      <w:pPr>
        <w:spacing w:after="0" w:line="8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As of February 14, 2025, we held approximately 478,740 bitcoins that were acquired at an aggregate purchase price of $31.134 billion and an average purchase price of approximately $65,033 per bitcoin, inclusive of fees and expenses. As of February 14, 2025, at 4:00 p.m. Eastern Time, the market price of one bitcoin reported on the Coinbase exchange was $97,236.98.</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Enterprise Analytics Software Strategy</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Strategy is a pioneer in AI-powered business intelligence (BI), and a global leader in enterprise analytics solutions. We provide software and services designed to turn complex, chaotic data environments into rich, reliable, and convenient information feeds for our customers. Our vision is to drive growth and competitive advantage for our customers by delivering Intelligence Everywhere™.</w:t>
      </w:r>
    </w:p>
    <w:p>
      <w:pPr>
        <w:spacing w:after="0" w:line="6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cloud-native flagship, Strategy One™, powers some of the largest analytics deployments in the world for customers spanning a wide range of industries, including retail, banking, technology, manufacturing, insurance, consulting, healthcare, telecommunications, and the public sector.</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Integral to the Strategy One platform are Generative AI capabilities that are designed to automate and accelerate the deployment of AI-enabled applications across the enterprise. By making advanced analytics accessible through conversational AI, Strategy One provides non-technical users with timely, actionable insights for decision-making.</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analytics market is highly competitive and subject to rapidly changing technology and market conditions. Our ability to compete successfully depends on a number of factors within and outside of our control. Some of these factors include software quality, performance and reliability; the quality of our service and support teams; marketing and prospecting effectiveness, the ability to incorporate artificial intelligence and other technically advanced features; and our ability to differentiate our products.</w:t>
      </w:r>
    </w:p>
    <w:p>
      <w:pPr>
        <w:spacing w:after="0" w:line="7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we transition our business strategy and product offerings to a cloud-native model, we are continuously enhancing our go-to-market and sales strategies with the goal of focusing on acquiring new customers, driving revenue growth, increasing margins, and streamlining</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8" w:right="339" w:bottom="1440" w:gutter="0" w:footer="0" w:header="0"/>
        </w:sectPr>
      </w:pPr>
    </w:p>
    <w:bookmarkStart w:id="49" w:name="page50"/>
    <w:bookmarkEnd w:id="49"/>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our operations. As part of this strategic transformation, we have taken and will continue to take certain measures to optimize operational and organizational efficiency across all of our corporate functions.</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Operating Highlights</w:t>
      </w:r>
    </w:p>
    <w:p>
      <w:pPr>
        <w:spacing w:after="0" w:line="17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sets forth certain operating highlights (in thousands) for the years ended December 31, 2024 and 2023:</w:t>
      </w:r>
    </w:p>
    <w:p>
      <w:pPr>
        <w:spacing w:after="0" w:line="219" w:lineRule="exact"/>
        <w:rPr>
          <w:sz w:val="20"/>
          <w:szCs w:val="20"/>
          <w:color w:val="auto"/>
        </w:rPr>
      </w:pPr>
    </w:p>
    <w:tbl>
      <w:tblPr>
        <w:tblLayout w:type="fixed"/>
        <w:tblInd w:w="1140" w:type="dxa"/>
        <w:tblCellMar>
          <w:top w:w="0" w:type="dxa"/>
          <w:left w:w="0" w:type="dxa"/>
          <w:bottom w:w="0" w:type="dxa"/>
          <w:right w:w="0" w:type="dxa"/>
        </w:tblCellMar>
      </w:tblPr>
      <w:tr>
        <w:trPr>
          <w:trHeight w:val="173"/>
        </w:trPr>
        <w:tc>
          <w:tcPr>
            <w:tcW w:w="612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2580" w:type="dxa"/>
            <w:vAlign w:val="bottom"/>
            <w:gridSpan w:val="5"/>
          </w:tcPr>
          <w:p>
            <w:pPr>
              <w:jc w:val="right"/>
              <w:ind w:right="66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r>
      <w:tr>
        <w:trPr>
          <w:trHeight w:val="142"/>
        </w:trPr>
        <w:tc>
          <w:tcPr>
            <w:tcW w:w="6120" w:type="dxa"/>
            <w:vAlign w:val="bottom"/>
          </w:tcPr>
          <w:p>
            <w:pPr>
              <w:spacing w:after="0"/>
              <w:rPr>
                <w:sz w:val="12"/>
                <w:szCs w:val="12"/>
                <w:color w:val="auto"/>
              </w:rPr>
            </w:pPr>
          </w:p>
        </w:tc>
        <w:tc>
          <w:tcPr>
            <w:tcW w:w="28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412"/>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2"/>
                <w:szCs w:val="12"/>
                <w:color w:val="auto"/>
              </w:rPr>
            </w:pPr>
          </w:p>
        </w:tc>
        <w:tc>
          <w:tcPr>
            <w:tcW w:w="28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411"/>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r>
      <w:tr>
        <w:trPr>
          <w:trHeight w:val="209"/>
        </w:trPr>
        <w:tc>
          <w:tcPr>
            <w:tcW w:w="6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6120" w:type="dxa"/>
            <w:vAlign w:val="bottom"/>
          </w:tcPr>
          <w:p>
            <w:pPr>
              <w:spacing w:after="0"/>
              <w:rPr>
                <w:sz w:val="20"/>
                <w:szCs w:val="20"/>
                <w:color w:val="auto"/>
              </w:rPr>
            </w:pPr>
            <w:r>
              <w:rPr>
                <w:rFonts w:ascii="Times New Roman" w:cs="Times New Roman" w:eastAsia="Times New Roman" w:hAnsi="Times New Roman"/>
                <w:sz w:val="18"/>
                <w:szCs w:val="18"/>
                <w:color w:val="auto"/>
              </w:rPr>
              <w:t>Product licenses</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48,567</w:t>
            </w:r>
          </w:p>
        </w:tc>
        <w:tc>
          <w:tcPr>
            <w:tcW w:w="240" w:type="dxa"/>
            <w:vAlign w:val="bottom"/>
          </w:tcPr>
          <w:p>
            <w:pPr>
              <w:spacing w:after="0"/>
              <w:rPr>
                <w:sz w:val="18"/>
                <w:szCs w:val="18"/>
                <w:color w:val="auto"/>
              </w:rPr>
            </w:pP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75,351</w:t>
            </w:r>
          </w:p>
        </w:tc>
        <w:tc>
          <w:tcPr>
            <w:tcW w:w="100" w:type="dxa"/>
            <w:vAlign w:val="bottom"/>
          </w:tcPr>
          <w:p>
            <w:pPr>
              <w:spacing w:after="0"/>
              <w:rPr>
                <w:sz w:val="18"/>
                <w:szCs w:val="18"/>
                <w:color w:val="auto"/>
              </w:rPr>
            </w:pPr>
          </w:p>
        </w:tc>
      </w:tr>
      <w:tr>
        <w:trPr>
          <w:trHeight w:val="216"/>
        </w:trPr>
        <w:tc>
          <w:tcPr>
            <w:tcW w:w="61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Subscription services</w:t>
            </w: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106,776</w:t>
            </w:r>
          </w:p>
        </w:tc>
        <w:tc>
          <w:tcPr>
            <w:tcW w:w="240" w:type="dxa"/>
            <w:vAlign w:val="bottom"/>
            <w:tcBorders>
              <w:bottom w:val="single" w:sz="8" w:color="CFF0FC"/>
            </w:tcBorders>
            <w:shd w:val="clear" w:color="auto" w:fill="CFF0FC"/>
          </w:tcPr>
          <w:p>
            <w:pPr>
              <w:spacing w:after="0"/>
              <w:rPr>
                <w:sz w:val="18"/>
                <w:szCs w:val="18"/>
                <w:color w:val="auto"/>
              </w:rPr>
            </w:pP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81,179</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155,343</w:t>
            </w:r>
          </w:p>
        </w:tc>
        <w:tc>
          <w:tcPr>
            <w:tcW w:w="240" w:type="dxa"/>
            <w:vAlign w:val="bottom"/>
          </w:tcPr>
          <w:p>
            <w:pPr>
              <w:spacing w:after="0"/>
              <w:rPr>
                <w:sz w:val="18"/>
                <w:szCs w:val="18"/>
                <w:color w:val="auto"/>
              </w:rPr>
            </w:pP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156,530</w:t>
            </w:r>
          </w:p>
        </w:tc>
        <w:tc>
          <w:tcPr>
            <w:tcW w:w="100" w:type="dxa"/>
            <w:vAlign w:val="bottom"/>
          </w:tcPr>
          <w:p>
            <w:pPr>
              <w:spacing w:after="0"/>
              <w:rPr>
                <w:sz w:val="18"/>
                <w:szCs w:val="18"/>
                <w:color w:val="auto"/>
              </w:rPr>
            </w:pPr>
          </w:p>
        </w:tc>
      </w:tr>
      <w:tr>
        <w:trPr>
          <w:trHeight w:val="209"/>
        </w:trPr>
        <w:tc>
          <w:tcPr>
            <w:tcW w:w="6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Product support</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243,805</w:t>
            </w: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263,888</w:t>
            </w:r>
          </w:p>
        </w:tc>
        <w:tc>
          <w:tcPr>
            <w:tcW w:w="100" w:type="dxa"/>
            <w:vAlign w:val="bottom"/>
            <w:shd w:val="clear" w:color="auto" w:fill="CFF0FC"/>
          </w:tcPr>
          <w:p>
            <w:pPr>
              <w:spacing w:after="0"/>
              <w:rPr>
                <w:sz w:val="18"/>
                <w:szCs w:val="18"/>
                <w:color w:val="auto"/>
              </w:rPr>
            </w:pPr>
          </w:p>
        </w:tc>
      </w:tr>
      <w:tr>
        <w:trPr>
          <w:trHeight w:val="216"/>
        </w:trPr>
        <w:tc>
          <w:tcPr>
            <w:tcW w:w="6120" w:type="dxa"/>
            <w:vAlign w:val="bottom"/>
          </w:tcPr>
          <w:p>
            <w:pPr>
              <w:spacing w:after="0"/>
              <w:rPr>
                <w:sz w:val="20"/>
                <w:szCs w:val="20"/>
                <w:color w:val="auto"/>
              </w:rPr>
            </w:pPr>
            <w:r>
              <w:rPr>
                <w:rFonts w:ascii="Times New Roman" w:cs="Times New Roman" w:eastAsia="Times New Roman" w:hAnsi="Times New Roman"/>
                <w:sz w:val="18"/>
                <w:szCs w:val="18"/>
                <w:color w:val="auto"/>
              </w:rPr>
              <w:t>Other services</w:t>
            </w: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64,308</w:t>
            </w:r>
          </w:p>
        </w:tc>
        <w:tc>
          <w:tcPr>
            <w:tcW w:w="240" w:type="dxa"/>
            <w:vAlign w:val="bottom"/>
          </w:tcPr>
          <w:p>
            <w:pPr>
              <w:spacing w:after="0"/>
              <w:rPr>
                <w:sz w:val="18"/>
                <w:szCs w:val="18"/>
                <w:color w:val="auto"/>
              </w:rPr>
            </w:pP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75,843</w:t>
            </w:r>
          </w:p>
        </w:tc>
        <w:tc>
          <w:tcPr>
            <w:tcW w:w="100" w:type="dxa"/>
            <w:vAlign w:val="bottom"/>
          </w:tcPr>
          <w:p>
            <w:pPr>
              <w:spacing w:after="0"/>
              <w:rPr>
                <w:sz w:val="18"/>
                <w:szCs w:val="18"/>
                <w:color w:val="auto"/>
              </w:rPr>
            </w:pPr>
          </w:p>
        </w:tc>
      </w:tr>
      <w:tr>
        <w:trPr>
          <w:trHeight w:val="210"/>
        </w:trPr>
        <w:tc>
          <w:tcPr>
            <w:tcW w:w="6120" w:type="dxa"/>
            <w:vAlign w:val="bottom"/>
            <w:tcBorders>
              <w:bottom w:val="single" w:sz="8" w:color="CFF0FC"/>
            </w:tcBorders>
            <w:shd w:val="clear" w:color="auto" w:fill="CFF0FC"/>
          </w:tcPr>
          <w:p>
            <w:pPr>
              <w:ind w:left="18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463,456</w:t>
            </w:r>
          </w:p>
        </w:tc>
        <w:tc>
          <w:tcPr>
            <w:tcW w:w="240" w:type="dxa"/>
            <w:vAlign w:val="bottom"/>
            <w:tcBorders>
              <w:bottom w:val="single" w:sz="8" w:color="CFF0FC"/>
            </w:tcBorders>
            <w:shd w:val="clear" w:color="auto" w:fill="CFF0FC"/>
          </w:tcPr>
          <w:p>
            <w:pPr>
              <w:spacing w:after="0"/>
              <w:rPr>
                <w:sz w:val="18"/>
                <w:szCs w:val="18"/>
                <w:color w:val="auto"/>
              </w:rPr>
            </w:pP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496,261</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120" w:type="dxa"/>
            <w:vAlign w:val="bottom"/>
          </w:tcPr>
          <w:p>
            <w:pPr>
              <w:spacing w:after="0"/>
              <w:rPr>
                <w:sz w:val="20"/>
                <w:szCs w:val="20"/>
                <w:color w:val="auto"/>
              </w:rPr>
            </w:pPr>
            <w:r>
              <w:rPr>
                <w:rFonts w:ascii="Times New Roman" w:cs="Times New Roman" w:eastAsia="Times New Roman" w:hAnsi="Times New Roman"/>
                <w:sz w:val="18"/>
                <w:szCs w:val="18"/>
                <w:b w:val="1"/>
                <w:bCs w:val="1"/>
                <w:color w:val="auto"/>
              </w:rPr>
              <w:t>Cost of revenues</w:t>
            </w:r>
          </w:p>
        </w:tc>
        <w:tc>
          <w:tcPr>
            <w:tcW w:w="28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6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Product licenses</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3,060</w:t>
            </w: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1,929</w:t>
            </w:r>
          </w:p>
        </w:tc>
        <w:tc>
          <w:tcPr>
            <w:tcW w:w="100" w:type="dxa"/>
            <w:vAlign w:val="bottom"/>
            <w:shd w:val="clear" w:color="auto" w:fill="CFF0FC"/>
          </w:tcPr>
          <w:p>
            <w:pPr>
              <w:spacing w:after="0"/>
              <w:rPr>
                <w:sz w:val="18"/>
                <w:szCs w:val="18"/>
                <w:color w:val="auto"/>
              </w:rPr>
            </w:pPr>
          </w:p>
        </w:tc>
      </w:tr>
      <w:tr>
        <w:trPr>
          <w:trHeight w:val="216"/>
        </w:trPr>
        <w:tc>
          <w:tcPr>
            <w:tcW w:w="6120" w:type="dxa"/>
            <w:vAlign w:val="bottom"/>
          </w:tcPr>
          <w:p>
            <w:pPr>
              <w:spacing w:after="0"/>
              <w:rPr>
                <w:sz w:val="20"/>
                <w:szCs w:val="20"/>
                <w:color w:val="auto"/>
              </w:rPr>
            </w:pPr>
            <w:r>
              <w:rPr>
                <w:rFonts w:ascii="Times New Roman" w:cs="Times New Roman" w:eastAsia="Times New Roman" w:hAnsi="Times New Roman"/>
                <w:sz w:val="18"/>
                <w:szCs w:val="18"/>
                <w:color w:val="auto"/>
              </w:rPr>
              <w:t>Subscription services</w:t>
            </w: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42,440</w:t>
            </w:r>
          </w:p>
        </w:tc>
        <w:tc>
          <w:tcPr>
            <w:tcW w:w="240" w:type="dxa"/>
            <w:vAlign w:val="bottom"/>
          </w:tcPr>
          <w:p>
            <w:pPr>
              <w:spacing w:after="0"/>
              <w:rPr>
                <w:sz w:val="18"/>
                <w:szCs w:val="18"/>
                <w:color w:val="auto"/>
              </w:rPr>
            </w:pP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31,776</w:t>
            </w:r>
          </w:p>
        </w:tc>
        <w:tc>
          <w:tcPr>
            <w:tcW w:w="100" w:type="dxa"/>
            <w:vAlign w:val="bottom"/>
          </w:tcPr>
          <w:p>
            <w:pPr>
              <w:spacing w:after="0"/>
              <w:rPr>
                <w:sz w:val="18"/>
                <w:szCs w:val="18"/>
                <w:color w:val="auto"/>
              </w:rPr>
            </w:pPr>
          </w:p>
        </w:tc>
      </w:tr>
      <w:tr>
        <w:trPr>
          <w:trHeight w:val="209"/>
        </w:trPr>
        <w:tc>
          <w:tcPr>
            <w:tcW w:w="6120" w:type="dxa"/>
            <w:vAlign w:val="bottom"/>
            <w:tcBorders>
              <w:bottom w:val="single" w:sz="8" w:color="CFF0FC"/>
            </w:tcBorders>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45,500</w:t>
            </w:r>
          </w:p>
        </w:tc>
        <w:tc>
          <w:tcPr>
            <w:tcW w:w="240" w:type="dxa"/>
            <w:vAlign w:val="bottom"/>
            <w:tcBorders>
              <w:bottom w:val="single" w:sz="8" w:color="CFF0FC"/>
            </w:tcBorders>
            <w:shd w:val="clear" w:color="auto" w:fill="CFF0FC"/>
          </w:tcPr>
          <w:p>
            <w:pPr>
              <w:spacing w:after="0"/>
              <w:rPr>
                <w:sz w:val="18"/>
                <w:szCs w:val="18"/>
                <w:color w:val="auto"/>
              </w:rPr>
            </w:pP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33,705</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120" w:type="dxa"/>
            <w:vAlign w:val="bottom"/>
          </w:tcPr>
          <w:p>
            <w:pPr>
              <w:spacing w:after="0"/>
              <w:rPr>
                <w:sz w:val="20"/>
                <w:szCs w:val="20"/>
                <w:color w:val="auto"/>
              </w:rPr>
            </w:pPr>
            <w:r>
              <w:rPr>
                <w:rFonts w:ascii="Times New Roman" w:cs="Times New Roman" w:eastAsia="Times New Roman" w:hAnsi="Times New Roman"/>
                <w:sz w:val="18"/>
                <w:szCs w:val="18"/>
                <w:color w:val="auto"/>
              </w:rPr>
              <w:t>Product support</w:t>
            </w:r>
          </w:p>
        </w:tc>
        <w:tc>
          <w:tcPr>
            <w:tcW w:w="28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33,289</w:t>
            </w:r>
          </w:p>
        </w:tc>
        <w:tc>
          <w:tcPr>
            <w:tcW w:w="2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22,434</w:t>
            </w:r>
          </w:p>
        </w:tc>
        <w:tc>
          <w:tcPr>
            <w:tcW w:w="100" w:type="dxa"/>
            <w:vAlign w:val="bottom"/>
          </w:tcPr>
          <w:p>
            <w:pPr>
              <w:spacing w:after="0"/>
              <w:rPr>
                <w:sz w:val="18"/>
                <w:szCs w:val="18"/>
                <w:color w:val="auto"/>
              </w:rPr>
            </w:pPr>
          </w:p>
        </w:tc>
      </w:tr>
      <w:tr>
        <w:trPr>
          <w:trHeight w:val="216"/>
        </w:trPr>
        <w:tc>
          <w:tcPr>
            <w:tcW w:w="61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Other services</w:t>
            </w: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50,679</w:t>
            </w:r>
          </w:p>
        </w:tc>
        <w:tc>
          <w:tcPr>
            <w:tcW w:w="240" w:type="dxa"/>
            <w:vAlign w:val="bottom"/>
            <w:tcBorders>
              <w:bottom w:val="single" w:sz="8" w:color="CFF0FC"/>
            </w:tcBorders>
            <w:shd w:val="clear" w:color="auto" w:fill="CFF0FC"/>
          </w:tcPr>
          <w:p>
            <w:pPr>
              <w:spacing w:after="0"/>
              <w:rPr>
                <w:sz w:val="18"/>
                <w:szCs w:val="18"/>
                <w:color w:val="auto"/>
              </w:rPr>
            </w:pP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53,805</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120" w:type="dxa"/>
            <w:vAlign w:val="bottom"/>
          </w:tcPr>
          <w:p>
            <w:pPr>
              <w:ind w:left="180"/>
              <w:spacing w:after="0"/>
              <w:rPr>
                <w:sz w:val="20"/>
                <w:szCs w:val="20"/>
                <w:color w:val="auto"/>
              </w:rPr>
            </w:pPr>
            <w:r>
              <w:rPr>
                <w:rFonts w:ascii="Times New Roman" w:cs="Times New Roman" w:eastAsia="Times New Roman" w:hAnsi="Times New Roman"/>
                <w:sz w:val="18"/>
                <w:szCs w:val="18"/>
                <w:b w:val="1"/>
                <w:bCs w:val="1"/>
                <w:color w:val="auto"/>
              </w:rPr>
              <w:t>Total cost of revenues</w:t>
            </w: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129,468</w:t>
            </w:r>
          </w:p>
        </w:tc>
        <w:tc>
          <w:tcPr>
            <w:tcW w:w="240" w:type="dxa"/>
            <w:vAlign w:val="bottom"/>
          </w:tcPr>
          <w:p>
            <w:pPr>
              <w:spacing w:after="0"/>
              <w:rPr>
                <w:sz w:val="18"/>
                <w:szCs w:val="18"/>
                <w:color w:val="auto"/>
              </w:rPr>
            </w:pP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109,944</w:t>
            </w:r>
          </w:p>
        </w:tc>
        <w:tc>
          <w:tcPr>
            <w:tcW w:w="100" w:type="dxa"/>
            <w:vAlign w:val="bottom"/>
          </w:tcPr>
          <w:p>
            <w:pPr>
              <w:spacing w:after="0"/>
              <w:rPr>
                <w:sz w:val="18"/>
                <w:szCs w:val="18"/>
                <w:color w:val="auto"/>
              </w:rPr>
            </w:pPr>
          </w:p>
        </w:tc>
      </w:tr>
      <w:tr>
        <w:trPr>
          <w:trHeight w:val="209"/>
        </w:trPr>
        <w:tc>
          <w:tcPr>
            <w:tcW w:w="61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b w:val="1"/>
                <w:bCs w:val="1"/>
                <w:color w:val="auto"/>
              </w:rPr>
              <w:t>Gross profit</w:t>
            </w: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333,988</w:t>
            </w:r>
          </w:p>
        </w:tc>
        <w:tc>
          <w:tcPr>
            <w:tcW w:w="240" w:type="dxa"/>
            <w:vAlign w:val="bottom"/>
            <w:tcBorders>
              <w:bottom w:val="single" w:sz="8" w:color="CFF0FC"/>
            </w:tcBorders>
            <w:shd w:val="clear" w:color="auto" w:fill="CFF0FC"/>
          </w:tcPr>
          <w:p>
            <w:pPr>
              <w:spacing w:after="0"/>
              <w:rPr>
                <w:sz w:val="18"/>
                <w:szCs w:val="18"/>
                <w:color w:val="auto"/>
              </w:rPr>
            </w:pP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386,317</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6120" w:type="dxa"/>
            <w:vAlign w:val="bottom"/>
          </w:tcPr>
          <w:p>
            <w:pPr>
              <w:spacing w:after="0"/>
              <w:rPr>
                <w:sz w:val="20"/>
                <w:szCs w:val="20"/>
                <w:color w:val="auto"/>
              </w:rPr>
            </w:pPr>
            <w:r>
              <w:rPr>
                <w:rFonts w:ascii="Times New Roman" w:cs="Times New Roman" w:eastAsia="Times New Roman" w:hAnsi="Times New Roman"/>
                <w:sz w:val="18"/>
                <w:szCs w:val="18"/>
                <w:b w:val="1"/>
                <w:bCs w:val="1"/>
                <w:color w:val="auto"/>
              </w:rPr>
              <w:t>Operating expenses</w:t>
            </w:r>
          </w:p>
        </w:tc>
        <w:tc>
          <w:tcPr>
            <w:tcW w:w="28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6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Sales and marketing</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138,081</w:t>
            </w: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149,671</w:t>
            </w:r>
          </w:p>
        </w:tc>
        <w:tc>
          <w:tcPr>
            <w:tcW w:w="100" w:type="dxa"/>
            <w:vAlign w:val="bottom"/>
            <w:shd w:val="clear" w:color="auto" w:fill="CFF0FC"/>
          </w:tcPr>
          <w:p>
            <w:pPr>
              <w:spacing w:after="0"/>
              <w:rPr>
                <w:sz w:val="18"/>
                <w:szCs w:val="18"/>
                <w:color w:val="auto"/>
              </w:rPr>
            </w:pPr>
          </w:p>
        </w:tc>
      </w:tr>
      <w:tr>
        <w:trPr>
          <w:trHeight w:val="216"/>
        </w:trPr>
        <w:tc>
          <w:tcPr>
            <w:tcW w:w="6120" w:type="dxa"/>
            <w:vAlign w:val="bottom"/>
          </w:tcPr>
          <w:p>
            <w:pPr>
              <w:spacing w:after="0"/>
              <w:rPr>
                <w:sz w:val="20"/>
                <w:szCs w:val="20"/>
                <w:color w:val="auto"/>
              </w:rPr>
            </w:pPr>
            <w:r>
              <w:rPr>
                <w:rFonts w:ascii="Times New Roman" w:cs="Times New Roman" w:eastAsia="Times New Roman" w:hAnsi="Times New Roman"/>
                <w:sz w:val="18"/>
                <w:szCs w:val="18"/>
                <w:color w:val="auto"/>
              </w:rPr>
              <w:t>Research and development</w:t>
            </w:r>
          </w:p>
        </w:tc>
        <w:tc>
          <w:tcPr>
            <w:tcW w:w="28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118,486</w:t>
            </w:r>
          </w:p>
        </w:tc>
        <w:tc>
          <w:tcPr>
            <w:tcW w:w="2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120,530</w:t>
            </w:r>
          </w:p>
        </w:tc>
        <w:tc>
          <w:tcPr>
            <w:tcW w:w="100" w:type="dxa"/>
            <w:vAlign w:val="bottom"/>
          </w:tcPr>
          <w:p>
            <w:pPr>
              <w:spacing w:after="0"/>
              <w:rPr>
                <w:sz w:val="18"/>
                <w:szCs w:val="18"/>
                <w:color w:val="auto"/>
              </w:rPr>
            </w:pPr>
          </w:p>
        </w:tc>
      </w:tr>
      <w:tr>
        <w:trPr>
          <w:trHeight w:val="216"/>
        </w:trPr>
        <w:tc>
          <w:tcPr>
            <w:tcW w:w="6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140,537</w:t>
            </w: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115,312</w:t>
            </w:r>
          </w:p>
        </w:tc>
        <w:tc>
          <w:tcPr>
            <w:tcW w:w="100" w:type="dxa"/>
            <w:vAlign w:val="bottom"/>
            <w:shd w:val="clear" w:color="auto" w:fill="CFF0FC"/>
          </w:tcPr>
          <w:p>
            <w:pPr>
              <w:spacing w:after="0"/>
              <w:rPr>
                <w:sz w:val="18"/>
                <w:szCs w:val="18"/>
                <w:color w:val="auto"/>
              </w:rPr>
            </w:pPr>
          </w:p>
        </w:tc>
      </w:tr>
      <w:tr>
        <w:trPr>
          <w:trHeight w:val="216"/>
        </w:trPr>
        <w:tc>
          <w:tcPr>
            <w:tcW w:w="6120" w:type="dxa"/>
            <w:vAlign w:val="bottom"/>
          </w:tcPr>
          <w:p>
            <w:pPr>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1,789,862</w:t>
            </w:r>
          </w:p>
        </w:tc>
        <w:tc>
          <w:tcPr>
            <w:tcW w:w="240" w:type="dxa"/>
            <w:vAlign w:val="bottom"/>
          </w:tcPr>
          <w:p>
            <w:pPr>
              <w:spacing w:after="0"/>
              <w:rPr>
                <w:sz w:val="18"/>
                <w:szCs w:val="18"/>
                <w:color w:val="auto"/>
              </w:rPr>
            </w:pP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115,851</w:t>
            </w:r>
          </w:p>
        </w:tc>
        <w:tc>
          <w:tcPr>
            <w:tcW w:w="100" w:type="dxa"/>
            <w:vAlign w:val="bottom"/>
          </w:tcPr>
          <w:p>
            <w:pPr>
              <w:spacing w:after="0"/>
              <w:rPr>
                <w:sz w:val="18"/>
                <w:szCs w:val="18"/>
                <w:color w:val="auto"/>
              </w:rPr>
            </w:pPr>
          </w:p>
        </w:tc>
      </w:tr>
      <w:tr>
        <w:trPr>
          <w:trHeight w:val="210"/>
        </w:trPr>
        <w:tc>
          <w:tcPr>
            <w:tcW w:w="6120" w:type="dxa"/>
            <w:vAlign w:val="bottom"/>
            <w:tcBorders>
              <w:bottom w:val="single" w:sz="8" w:color="CFF0FC"/>
            </w:tcBorders>
            <w:shd w:val="clear" w:color="auto" w:fill="CFF0FC"/>
          </w:tcPr>
          <w:p>
            <w:pPr>
              <w:ind w:left="180"/>
              <w:spacing w:after="0"/>
              <w:rPr>
                <w:sz w:val="20"/>
                <w:szCs w:val="20"/>
                <w:color w:val="auto"/>
              </w:rPr>
            </w:pPr>
            <w:r>
              <w:rPr>
                <w:rFonts w:ascii="Times New Roman" w:cs="Times New Roman" w:eastAsia="Times New Roman" w:hAnsi="Times New Roman"/>
                <w:sz w:val="18"/>
                <w:szCs w:val="18"/>
                <w:b w:val="1"/>
                <w:bCs w:val="1"/>
                <w:color w:val="auto"/>
              </w:rPr>
              <w:t>Total operating expenses</w:t>
            </w: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2,186,966</w:t>
            </w:r>
          </w:p>
        </w:tc>
        <w:tc>
          <w:tcPr>
            <w:tcW w:w="240" w:type="dxa"/>
            <w:vAlign w:val="bottom"/>
            <w:tcBorders>
              <w:bottom w:val="single" w:sz="8" w:color="CFF0FC"/>
            </w:tcBorders>
            <w:shd w:val="clear" w:color="auto" w:fill="CFF0FC"/>
          </w:tcPr>
          <w:p>
            <w:pPr>
              <w:spacing w:after="0"/>
              <w:rPr>
                <w:sz w:val="18"/>
                <w:szCs w:val="18"/>
                <w:color w:val="auto"/>
              </w:rPr>
            </w:pP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501,364</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120" w:type="dxa"/>
            <w:vAlign w:val="bottom"/>
          </w:tcPr>
          <w:p>
            <w:pPr>
              <w:spacing w:after="0"/>
              <w:rPr>
                <w:sz w:val="20"/>
                <w:szCs w:val="20"/>
                <w:color w:val="auto"/>
              </w:rPr>
            </w:pPr>
            <w:r>
              <w:rPr>
                <w:rFonts w:ascii="Times New Roman" w:cs="Times New Roman" w:eastAsia="Times New Roman" w:hAnsi="Times New Roman"/>
                <w:sz w:val="18"/>
                <w:szCs w:val="18"/>
                <w:b w:val="1"/>
                <w:bCs w:val="1"/>
                <w:color w:val="auto"/>
              </w:rPr>
              <w:t>Loss from operations</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b w:val="1"/>
                <w:bCs w:val="1"/>
                <w:color w:val="auto"/>
              </w:rPr>
              <w:t>(1,852,978 )</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(115,047 )</w:t>
            </w:r>
          </w:p>
        </w:tc>
      </w:tr>
      <w:tr>
        <w:trPr>
          <w:trHeight w:val="20"/>
        </w:trPr>
        <w:tc>
          <w:tcPr>
            <w:tcW w:w="6120" w:type="dxa"/>
            <w:vAlign w:val="bottom"/>
          </w:tcPr>
          <w:p>
            <w:pPr>
              <w:spacing w:after="0" w:line="20" w:lineRule="exact"/>
              <w:rPr>
                <w:sz w:val="1"/>
                <w:szCs w:val="1"/>
                <w:color w:val="auto"/>
              </w:rPr>
            </w:pPr>
          </w:p>
        </w:tc>
        <w:tc>
          <w:tcPr>
            <w:tcW w:w="28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8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5414010</wp:posOffset>
            </wp:positionH>
            <wp:positionV relativeFrom="paragraph">
              <wp:posOffset>-2725420</wp:posOffset>
            </wp:positionV>
            <wp:extent cx="60325" cy="825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-2725420</wp:posOffset>
            </wp:positionV>
            <wp:extent cx="59690" cy="8255"/>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59690" cy="8255"/>
                    </a:xfrm>
                    <a:prstGeom prst="rect">
                      <a:avLst/>
                    </a:prstGeom>
                    <a:noFill/>
                  </pic:spPr>
                </pic:pic>
              </a:graphicData>
            </a:graphic>
          </wp:anchor>
        </w:drawing>
        <w:drawing>
          <wp:anchor simplePos="0" relativeHeight="251657728" behindDoc="1" locked="0" layoutInCell="0" allowOverlap="1">
            <wp:simplePos x="0" y="0"/>
            <wp:positionH relativeFrom="column">
              <wp:posOffset>5414010</wp:posOffset>
            </wp:positionH>
            <wp:positionV relativeFrom="paragraph">
              <wp:posOffset>-2150745</wp:posOffset>
            </wp:positionV>
            <wp:extent cx="60325" cy="8255"/>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-2150745</wp:posOffset>
            </wp:positionV>
            <wp:extent cx="59690" cy="8255"/>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59690" cy="8255"/>
                    </a:xfrm>
                    <a:prstGeom prst="rect">
                      <a:avLst/>
                    </a:prstGeom>
                    <a:noFill/>
                  </pic:spPr>
                </pic:pic>
              </a:graphicData>
            </a:graphic>
          </wp:anchor>
        </w:drawing>
        <w:drawing>
          <wp:anchor simplePos="0" relativeHeight="251657728" behindDoc="1" locked="0" layoutInCell="0" allowOverlap="1">
            <wp:simplePos x="0" y="0"/>
            <wp:positionH relativeFrom="column">
              <wp:posOffset>5414010</wp:posOffset>
            </wp:positionH>
            <wp:positionV relativeFrom="paragraph">
              <wp:posOffset>-1585595</wp:posOffset>
            </wp:positionV>
            <wp:extent cx="60325" cy="8255"/>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-1585595</wp:posOffset>
            </wp:positionV>
            <wp:extent cx="59690" cy="8255"/>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59690" cy="8255"/>
                    </a:xfrm>
                    <a:prstGeom prst="rect">
                      <a:avLst/>
                    </a:prstGeom>
                    <a:noFill/>
                  </pic:spPr>
                </pic:pic>
              </a:graphicData>
            </a:graphic>
          </wp:anchor>
        </w:drawing>
        <w:drawing>
          <wp:anchor simplePos="0" relativeHeight="251657728" behindDoc="1" locked="0" layoutInCell="0" allowOverlap="1">
            <wp:simplePos x="0" y="0"/>
            <wp:positionH relativeFrom="column">
              <wp:posOffset>5414010</wp:posOffset>
            </wp:positionH>
            <wp:positionV relativeFrom="paragraph">
              <wp:posOffset>-1302385</wp:posOffset>
            </wp:positionV>
            <wp:extent cx="60325" cy="825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-1302385</wp:posOffset>
            </wp:positionV>
            <wp:extent cx="59690" cy="825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59690" cy="8255"/>
                    </a:xfrm>
                    <a:prstGeom prst="rect">
                      <a:avLst/>
                    </a:prstGeom>
                    <a:noFill/>
                  </pic:spPr>
                </pic:pic>
              </a:graphicData>
            </a:graphic>
          </wp:anchor>
        </w:drawing>
        <w:drawing>
          <wp:anchor simplePos="0" relativeHeight="251657728" behindDoc="1" locked="0" layoutInCell="0" allowOverlap="1">
            <wp:simplePos x="0" y="0"/>
            <wp:positionH relativeFrom="column">
              <wp:posOffset>5414010</wp:posOffset>
            </wp:positionH>
            <wp:positionV relativeFrom="paragraph">
              <wp:posOffset>-1010920</wp:posOffset>
            </wp:positionV>
            <wp:extent cx="60325" cy="889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60325" cy="8890"/>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-1010920</wp:posOffset>
            </wp:positionV>
            <wp:extent cx="59690" cy="889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59690" cy="8890"/>
                    </a:xfrm>
                    <a:prstGeom prst="rect">
                      <a:avLst/>
                    </a:prstGeom>
                    <a:noFill/>
                  </pic:spPr>
                </pic:pic>
              </a:graphicData>
            </a:graphic>
          </wp:anchor>
        </w:drawing>
        <w:drawing>
          <wp:anchor simplePos="0" relativeHeight="251657728" behindDoc="1" locked="0" layoutInCell="0" allowOverlap="1">
            <wp:simplePos x="0" y="0"/>
            <wp:positionH relativeFrom="column">
              <wp:posOffset>5414010</wp:posOffset>
            </wp:positionH>
            <wp:positionV relativeFrom="paragraph">
              <wp:posOffset>-170815</wp:posOffset>
            </wp:positionV>
            <wp:extent cx="60325" cy="825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-170815</wp:posOffset>
            </wp:positionV>
            <wp:extent cx="59690" cy="825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59690" cy="8255"/>
                    </a:xfrm>
                    <a:prstGeom prst="rect">
                      <a:avLst/>
                    </a:prstGeom>
                    <a:noFill/>
                  </pic:spPr>
                </pic:pic>
              </a:graphicData>
            </a:graphic>
          </wp:anchor>
        </w:drawing>
      </w:r>
    </w:p>
    <w:p>
      <w:pPr>
        <w:spacing w:after="0" w:line="20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We have incurred significant impairment losses on our digital assets, and we have recognized gains upon sale of our digital assets, which have been presented net of any impairment losses within operating expenses. However, the accounting for our digital assets will change upon our adoption of ASU 2023-08 on January 1, 2025. See Note 3, Recent Accounting Standards, to the Consolidated Financial Statements for further information. As a result, fluctuations in the price of bitcoin and fair value changes associated therewith will have a significant impact on our future operating results.</w:t>
      </w:r>
    </w:p>
    <w:p>
      <w:pPr>
        <w:spacing w:after="0" w:line="7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In addition, we base our operating expense budgets on expected revenue trends and strategic objectives. Many of our expenses, such as interest expense on debt, declared dividends on our preferred stock, tax liabilities, office leases and certain personnel costs, are relatively fixed. We may be unable to adjust spending quickly enough to offset any unexpected shortfall in our cash flow. Accordingly, we may be required to take actions to pay expenses, such as selling bitcoin or using proceeds from equity or debt financings, some of which could significantly impact our operating results in any period. We therefore believe that period-to-period comparisons of our operating results may not be a good indication of our future performance.</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0" w:name="page51"/>
    <w:bookmarkEnd w:id="50"/>
    <w:p>
      <w:pPr>
        <w:spacing w:after="0"/>
        <w:rPr>
          <w:sz w:val="20"/>
          <w:szCs w:val="20"/>
          <w:color w:val="auto"/>
        </w:rPr>
      </w:pPr>
      <w:r>
        <w:rPr>
          <w:rFonts w:ascii="Times New Roman" w:cs="Times New Roman" w:eastAsia="Times New Roman" w:hAnsi="Times New Roman"/>
          <w:sz w:val="18"/>
          <w:szCs w:val="18"/>
          <w:b w:val="1"/>
          <w:bCs w:val="1"/>
          <w:color w:val="auto"/>
        </w:rPr>
        <w:t>Share-based Compensation Expense</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As discussed in Note 11, Share-based Compensation, to the Consolidated Financial Statements, under our 2013 Stock Incentive Plan (as amended, the “2013 Equity Plan”) and 2023 Equity Incentive Plan (as amended, the “2023 Equity Plan”, and together with the 2013 Equity Plan, the “Stock Incentive Plans”), we have awarded stock options to purchase shares of our class A common stock, restricted stock units, performance stock units, and certain other stock-based awards. Each restricted stock unit and performance stock unit represents a contingent right to receive a share of our class A common stock upon the satisfaction of applicable vesting requirements. We also provide opportunities for eligible employees to purchase shares of our class A common stock under our 2021 Employee Stock Purchase Plan (the “2021 ESPP”). Share-based compensation expense (in thousands) from these awards was recognized in the following cost of revenues and operating expense line items for the periods indicated:</w:t>
      </w:r>
    </w:p>
    <w:p>
      <w:pPr>
        <w:spacing w:after="0" w:line="182" w:lineRule="exact"/>
        <w:rPr>
          <w:sz w:val="20"/>
          <w:szCs w:val="20"/>
          <w:color w:val="auto"/>
        </w:rPr>
      </w:pPr>
    </w:p>
    <w:tbl>
      <w:tblPr>
        <w:tblLayout w:type="fixed"/>
        <w:tblInd w:w="1140" w:type="dxa"/>
        <w:tblCellMar>
          <w:top w:w="0" w:type="dxa"/>
          <w:left w:w="0" w:type="dxa"/>
          <w:bottom w:w="0" w:type="dxa"/>
          <w:right w:w="0" w:type="dxa"/>
        </w:tblCellMar>
      </w:tblPr>
      <w:tr>
        <w:trPr>
          <w:trHeight w:val="173"/>
        </w:trPr>
        <w:tc>
          <w:tcPr>
            <w:tcW w:w="614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2540" w:type="dxa"/>
            <w:vAlign w:val="bottom"/>
            <w:gridSpan w:val="5"/>
          </w:tcPr>
          <w:p>
            <w:pPr>
              <w:ind w:left="24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r>
      <w:tr>
        <w:trPr>
          <w:trHeight w:val="142"/>
        </w:trPr>
        <w:tc>
          <w:tcPr>
            <w:tcW w:w="6140" w:type="dxa"/>
            <w:vAlign w:val="bottom"/>
          </w:tcPr>
          <w:p>
            <w:pPr>
              <w:spacing w:after="0"/>
              <w:rPr>
                <w:sz w:val="12"/>
                <w:szCs w:val="12"/>
                <w:color w:val="auto"/>
              </w:rPr>
            </w:pPr>
          </w:p>
        </w:tc>
        <w:tc>
          <w:tcPr>
            <w:tcW w:w="30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434"/>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00" w:type="dxa"/>
            <w:vAlign w:val="bottom"/>
            <w:tcBorders>
              <w:top w:val="single" w:sz="8" w:color="auto"/>
            </w:tcBorders>
          </w:tcPr>
          <w:p>
            <w:pPr>
              <w:spacing w:after="0"/>
              <w:rPr>
                <w:sz w:val="12"/>
                <w:szCs w:val="12"/>
                <w:color w:val="auto"/>
              </w:rPr>
            </w:pPr>
          </w:p>
        </w:tc>
        <w:tc>
          <w:tcPr>
            <w:tcW w:w="30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412"/>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80" w:type="dxa"/>
            <w:vAlign w:val="bottom"/>
          </w:tcPr>
          <w:p>
            <w:pPr>
              <w:spacing w:after="0"/>
              <w:rPr>
                <w:sz w:val="12"/>
                <w:szCs w:val="12"/>
                <w:color w:val="auto"/>
              </w:rPr>
            </w:pPr>
          </w:p>
        </w:tc>
      </w:tr>
      <w:tr>
        <w:trPr>
          <w:trHeight w:val="210"/>
        </w:trPr>
        <w:tc>
          <w:tcPr>
            <w:tcW w:w="61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Cost of subscription services revenues</w:t>
            </w:r>
          </w:p>
        </w:tc>
        <w:tc>
          <w:tcPr>
            <w:tcW w:w="30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392</w:t>
            </w:r>
          </w:p>
        </w:tc>
        <w:tc>
          <w:tcPr>
            <w:tcW w:w="50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361</w:t>
            </w:r>
          </w:p>
        </w:tc>
        <w:tc>
          <w:tcPr>
            <w:tcW w:w="80" w:type="dxa"/>
            <w:vAlign w:val="bottom"/>
            <w:shd w:val="clear" w:color="auto" w:fill="CFF0FC"/>
          </w:tcPr>
          <w:p>
            <w:pPr>
              <w:spacing w:after="0"/>
              <w:rPr>
                <w:sz w:val="18"/>
                <w:szCs w:val="18"/>
                <w:color w:val="auto"/>
              </w:rPr>
            </w:pPr>
          </w:p>
        </w:tc>
      </w:tr>
      <w:tr>
        <w:trPr>
          <w:trHeight w:val="216"/>
        </w:trPr>
        <w:tc>
          <w:tcPr>
            <w:tcW w:w="6140" w:type="dxa"/>
            <w:vAlign w:val="bottom"/>
          </w:tcPr>
          <w:p>
            <w:pPr>
              <w:spacing w:after="0"/>
              <w:rPr>
                <w:sz w:val="20"/>
                <w:szCs w:val="20"/>
                <w:color w:val="auto"/>
              </w:rPr>
            </w:pPr>
            <w:r>
              <w:rPr>
                <w:rFonts w:ascii="Times New Roman" w:cs="Times New Roman" w:eastAsia="Times New Roman" w:hAnsi="Times New Roman"/>
                <w:sz w:val="18"/>
                <w:szCs w:val="18"/>
                <w:color w:val="auto"/>
              </w:rPr>
              <w:t>Cost of product support revenues</w:t>
            </w:r>
          </w:p>
        </w:tc>
        <w:tc>
          <w:tcPr>
            <w:tcW w:w="30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3,929</w:t>
            </w:r>
          </w:p>
        </w:tc>
        <w:tc>
          <w:tcPr>
            <w:tcW w:w="20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2,156</w:t>
            </w:r>
          </w:p>
        </w:tc>
        <w:tc>
          <w:tcPr>
            <w:tcW w:w="80" w:type="dxa"/>
            <w:vAlign w:val="bottom"/>
          </w:tcPr>
          <w:p>
            <w:pPr>
              <w:spacing w:after="0"/>
              <w:rPr>
                <w:sz w:val="18"/>
                <w:szCs w:val="18"/>
                <w:color w:val="auto"/>
              </w:rPr>
            </w:pPr>
          </w:p>
        </w:tc>
      </w:tr>
      <w:tr>
        <w:trPr>
          <w:trHeight w:val="216"/>
        </w:trPr>
        <w:tc>
          <w:tcPr>
            <w:tcW w:w="61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Cost of consulting revenues</w:t>
            </w: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1,780</w:t>
            </w:r>
          </w:p>
        </w:tc>
        <w:tc>
          <w:tcPr>
            <w:tcW w:w="20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1,940</w:t>
            </w:r>
          </w:p>
        </w:tc>
        <w:tc>
          <w:tcPr>
            <w:tcW w:w="80" w:type="dxa"/>
            <w:vAlign w:val="bottom"/>
            <w:shd w:val="clear" w:color="auto" w:fill="CFF0FC"/>
          </w:tcPr>
          <w:p>
            <w:pPr>
              <w:spacing w:after="0"/>
              <w:rPr>
                <w:sz w:val="18"/>
                <w:szCs w:val="18"/>
                <w:color w:val="auto"/>
              </w:rPr>
            </w:pPr>
          </w:p>
        </w:tc>
      </w:tr>
      <w:tr>
        <w:trPr>
          <w:trHeight w:val="216"/>
        </w:trPr>
        <w:tc>
          <w:tcPr>
            <w:tcW w:w="6140" w:type="dxa"/>
            <w:vAlign w:val="bottom"/>
          </w:tcPr>
          <w:p>
            <w:pPr>
              <w:spacing w:after="0"/>
              <w:rPr>
                <w:sz w:val="20"/>
                <w:szCs w:val="20"/>
                <w:color w:val="auto"/>
              </w:rPr>
            </w:pPr>
            <w:r>
              <w:rPr>
                <w:rFonts w:ascii="Times New Roman" w:cs="Times New Roman" w:eastAsia="Times New Roman" w:hAnsi="Times New Roman"/>
                <w:sz w:val="18"/>
                <w:szCs w:val="18"/>
                <w:color w:val="auto"/>
              </w:rPr>
              <w:t>Cost of education revenues</w:t>
            </w:r>
          </w:p>
        </w:tc>
        <w:tc>
          <w:tcPr>
            <w:tcW w:w="30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136</w:t>
            </w:r>
          </w:p>
        </w:tc>
        <w:tc>
          <w:tcPr>
            <w:tcW w:w="20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99</w:t>
            </w:r>
          </w:p>
        </w:tc>
        <w:tc>
          <w:tcPr>
            <w:tcW w:w="80" w:type="dxa"/>
            <w:vAlign w:val="bottom"/>
          </w:tcPr>
          <w:p>
            <w:pPr>
              <w:spacing w:after="0"/>
              <w:rPr>
                <w:sz w:val="18"/>
                <w:szCs w:val="18"/>
                <w:color w:val="auto"/>
              </w:rPr>
            </w:pPr>
          </w:p>
        </w:tc>
      </w:tr>
      <w:tr>
        <w:trPr>
          <w:trHeight w:val="216"/>
        </w:trPr>
        <w:tc>
          <w:tcPr>
            <w:tcW w:w="61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Sales and marketing</w:t>
            </w: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14,846</w:t>
            </w:r>
          </w:p>
        </w:tc>
        <w:tc>
          <w:tcPr>
            <w:tcW w:w="20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18,022</w:t>
            </w:r>
          </w:p>
        </w:tc>
        <w:tc>
          <w:tcPr>
            <w:tcW w:w="80" w:type="dxa"/>
            <w:vAlign w:val="bottom"/>
            <w:shd w:val="clear" w:color="auto" w:fill="CFF0FC"/>
          </w:tcPr>
          <w:p>
            <w:pPr>
              <w:spacing w:after="0"/>
              <w:rPr>
                <w:sz w:val="18"/>
                <w:szCs w:val="18"/>
                <w:color w:val="auto"/>
              </w:rPr>
            </w:pPr>
          </w:p>
        </w:tc>
      </w:tr>
      <w:tr>
        <w:trPr>
          <w:trHeight w:val="216"/>
        </w:trPr>
        <w:tc>
          <w:tcPr>
            <w:tcW w:w="6140" w:type="dxa"/>
            <w:vAlign w:val="bottom"/>
          </w:tcPr>
          <w:p>
            <w:pPr>
              <w:spacing w:after="0"/>
              <w:rPr>
                <w:sz w:val="20"/>
                <w:szCs w:val="20"/>
                <w:color w:val="auto"/>
              </w:rPr>
            </w:pPr>
            <w:r>
              <w:rPr>
                <w:rFonts w:ascii="Times New Roman" w:cs="Times New Roman" w:eastAsia="Times New Roman" w:hAnsi="Times New Roman"/>
                <w:sz w:val="18"/>
                <w:szCs w:val="18"/>
                <w:color w:val="auto"/>
              </w:rPr>
              <w:t>Research and development</w:t>
            </w:r>
          </w:p>
        </w:tc>
        <w:tc>
          <w:tcPr>
            <w:tcW w:w="30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14,357</w:t>
            </w:r>
          </w:p>
        </w:tc>
        <w:tc>
          <w:tcPr>
            <w:tcW w:w="20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13,549</w:t>
            </w:r>
          </w:p>
        </w:tc>
        <w:tc>
          <w:tcPr>
            <w:tcW w:w="80" w:type="dxa"/>
            <w:vAlign w:val="bottom"/>
          </w:tcPr>
          <w:p>
            <w:pPr>
              <w:spacing w:after="0"/>
              <w:rPr>
                <w:sz w:val="18"/>
                <w:szCs w:val="18"/>
                <w:color w:val="auto"/>
              </w:rPr>
            </w:pPr>
          </w:p>
        </w:tc>
      </w:tr>
      <w:tr>
        <w:trPr>
          <w:trHeight w:val="216"/>
        </w:trPr>
        <w:tc>
          <w:tcPr>
            <w:tcW w:w="61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30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41,684</w:t>
            </w:r>
          </w:p>
        </w:tc>
        <w:tc>
          <w:tcPr>
            <w:tcW w:w="200" w:type="dxa"/>
            <w:vAlign w:val="bottom"/>
            <w:tcBorders>
              <w:bottom w:val="single" w:sz="8" w:color="CFF0FC"/>
            </w:tcBorders>
            <w:shd w:val="clear" w:color="auto" w:fill="CFF0FC"/>
          </w:tcPr>
          <w:p>
            <w:pPr>
              <w:spacing w:after="0"/>
              <w:rPr>
                <w:sz w:val="18"/>
                <w:szCs w:val="18"/>
                <w:color w:val="auto"/>
              </w:rPr>
            </w:pPr>
          </w:p>
        </w:tc>
        <w:tc>
          <w:tcPr>
            <w:tcW w:w="30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33,444</w:t>
            </w:r>
          </w:p>
        </w:tc>
        <w:tc>
          <w:tcPr>
            <w:tcW w:w="80" w:type="dxa"/>
            <w:vAlign w:val="bottom"/>
            <w:tcBorders>
              <w:bottom w:val="single" w:sz="8" w:color="CFF0FC"/>
            </w:tcBorders>
            <w:shd w:val="clear" w:color="auto" w:fill="CFF0FC"/>
          </w:tcPr>
          <w:p>
            <w:pPr>
              <w:spacing w:after="0"/>
              <w:rPr>
                <w:sz w:val="18"/>
                <w:szCs w:val="18"/>
                <w:color w:val="auto"/>
              </w:rPr>
            </w:pPr>
          </w:p>
        </w:tc>
      </w:tr>
      <w:tr>
        <w:trPr>
          <w:trHeight w:val="209"/>
        </w:trPr>
        <w:tc>
          <w:tcPr>
            <w:tcW w:w="614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share-based compensation expense</w:t>
            </w:r>
          </w:p>
        </w:tc>
        <w:tc>
          <w:tcPr>
            <w:tcW w:w="30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77,124</w:t>
            </w:r>
          </w:p>
        </w:tc>
        <w:tc>
          <w:tcPr>
            <w:tcW w:w="50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69,571</w:t>
            </w:r>
          </w:p>
        </w:tc>
        <w:tc>
          <w:tcPr>
            <w:tcW w:w="80" w:type="dxa"/>
            <w:vAlign w:val="bottom"/>
          </w:tcPr>
          <w:p>
            <w:pPr>
              <w:spacing w:after="0"/>
              <w:rPr>
                <w:sz w:val="18"/>
                <w:szCs w:val="18"/>
                <w:color w:val="auto"/>
              </w:rPr>
            </w:pPr>
          </w:p>
        </w:tc>
      </w:tr>
      <w:tr>
        <w:trPr>
          <w:trHeight w:val="20"/>
        </w:trPr>
        <w:tc>
          <w:tcPr>
            <w:tcW w:w="6140" w:type="dxa"/>
            <w:vAlign w:val="bottom"/>
          </w:tcPr>
          <w:p>
            <w:pPr>
              <w:spacing w:after="0" w:line="20" w:lineRule="exact"/>
              <w:rPr>
                <w:sz w:val="1"/>
                <w:szCs w:val="1"/>
                <w:color w:val="auto"/>
              </w:rPr>
            </w:pPr>
          </w:p>
        </w:tc>
        <w:tc>
          <w:tcPr>
            <w:tcW w:w="30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30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5431155</wp:posOffset>
            </wp:positionH>
            <wp:positionV relativeFrom="paragraph">
              <wp:posOffset>-170815</wp:posOffset>
            </wp:positionV>
            <wp:extent cx="51435" cy="825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0">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6374130</wp:posOffset>
            </wp:positionH>
            <wp:positionV relativeFrom="paragraph">
              <wp:posOffset>-170815</wp:posOffset>
            </wp:positionV>
            <wp:extent cx="51435" cy="8255"/>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extLst>
                    </a:blip>
                    <a:srcRect/>
                    <a:stretch>
                      <a:fillRect/>
                    </a:stretch>
                  </pic:blipFill>
                  <pic:spPr bwMode="auto">
                    <a:xfrm>
                      <a:off x="0" y="0"/>
                      <a:ext cx="51435" cy="8255"/>
                    </a:xfrm>
                    <a:prstGeom prst="rect">
                      <a:avLst/>
                    </a:prstGeom>
                    <a:noFill/>
                  </pic:spPr>
                </pic:pic>
              </a:graphicData>
            </a:graphic>
          </wp:anchor>
        </w:drawing>
      </w:r>
    </w:p>
    <w:p>
      <w:pPr>
        <w:spacing w:after="0" w:line="20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$7.6 million increase in share-based compensation expense during 2024, as compared to the prior year, is primarily due to the grant of additional awards under the Stock Incentive Plans, partially offset by the forfeiture of certain awards and certain awards that became fully vested. As of December 31, 2024, we estimated that an aggregate of approximately $114.3 million of additional share-based compensation expense associated with the Stock Incentive Plans and the 2021 ESPP will be recognized over a remaining weighted average period of 2.3 years.</w:t>
      </w:r>
    </w:p>
    <w:p>
      <w:pPr>
        <w:spacing w:after="0" w:line="10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Critical Accounting Estimates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Our discussion and analysis of our financial condition and results of operations are based on our Consolidated Financial Statements, which have been prepared in accordance with GAAP. See Note 2, Summary of Significant Accounting Policies, to the Consolidated Financial Statements for a description of our significant accounting policies. As described in Note 2, the preparation of our Consolidated Financial Statements requires us to make estimates and judgments that affect the reported amounts of assets, liabilities, and equity, the disclosure of contingent assets and liabilities at the date of the financial statements, and the reported amounts of revenues and expenses during the reporting period. Actual results and outcomes could differ from these estimates and assumptions.</w:t>
      </w:r>
    </w:p>
    <w:p>
      <w:pPr>
        <w:spacing w:after="0" w:line="7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Critical accounting estimates involve a significant level of estimation uncertainty and are estimates that have had or are reasonably likely to have a material impact on our financial condition or results of operations. We consider certain estimates and judgments related to revenue recognition to be critical accounting estimates for us, as discussed further below.</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Revenue Recognition</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See Note 2(n), Summary of Significant Accounting Policies – Revenue Recognition, to the Consolidated Financial Statements for information regarding our significant accounting policies over revenue recognition.</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Many of our contracts with customers include multiple performance obligations, and we make estimates and judgments to allocate the transaction price to each performance obligation based on an observable or estimated standalone selling price (“SSP”). The SSP is the price, or estimated price, of the software or service when sold on a standalone basis at contract inception. We consider our evaluation of SSP to be a critical accounting estimate.</w:t>
      </w:r>
    </w:p>
    <w:p>
      <w:pPr>
        <w:spacing w:after="0" w:line="68"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An observable price of a good or service sold separately provides the best evidence of SSP. However, in many situations, SSP will not be readily observable, but must still be estimated using reasonably available information. We have observable standalone selling prices of our product support, consulting services, and education services, and therefore use historical transaction data on a standalone basis, along with our judgment, to establish SSP ranges for each of these services, as described in Note 2(n). However, SSP is not directly observable for product licenses (product licenses are not sold on a standalone basis and pricing is highly variable) and subscription services (the selling price of subscription services is highly variable), and we use a residual approach to establish SSP for these revenue streams. As such, the establishment of SSP of our product support, consulting services, and education services directly impacts the amount of product licenses and subscription services revenues recognized, and therefore also impacts the overall timing of revenue recognition.</w:t>
      </w:r>
    </w:p>
    <w:p>
      <w:pPr>
        <w:spacing w:after="0" w:line="8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review and analyze the SSP ranges we have established for product support, consulting services, and education services semi-annually, and these SSP ranges do not change significantly year to year. We also perform analyses on at least an annual basis using historical pricing data for both product license and subscription services transactions to assess whether the selling price is highly variable</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30" w:right="339" w:bottom="1440" w:gutter="0" w:footer="0" w:header="0"/>
        </w:sectPr>
      </w:pPr>
    </w:p>
    <w:bookmarkStart w:id="51" w:name="page52"/>
    <w:bookmarkEnd w:id="51"/>
    <w:p>
      <w:pPr>
        <w:jc w:val="both"/>
        <w:spacing w:after="0" w:line="282" w:lineRule="auto"/>
        <w:rPr>
          <w:sz w:val="20"/>
          <w:szCs w:val="20"/>
          <w:color w:val="auto"/>
        </w:rPr>
      </w:pPr>
      <w:r>
        <w:rPr>
          <w:rFonts w:ascii="Times New Roman" w:cs="Times New Roman" w:eastAsia="Times New Roman" w:hAnsi="Times New Roman"/>
          <w:sz w:val="18"/>
          <w:szCs w:val="18"/>
          <w:color w:val="auto"/>
        </w:rPr>
        <w:t>in order to support our conclusion that the residual method to estimate SSP of our product licenses and subscription services continues to be a fair allocation of the transaction price.</w:t>
      </w:r>
    </w:p>
    <w:p>
      <w:pPr>
        <w:spacing w:after="0" w:line="5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the future, SSP for our software and services could be impacted by various factors, including potential changes in our pricing practices, customer demand for our products and services, and various market or economic conditions. However, we consider the risk of significant volatility in our established SSP to be small given our historical transaction experience and internal processes to monitor SSP ranges on an ongoing basis and work with management in the event a trend that could impact the future ranges is detected.</w:t>
      </w:r>
    </w:p>
    <w:p>
      <w:pPr>
        <w:spacing w:after="0" w:line="12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Results of Operations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Comparison of the Years Ended December 31, 2024 and 2023</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Revenues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Except as otherwise indicated herein, the term “domestic” refers to operations in the United States and Canada and the term “international” refers to operations outside of the United States and Canada.</w:t>
      </w:r>
    </w:p>
    <w:p>
      <w:pPr>
        <w:spacing w:after="0" w:line="158"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 xml:space="preserve">Product licenses and subscription services revenues. </w:t>
      </w:r>
      <w:r>
        <w:rPr>
          <w:rFonts w:ascii="Times New Roman" w:cs="Times New Roman" w:eastAsia="Times New Roman" w:hAnsi="Times New Roman"/>
          <w:sz w:val="18"/>
          <w:szCs w:val="18"/>
          <w:color w:val="auto"/>
        </w:rPr>
        <w:t>The following table sets forth product licenses and subscription services revenues (in thousands) and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related percentage changes for the periods indicated:</w:t>
      </w:r>
    </w:p>
    <w:p>
      <w:pPr>
        <w:spacing w:after="0" w:line="152"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60" w:type="dxa"/>
            <w:vAlign w:val="bottom"/>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2600" w:type="dxa"/>
            <w:vAlign w:val="bottom"/>
            <w:tcBorders>
              <w:bottom w:val="single" w:sz="8" w:color="auto"/>
            </w:tcBorders>
            <w:gridSpan w:val="4"/>
          </w:tcPr>
          <w:p>
            <w:pPr>
              <w:jc w:val="right"/>
              <w:ind w:right="552"/>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200" w:type="dxa"/>
            <w:vAlign w:val="bottom"/>
          </w:tcPr>
          <w:p>
            <w:pPr>
              <w:spacing w:after="0"/>
              <w:rPr>
                <w:sz w:val="15"/>
                <w:szCs w:val="15"/>
                <w:color w:val="auto"/>
              </w:rPr>
            </w:pPr>
          </w:p>
        </w:tc>
        <w:tc>
          <w:tcPr>
            <w:tcW w:w="1560" w:type="dxa"/>
            <w:vAlign w:val="bottom"/>
            <w:gridSpan w:val="2"/>
            <w:vMerge w:val="restart"/>
          </w:tcPr>
          <w:p>
            <w:pPr>
              <w:jc w:val="right"/>
              <w:ind w:right="560"/>
              <w:spacing w:after="0"/>
              <w:rPr>
                <w:sz w:val="20"/>
                <w:szCs w:val="20"/>
                <w:color w:val="auto"/>
              </w:rPr>
            </w:pPr>
            <w:r>
              <w:rPr>
                <w:rFonts w:ascii="Times New Roman" w:cs="Times New Roman" w:eastAsia="Times New Roman" w:hAnsi="Times New Roman"/>
                <w:sz w:val="14"/>
                <w:szCs w:val="14"/>
                <w:b w:val="1"/>
                <w:bCs w:val="1"/>
                <w:color w:val="auto"/>
              </w:rPr>
              <w:t>% Change</w:t>
            </w:r>
          </w:p>
        </w:tc>
        <w:tc>
          <w:tcPr>
            <w:tcW w:w="0" w:type="dxa"/>
            <w:vAlign w:val="bottom"/>
          </w:tcPr>
          <w:p>
            <w:pPr>
              <w:spacing w:after="0"/>
              <w:rPr>
                <w:sz w:val="1"/>
                <w:szCs w:val="1"/>
                <w:color w:val="auto"/>
              </w:rPr>
            </w:pPr>
          </w:p>
        </w:tc>
      </w:tr>
      <w:tr>
        <w:trPr>
          <w:trHeight w:val="142"/>
        </w:trPr>
        <w:tc>
          <w:tcPr>
            <w:tcW w:w="65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020" w:type="dxa"/>
            <w:vAlign w:val="bottom"/>
          </w:tcPr>
          <w:p>
            <w:pPr>
              <w:jc w:val="right"/>
              <w:ind w:right="454"/>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020" w:type="dxa"/>
            <w:vAlign w:val="bottom"/>
          </w:tcPr>
          <w:p>
            <w:pPr>
              <w:jc w:val="right"/>
              <w:ind w:right="452"/>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1560" w:type="dxa"/>
            <w:vAlign w:val="bottom"/>
            <w:gridSpan w:val="2"/>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Licenses and Subscription Services Revenues:</w:t>
            </w:r>
          </w:p>
        </w:tc>
        <w:tc>
          <w:tcPr>
            <w:tcW w:w="3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3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380" w:type="dxa"/>
            <w:vAlign w:val="bottom"/>
            <w:tcBorders>
              <w:top w:val="single" w:sz="8" w:color="auto"/>
            </w:tcBorders>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5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Product Licenses</w:t>
            </w: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56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Domestic</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19,803</w:t>
            </w:r>
          </w:p>
        </w:tc>
        <w:tc>
          <w:tcPr>
            <w:tcW w:w="5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39,193</w:t>
            </w:r>
          </w:p>
        </w:tc>
        <w:tc>
          <w:tcPr>
            <w:tcW w:w="1760" w:type="dxa"/>
            <w:vAlign w:val="bottom"/>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-49.5 %</w:t>
            </w:r>
          </w:p>
        </w:tc>
        <w:tc>
          <w:tcPr>
            <w:tcW w:w="0" w:type="dxa"/>
            <w:vAlign w:val="bottom"/>
          </w:tcPr>
          <w:p>
            <w:pPr>
              <w:spacing w:after="0"/>
              <w:rPr>
                <w:sz w:val="1"/>
                <w:szCs w:val="1"/>
                <w:color w:val="auto"/>
              </w:rPr>
            </w:pPr>
          </w:p>
        </w:tc>
      </w:tr>
      <w:tr>
        <w:trPr>
          <w:trHeight w:val="216"/>
        </w:trPr>
        <w:tc>
          <w:tcPr>
            <w:tcW w:w="656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International</w:t>
            </w: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28,764</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36,158</w:t>
            </w:r>
          </w:p>
        </w:tc>
        <w:tc>
          <w:tcPr>
            <w:tcW w:w="1760" w:type="dxa"/>
            <w:vAlign w:val="bottom"/>
            <w:gridSpan w:val="3"/>
          </w:tcPr>
          <w:p>
            <w:pPr>
              <w:jc w:val="right"/>
              <w:ind w:right="20"/>
              <w:spacing w:after="0"/>
              <w:rPr>
                <w:sz w:val="20"/>
                <w:szCs w:val="20"/>
                <w:color w:val="auto"/>
              </w:rPr>
            </w:pPr>
            <w:r>
              <w:rPr>
                <w:rFonts w:ascii="Times New Roman" w:cs="Times New Roman" w:eastAsia="Times New Roman" w:hAnsi="Times New Roman"/>
                <w:sz w:val="18"/>
                <w:szCs w:val="18"/>
                <w:color w:val="auto"/>
              </w:rPr>
              <w:t>-20.4 %</w:t>
            </w:r>
          </w:p>
        </w:tc>
        <w:tc>
          <w:tcPr>
            <w:tcW w:w="0" w:type="dxa"/>
            <w:vAlign w:val="bottom"/>
          </w:tcPr>
          <w:p>
            <w:pPr>
              <w:spacing w:after="0"/>
              <w:rPr>
                <w:sz w:val="1"/>
                <w:szCs w:val="1"/>
                <w:color w:val="auto"/>
              </w:rPr>
            </w:pPr>
          </w:p>
        </w:tc>
      </w:tr>
      <w:tr>
        <w:trPr>
          <w:trHeight w:val="209"/>
        </w:trPr>
        <w:tc>
          <w:tcPr>
            <w:tcW w:w="6560" w:type="dxa"/>
            <w:vAlign w:val="bottom"/>
            <w:tcBorders>
              <w:bottom w:val="single" w:sz="8" w:color="CFF0FC"/>
            </w:tcBorders>
            <w:shd w:val="clear" w:color="auto" w:fill="CFF0FC"/>
          </w:tcPr>
          <w:p>
            <w:pPr>
              <w:ind w:left="480"/>
              <w:spacing w:after="0"/>
              <w:rPr>
                <w:sz w:val="20"/>
                <w:szCs w:val="20"/>
                <w:color w:val="auto"/>
              </w:rPr>
            </w:pPr>
            <w:r>
              <w:rPr>
                <w:rFonts w:ascii="Times New Roman" w:cs="Times New Roman" w:eastAsia="Times New Roman" w:hAnsi="Times New Roman"/>
                <w:sz w:val="18"/>
                <w:szCs w:val="18"/>
                <w:color w:val="auto"/>
              </w:rPr>
              <w:t>Total product licenses revenues</w:t>
            </w: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48,567</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75,351</w:t>
            </w:r>
          </w:p>
        </w:tc>
        <w:tc>
          <w:tcPr>
            <w:tcW w:w="1760" w:type="dxa"/>
            <w:vAlign w:val="bottom"/>
            <w:tcBorders>
              <w:bottom w:val="single" w:sz="8" w:color="CFF0FC"/>
            </w:tcBorders>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-35.5 %</w:t>
            </w:r>
          </w:p>
        </w:tc>
        <w:tc>
          <w:tcPr>
            <w:tcW w:w="0" w:type="dxa"/>
            <w:vAlign w:val="bottom"/>
          </w:tcPr>
          <w:p>
            <w:pPr>
              <w:spacing w:after="0"/>
              <w:rPr>
                <w:sz w:val="1"/>
                <w:szCs w:val="1"/>
                <w:color w:val="auto"/>
              </w:rPr>
            </w:pPr>
          </w:p>
        </w:tc>
      </w:tr>
      <w:tr>
        <w:trPr>
          <w:trHeight w:val="210"/>
        </w:trPr>
        <w:tc>
          <w:tcPr>
            <w:tcW w:w="65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Subscription Services</w:t>
            </w: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56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Domestic</w:t>
            </w: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66,820</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52,528</w:t>
            </w:r>
          </w:p>
        </w:tc>
        <w:tc>
          <w:tcPr>
            <w:tcW w:w="1760" w:type="dxa"/>
            <w:vAlign w:val="bottom"/>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27.2 %</w:t>
            </w:r>
          </w:p>
        </w:tc>
        <w:tc>
          <w:tcPr>
            <w:tcW w:w="0" w:type="dxa"/>
            <w:vAlign w:val="bottom"/>
          </w:tcPr>
          <w:p>
            <w:pPr>
              <w:spacing w:after="0"/>
              <w:rPr>
                <w:sz w:val="1"/>
                <w:szCs w:val="1"/>
                <w:color w:val="auto"/>
              </w:rPr>
            </w:pPr>
          </w:p>
        </w:tc>
      </w:tr>
      <w:tr>
        <w:trPr>
          <w:trHeight w:val="216"/>
        </w:trPr>
        <w:tc>
          <w:tcPr>
            <w:tcW w:w="656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International</w:t>
            </w: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39,956</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28,651</w:t>
            </w:r>
          </w:p>
        </w:tc>
        <w:tc>
          <w:tcPr>
            <w:tcW w:w="1760" w:type="dxa"/>
            <w:vAlign w:val="bottom"/>
            <w:gridSpan w:val="3"/>
          </w:tcPr>
          <w:p>
            <w:pPr>
              <w:jc w:val="right"/>
              <w:ind w:right="20"/>
              <w:spacing w:after="0"/>
              <w:rPr>
                <w:sz w:val="20"/>
                <w:szCs w:val="20"/>
                <w:color w:val="auto"/>
              </w:rPr>
            </w:pPr>
            <w:r>
              <w:rPr>
                <w:rFonts w:ascii="Times New Roman" w:cs="Times New Roman" w:eastAsia="Times New Roman" w:hAnsi="Times New Roman"/>
                <w:sz w:val="18"/>
                <w:szCs w:val="18"/>
                <w:color w:val="auto"/>
              </w:rPr>
              <w:t>39.5 %</w:t>
            </w:r>
          </w:p>
        </w:tc>
        <w:tc>
          <w:tcPr>
            <w:tcW w:w="0" w:type="dxa"/>
            <w:vAlign w:val="bottom"/>
          </w:tcPr>
          <w:p>
            <w:pPr>
              <w:spacing w:after="0"/>
              <w:rPr>
                <w:sz w:val="1"/>
                <w:szCs w:val="1"/>
                <w:color w:val="auto"/>
              </w:rPr>
            </w:pPr>
          </w:p>
        </w:tc>
      </w:tr>
      <w:tr>
        <w:trPr>
          <w:trHeight w:val="210"/>
        </w:trPr>
        <w:tc>
          <w:tcPr>
            <w:tcW w:w="6560" w:type="dxa"/>
            <w:vAlign w:val="bottom"/>
            <w:tcBorders>
              <w:bottom w:val="single" w:sz="8" w:color="CFF0FC"/>
            </w:tcBorders>
            <w:shd w:val="clear" w:color="auto" w:fill="CFF0FC"/>
          </w:tcPr>
          <w:p>
            <w:pPr>
              <w:ind w:left="480"/>
              <w:spacing w:after="0"/>
              <w:rPr>
                <w:sz w:val="20"/>
                <w:szCs w:val="20"/>
                <w:color w:val="auto"/>
              </w:rPr>
            </w:pPr>
            <w:r>
              <w:rPr>
                <w:rFonts w:ascii="Times New Roman" w:cs="Times New Roman" w:eastAsia="Times New Roman" w:hAnsi="Times New Roman"/>
                <w:sz w:val="18"/>
                <w:szCs w:val="18"/>
                <w:color w:val="auto"/>
              </w:rPr>
              <w:t>Total subscription services revenues</w:t>
            </w: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106,776</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81,179</w:t>
            </w:r>
          </w:p>
        </w:tc>
        <w:tc>
          <w:tcPr>
            <w:tcW w:w="1760" w:type="dxa"/>
            <w:vAlign w:val="bottom"/>
            <w:tcBorders>
              <w:bottom w:val="single" w:sz="8" w:color="CFF0FC"/>
            </w:tcBorders>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31.5 %</w:t>
            </w:r>
          </w:p>
        </w:tc>
        <w:tc>
          <w:tcPr>
            <w:tcW w:w="0" w:type="dxa"/>
            <w:vAlign w:val="bottom"/>
          </w:tcPr>
          <w:p>
            <w:pPr>
              <w:spacing w:after="0"/>
              <w:rPr>
                <w:sz w:val="1"/>
                <w:szCs w:val="1"/>
                <w:color w:val="auto"/>
              </w:rPr>
            </w:pPr>
          </w:p>
        </w:tc>
      </w:tr>
      <w:tr>
        <w:trPr>
          <w:trHeight w:val="209"/>
        </w:trPr>
        <w:tc>
          <w:tcPr>
            <w:tcW w:w="656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Total product licenses and subscription services revenues</w:t>
            </w: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155,343</w:t>
            </w:r>
          </w:p>
        </w:tc>
        <w:tc>
          <w:tcPr>
            <w:tcW w:w="56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156,530</w:t>
            </w:r>
          </w:p>
        </w:tc>
        <w:tc>
          <w:tcPr>
            <w:tcW w:w="1760" w:type="dxa"/>
            <w:vAlign w:val="bottom"/>
            <w:gridSpan w:val="3"/>
          </w:tcPr>
          <w:p>
            <w:pPr>
              <w:jc w:val="right"/>
              <w:ind w:right="20"/>
              <w:spacing w:after="0"/>
              <w:rPr>
                <w:sz w:val="20"/>
                <w:szCs w:val="20"/>
                <w:color w:val="auto"/>
              </w:rPr>
            </w:pPr>
            <w:r>
              <w:rPr>
                <w:rFonts w:ascii="Times New Roman" w:cs="Times New Roman" w:eastAsia="Times New Roman" w:hAnsi="Times New Roman"/>
                <w:sz w:val="18"/>
                <w:szCs w:val="18"/>
                <w:color w:val="auto"/>
              </w:rPr>
              <w:t>-0.8 %</w:t>
            </w:r>
          </w:p>
        </w:tc>
        <w:tc>
          <w:tcPr>
            <w:tcW w:w="0" w:type="dxa"/>
            <w:vAlign w:val="bottom"/>
          </w:tcPr>
          <w:p>
            <w:pPr>
              <w:spacing w:after="0"/>
              <w:rPr>
                <w:sz w:val="1"/>
                <w:szCs w:val="1"/>
                <w:color w:val="auto"/>
              </w:rPr>
            </w:pPr>
          </w:p>
        </w:tc>
      </w:tr>
      <w:tr>
        <w:trPr>
          <w:trHeight w:val="20"/>
        </w:trPr>
        <w:tc>
          <w:tcPr>
            <w:tcW w:w="6560" w:type="dxa"/>
            <w:vAlign w:val="bottom"/>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380" w:type="dxa"/>
            <w:vAlign w:val="bottom"/>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5011420</wp:posOffset>
            </wp:positionH>
            <wp:positionV relativeFrom="paragraph">
              <wp:posOffset>-736600</wp:posOffset>
            </wp:positionV>
            <wp:extent cx="68580" cy="8255"/>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-736600</wp:posOffset>
            </wp:positionV>
            <wp:extent cx="68580" cy="825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-170815</wp:posOffset>
            </wp:positionV>
            <wp:extent cx="68580" cy="8255"/>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-170815</wp:posOffset>
            </wp:positionV>
            <wp:extent cx="68580" cy="8255"/>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6">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4"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 xml:space="preserve">Product licenses revenues. </w:t>
      </w:r>
      <w:r>
        <w:rPr>
          <w:rFonts w:ascii="Times New Roman" w:cs="Times New Roman" w:eastAsia="Times New Roman" w:hAnsi="Times New Roman"/>
          <w:sz w:val="18"/>
          <w:szCs w:val="18"/>
          <w:color w:val="auto"/>
        </w:rPr>
        <w:t>Product licenses revenues decreased $26.8 million during 2024, as compared to the prior year, primarily due to an overall</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decrease in the volume of deals. Our product licenses revenues may continue to experience declines in future periods as we continue to promote our cloud offering to new and existing customers.</w:t>
      </w:r>
    </w:p>
    <w:p>
      <w:pPr>
        <w:spacing w:after="0" w:line="171" w:lineRule="exact"/>
        <w:rPr>
          <w:sz w:val="20"/>
          <w:szCs w:val="20"/>
          <w:color w:val="auto"/>
        </w:rPr>
      </w:pPr>
    </w:p>
    <w:p>
      <w:pPr>
        <w:jc w:val="both"/>
        <w:spacing w:after="0" w:line="259" w:lineRule="auto"/>
        <w:rPr>
          <w:sz w:val="20"/>
          <w:szCs w:val="20"/>
          <w:color w:val="auto"/>
        </w:rPr>
      </w:pPr>
      <w:r>
        <w:rPr>
          <w:rFonts w:ascii="Times New Roman" w:cs="Times New Roman" w:eastAsia="Times New Roman" w:hAnsi="Times New Roman"/>
          <w:sz w:val="18"/>
          <w:szCs w:val="18"/>
          <w:b w:val="1"/>
          <w:bCs w:val="1"/>
          <w:i w:val="1"/>
          <w:iCs w:val="1"/>
          <w:color w:val="auto"/>
        </w:rPr>
        <w:t xml:space="preserve">Subscription services revenues. </w:t>
      </w:r>
      <w:r>
        <w:rPr>
          <w:rFonts w:ascii="Times New Roman" w:cs="Times New Roman" w:eastAsia="Times New Roman" w:hAnsi="Times New Roman"/>
          <w:sz w:val="18"/>
          <w:szCs w:val="18"/>
          <w:color w:val="auto"/>
        </w:rPr>
        <w:t>Subscription services revenues are derived from our cloud subscription service for commercial and government use and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are recognized ratably over the service period in the contract. Subscription services revenues increased $25.6 million during 2024, as compared to the prior year, primarily due to conversions to cloud-based subscriptions from existing on-premises customers, a net increase in the use of subscription services by existing customers, and sales contracts with new customers. We expect our subscription services revenues to continue to grow in future periods as we continue to promote our cloud offering to new and existing customers.</w:t>
      </w:r>
    </w:p>
    <w:p>
      <w:pPr>
        <w:spacing w:after="0" w:line="179" w:lineRule="exact"/>
        <w:rPr>
          <w:sz w:val="20"/>
          <w:szCs w:val="20"/>
          <w:color w:val="auto"/>
        </w:rPr>
      </w:pPr>
    </w:p>
    <w:p>
      <w:pPr>
        <w:jc w:val="both"/>
        <w:ind w:right="20"/>
        <w:spacing w:after="0" w:line="263" w:lineRule="auto"/>
        <w:rPr>
          <w:sz w:val="20"/>
          <w:szCs w:val="20"/>
          <w:color w:val="auto"/>
        </w:rPr>
      </w:pPr>
      <w:r>
        <w:rPr>
          <w:rFonts w:ascii="Times New Roman" w:cs="Times New Roman" w:eastAsia="Times New Roman" w:hAnsi="Times New Roman"/>
          <w:sz w:val="18"/>
          <w:szCs w:val="18"/>
          <w:b w:val="1"/>
          <w:bCs w:val="1"/>
          <w:i w:val="1"/>
          <w:iCs w:val="1"/>
          <w:color w:val="auto"/>
        </w:rPr>
        <w:t xml:space="preserve">Product support revenues. </w:t>
      </w:r>
      <w:r>
        <w:rPr>
          <w:rFonts w:ascii="Times New Roman" w:cs="Times New Roman" w:eastAsia="Times New Roman" w:hAnsi="Times New Roman"/>
          <w:sz w:val="18"/>
          <w:szCs w:val="18"/>
          <w:color w:val="auto"/>
        </w:rPr>
        <w:t>The following table sets forth product support revenues (in thousands) and related percentage changes for the periods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indicated:</w:t>
      </w:r>
    </w:p>
    <w:p>
      <w:pPr>
        <w:spacing w:after="0" w:line="200" w:lineRule="exact"/>
        <w:rPr>
          <w:sz w:val="20"/>
          <w:szCs w:val="20"/>
          <w:color w:val="auto"/>
        </w:rPr>
      </w:pP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60" w:type="dxa"/>
            <w:vAlign w:val="bottom"/>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2600" w:type="dxa"/>
            <w:vAlign w:val="bottom"/>
            <w:tcBorders>
              <w:bottom w:val="single" w:sz="8" w:color="auto"/>
            </w:tcBorders>
            <w:gridSpan w:val="4"/>
          </w:tcPr>
          <w:p>
            <w:pPr>
              <w:jc w:val="right"/>
              <w:ind w:right="555"/>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200" w:type="dxa"/>
            <w:vAlign w:val="bottom"/>
          </w:tcPr>
          <w:p>
            <w:pPr>
              <w:spacing w:after="0"/>
              <w:rPr>
                <w:sz w:val="15"/>
                <w:szCs w:val="15"/>
                <w:color w:val="auto"/>
              </w:rPr>
            </w:pPr>
          </w:p>
        </w:tc>
        <w:tc>
          <w:tcPr>
            <w:tcW w:w="1560" w:type="dxa"/>
            <w:vAlign w:val="bottom"/>
            <w:gridSpan w:val="2"/>
            <w:vMerge w:val="restart"/>
          </w:tcPr>
          <w:p>
            <w:pPr>
              <w:jc w:val="right"/>
              <w:ind w:right="560"/>
              <w:spacing w:after="0"/>
              <w:rPr>
                <w:sz w:val="20"/>
                <w:szCs w:val="20"/>
                <w:color w:val="auto"/>
              </w:rPr>
            </w:pPr>
            <w:r>
              <w:rPr>
                <w:rFonts w:ascii="Times New Roman" w:cs="Times New Roman" w:eastAsia="Times New Roman" w:hAnsi="Times New Roman"/>
                <w:sz w:val="14"/>
                <w:szCs w:val="14"/>
                <w:b w:val="1"/>
                <w:bCs w:val="1"/>
                <w:color w:val="auto"/>
              </w:rPr>
              <w:t>% Change</w:t>
            </w:r>
          </w:p>
        </w:tc>
        <w:tc>
          <w:tcPr>
            <w:tcW w:w="0" w:type="dxa"/>
            <w:vAlign w:val="bottom"/>
          </w:tcPr>
          <w:p>
            <w:pPr>
              <w:spacing w:after="0"/>
              <w:rPr>
                <w:sz w:val="1"/>
                <w:szCs w:val="1"/>
                <w:color w:val="auto"/>
              </w:rPr>
            </w:pPr>
          </w:p>
        </w:tc>
      </w:tr>
      <w:tr>
        <w:trPr>
          <w:trHeight w:val="142"/>
        </w:trPr>
        <w:tc>
          <w:tcPr>
            <w:tcW w:w="65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020" w:type="dxa"/>
            <w:vAlign w:val="bottom"/>
          </w:tcPr>
          <w:p>
            <w:pPr>
              <w:jc w:val="right"/>
              <w:ind w:right="457"/>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020" w:type="dxa"/>
            <w:vAlign w:val="bottom"/>
          </w:tcPr>
          <w:p>
            <w:pPr>
              <w:jc w:val="right"/>
              <w:ind w:right="455"/>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1560" w:type="dxa"/>
            <w:vAlign w:val="bottom"/>
            <w:gridSpan w:val="2"/>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Support Revenues:</w:t>
            </w:r>
          </w:p>
        </w:tc>
        <w:tc>
          <w:tcPr>
            <w:tcW w:w="3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3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380" w:type="dxa"/>
            <w:vAlign w:val="bottom"/>
            <w:tcBorders>
              <w:top w:val="single" w:sz="8" w:color="auto"/>
            </w:tcBorders>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5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Domestic</w:t>
            </w: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144,869</w:t>
            </w:r>
          </w:p>
        </w:tc>
        <w:tc>
          <w:tcPr>
            <w:tcW w:w="56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158,308</w:t>
            </w:r>
          </w:p>
        </w:tc>
        <w:tc>
          <w:tcPr>
            <w:tcW w:w="1760" w:type="dxa"/>
            <w:vAlign w:val="bottom"/>
            <w:gridSpan w:val="3"/>
          </w:tcPr>
          <w:p>
            <w:pPr>
              <w:jc w:val="right"/>
              <w:ind w:right="20"/>
              <w:spacing w:after="0"/>
              <w:rPr>
                <w:sz w:val="20"/>
                <w:szCs w:val="20"/>
                <w:color w:val="auto"/>
              </w:rPr>
            </w:pPr>
            <w:r>
              <w:rPr>
                <w:rFonts w:ascii="Times New Roman" w:cs="Times New Roman" w:eastAsia="Times New Roman" w:hAnsi="Times New Roman"/>
                <w:sz w:val="18"/>
                <w:szCs w:val="18"/>
                <w:color w:val="auto"/>
              </w:rPr>
              <w:t>-8.5 %</w:t>
            </w:r>
          </w:p>
        </w:tc>
        <w:tc>
          <w:tcPr>
            <w:tcW w:w="0" w:type="dxa"/>
            <w:vAlign w:val="bottom"/>
          </w:tcPr>
          <w:p>
            <w:pPr>
              <w:spacing w:after="0"/>
              <w:rPr>
                <w:sz w:val="1"/>
                <w:szCs w:val="1"/>
                <w:color w:val="auto"/>
              </w:rPr>
            </w:pPr>
          </w:p>
        </w:tc>
      </w:tr>
      <w:tr>
        <w:trPr>
          <w:trHeight w:val="216"/>
        </w:trPr>
        <w:tc>
          <w:tcPr>
            <w:tcW w:w="6560" w:type="dxa"/>
            <w:vAlign w:val="bottom"/>
            <w:tcBorders>
              <w:bottom w:val="single" w:sz="8" w:color="CFF0FC"/>
            </w:tcBorders>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International</w:t>
            </w: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98,936</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105,580</w:t>
            </w:r>
          </w:p>
        </w:tc>
        <w:tc>
          <w:tcPr>
            <w:tcW w:w="1760" w:type="dxa"/>
            <w:vAlign w:val="bottom"/>
            <w:tcBorders>
              <w:bottom w:val="single" w:sz="8" w:color="CFF0FC"/>
            </w:tcBorders>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-6.3 %</w:t>
            </w:r>
          </w:p>
        </w:tc>
        <w:tc>
          <w:tcPr>
            <w:tcW w:w="0" w:type="dxa"/>
            <w:vAlign w:val="bottom"/>
          </w:tcPr>
          <w:p>
            <w:pPr>
              <w:spacing w:after="0"/>
              <w:rPr>
                <w:sz w:val="1"/>
                <w:szCs w:val="1"/>
                <w:color w:val="auto"/>
              </w:rPr>
            </w:pPr>
          </w:p>
        </w:tc>
      </w:tr>
      <w:tr>
        <w:trPr>
          <w:trHeight w:val="210"/>
        </w:trPr>
        <w:tc>
          <w:tcPr>
            <w:tcW w:w="656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product support revenues</w:t>
            </w: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243,805</w:t>
            </w:r>
          </w:p>
        </w:tc>
        <w:tc>
          <w:tcPr>
            <w:tcW w:w="56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263,888</w:t>
            </w:r>
          </w:p>
        </w:tc>
        <w:tc>
          <w:tcPr>
            <w:tcW w:w="1760" w:type="dxa"/>
            <w:vAlign w:val="bottom"/>
            <w:gridSpan w:val="3"/>
          </w:tcPr>
          <w:p>
            <w:pPr>
              <w:jc w:val="right"/>
              <w:ind w:right="20"/>
              <w:spacing w:after="0"/>
              <w:rPr>
                <w:sz w:val="20"/>
                <w:szCs w:val="20"/>
                <w:color w:val="auto"/>
              </w:rPr>
            </w:pPr>
            <w:r>
              <w:rPr>
                <w:rFonts w:ascii="Times New Roman" w:cs="Times New Roman" w:eastAsia="Times New Roman" w:hAnsi="Times New Roman"/>
                <w:sz w:val="18"/>
                <w:szCs w:val="18"/>
                <w:color w:val="auto"/>
              </w:rPr>
              <w:t>-7.6 %</w:t>
            </w:r>
          </w:p>
        </w:tc>
        <w:tc>
          <w:tcPr>
            <w:tcW w:w="0" w:type="dxa"/>
            <w:vAlign w:val="bottom"/>
          </w:tcPr>
          <w:p>
            <w:pPr>
              <w:spacing w:after="0"/>
              <w:rPr>
                <w:sz w:val="1"/>
                <w:szCs w:val="1"/>
                <w:color w:val="auto"/>
              </w:rPr>
            </w:pPr>
          </w:p>
        </w:tc>
      </w:tr>
      <w:tr>
        <w:trPr>
          <w:trHeight w:val="20"/>
        </w:trPr>
        <w:tc>
          <w:tcPr>
            <w:tcW w:w="6560" w:type="dxa"/>
            <w:vAlign w:val="bottom"/>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380" w:type="dxa"/>
            <w:vAlign w:val="bottom"/>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5011420</wp:posOffset>
            </wp:positionH>
            <wp:positionV relativeFrom="paragraph">
              <wp:posOffset>-170815</wp:posOffset>
            </wp:positionV>
            <wp:extent cx="68580" cy="889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-170815</wp:posOffset>
            </wp:positionV>
            <wp:extent cx="68580" cy="889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a:extLst>
                        <a:ext uri="{28A0092B-C50C-407E-A947-70E740481C1C}"/>
                      </a:extLst>
                    </a:blip>
                    <a:srcRect/>
                    <a:stretch>
                      <a:fillRect/>
                    </a:stretch>
                  </pic:blipFill>
                  <pic:spPr bwMode="auto">
                    <a:xfrm>
                      <a:off x="0" y="0"/>
                      <a:ext cx="68580" cy="8890"/>
                    </a:xfrm>
                    <a:prstGeom prst="rect">
                      <a:avLst/>
                    </a:prstGeom>
                    <a:noFill/>
                  </pic:spPr>
                </pic:pic>
              </a:graphicData>
            </a:graphic>
          </wp:anchor>
        </w:drawing>
      </w:r>
    </w:p>
    <w:p>
      <w:pPr>
        <w:spacing w:after="0" w:line="218"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Product support revenues are derived from providing technical software support and software updates and upgrades to customers. Product support revenues are recognized ratably over the term of the contract, which is generally one year. Product support revenues decreased $20.1 million during 2024, as compared to the prior year, primarily due to certain existing customers converting from perpetual product licenses with separate support contracts to our subscription services offerings. Our product support revenues may experience declines in future periods as we continue to promote our cloud offering to new and existing customers.</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2" w:name="page53"/>
    <w:bookmarkEnd w:id="52"/>
    <w:p>
      <w:pPr>
        <w:spacing w:after="0"/>
        <w:rPr>
          <w:sz w:val="20"/>
          <w:szCs w:val="20"/>
          <w:color w:val="auto"/>
        </w:rPr>
      </w:pPr>
      <w:r>
        <w:rPr>
          <w:rFonts w:ascii="Times New Roman" w:cs="Times New Roman" w:eastAsia="Times New Roman" w:hAnsi="Times New Roman"/>
          <w:sz w:val="18"/>
          <w:szCs w:val="18"/>
          <w:b w:val="1"/>
          <w:bCs w:val="1"/>
          <w:i w:val="1"/>
          <w:iCs w:val="1"/>
          <w:color w:val="auto"/>
        </w:rPr>
        <w:t xml:space="preserve">Other services revenues. </w:t>
      </w:r>
      <w:r>
        <w:rPr>
          <w:rFonts w:ascii="Times New Roman" w:cs="Times New Roman" w:eastAsia="Times New Roman" w:hAnsi="Times New Roman"/>
          <w:sz w:val="18"/>
          <w:szCs w:val="18"/>
          <w:color w:val="auto"/>
        </w:rPr>
        <w:t>The following table sets forth other services revenues (in thousands) and related percentage changes for the periods indicated:</w:t>
      </w:r>
    </w:p>
    <w:p>
      <w:pPr>
        <w:spacing w:after="0" w:line="223"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60" w:type="dxa"/>
            <w:vAlign w:val="bottom"/>
          </w:tcPr>
          <w:p>
            <w:pPr>
              <w:spacing w:after="0"/>
              <w:rPr>
                <w:sz w:val="15"/>
                <w:szCs w:val="15"/>
                <w:color w:val="auto"/>
              </w:rPr>
            </w:pPr>
          </w:p>
        </w:tc>
        <w:tc>
          <w:tcPr>
            <w:tcW w:w="2380" w:type="dxa"/>
            <w:vAlign w:val="bottom"/>
            <w:tcBorders>
              <w:bottom w:val="single" w:sz="8" w:color="auto"/>
            </w:tcBorders>
            <w:gridSpan w:val="4"/>
          </w:tcPr>
          <w:p>
            <w:pPr>
              <w:jc w:val="right"/>
              <w:ind w:right="1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540" w:type="dxa"/>
            <w:vAlign w:val="bottom"/>
            <w:tcBorders>
              <w:bottom w:val="single" w:sz="8" w:color="auto"/>
            </w:tcBorders>
          </w:tcPr>
          <w:p>
            <w:pPr>
              <w:spacing w:after="0"/>
              <w:rPr>
                <w:sz w:val="15"/>
                <w:szCs w:val="15"/>
                <w:color w:val="auto"/>
              </w:rPr>
            </w:pPr>
          </w:p>
        </w:tc>
        <w:tc>
          <w:tcPr>
            <w:tcW w:w="200" w:type="dxa"/>
            <w:vAlign w:val="bottom"/>
          </w:tcPr>
          <w:p>
            <w:pPr>
              <w:spacing w:after="0"/>
              <w:rPr>
                <w:sz w:val="15"/>
                <w:szCs w:val="15"/>
                <w:color w:val="auto"/>
              </w:rPr>
            </w:pPr>
          </w:p>
        </w:tc>
        <w:tc>
          <w:tcPr>
            <w:tcW w:w="1560" w:type="dxa"/>
            <w:vAlign w:val="bottom"/>
            <w:gridSpan w:val="2"/>
            <w:vMerge w:val="restart"/>
          </w:tcPr>
          <w:p>
            <w:pPr>
              <w:jc w:val="right"/>
              <w:ind w:right="560"/>
              <w:spacing w:after="0"/>
              <w:rPr>
                <w:sz w:val="20"/>
                <w:szCs w:val="20"/>
                <w:color w:val="auto"/>
              </w:rPr>
            </w:pPr>
            <w:r>
              <w:rPr>
                <w:rFonts w:ascii="Times New Roman" w:cs="Times New Roman" w:eastAsia="Times New Roman" w:hAnsi="Times New Roman"/>
                <w:sz w:val="14"/>
                <w:szCs w:val="14"/>
                <w:b w:val="1"/>
                <w:bCs w:val="1"/>
                <w:color w:val="auto"/>
              </w:rPr>
              <w:t>% Change</w:t>
            </w:r>
          </w:p>
        </w:tc>
        <w:tc>
          <w:tcPr>
            <w:tcW w:w="0" w:type="dxa"/>
            <w:vAlign w:val="bottom"/>
          </w:tcPr>
          <w:p>
            <w:pPr>
              <w:spacing w:after="0"/>
              <w:rPr>
                <w:sz w:val="1"/>
                <w:szCs w:val="1"/>
                <w:color w:val="auto"/>
              </w:rPr>
            </w:pPr>
          </w:p>
        </w:tc>
      </w:tr>
      <w:tr>
        <w:trPr>
          <w:trHeight w:val="142"/>
        </w:trPr>
        <w:tc>
          <w:tcPr>
            <w:tcW w:w="6560" w:type="dxa"/>
            <w:vAlign w:val="bottom"/>
          </w:tcPr>
          <w:p>
            <w:pPr>
              <w:spacing w:after="0"/>
              <w:rPr>
                <w:sz w:val="12"/>
                <w:szCs w:val="12"/>
                <w:color w:val="auto"/>
              </w:rPr>
            </w:pPr>
          </w:p>
        </w:tc>
        <w:tc>
          <w:tcPr>
            <w:tcW w:w="800" w:type="dxa"/>
            <w:vAlign w:val="bottom"/>
          </w:tcPr>
          <w:p>
            <w:pPr>
              <w:jc w:val="right"/>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540" w:type="dxa"/>
            <w:vAlign w:val="bottom"/>
          </w:tcPr>
          <w:p>
            <w:pPr>
              <w:spacing w:after="0"/>
              <w:rPr>
                <w:sz w:val="12"/>
                <w:szCs w:val="12"/>
                <w:color w:val="auto"/>
              </w:rPr>
            </w:pPr>
          </w:p>
        </w:tc>
        <w:tc>
          <w:tcPr>
            <w:tcW w:w="1040" w:type="dxa"/>
            <w:vAlign w:val="bottom"/>
            <w:gridSpan w:val="2"/>
          </w:tcPr>
          <w:p>
            <w:pPr>
              <w:jc w:val="right"/>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54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560" w:type="dxa"/>
            <w:vAlign w:val="bottom"/>
            <w:gridSpan w:val="2"/>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Services Revenues:</w:t>
            </w:r>
          </w:p>
        </w:tc>
        <w:tc>
          <w:tcPr>
            <w:tcW w:w="800" w:type="dxa"/>
            <w:vAlign w:val="bottom"/>
            <w:tcBorders>
              <w:top w:val="single" w:sz="8" w:color="auto"/>
            </w:tcBorders>
            <w:shd w:val="clear" w:color="auto" w:fill="CFF0FC"/>
          </w:tcPr>
          <w:p>
            <w:pPr>
              <w:spacing w:after="0"/>
              <w:rPr>
                <w:sz w:val="18"/>
                <w:szCs w:val="18"/>
                <w:color w:val="auto"/>
              </w:rPr>
            </w:pPr>
          </w:p>
        </w:tc>
        <w:tc>
          <w:tcPr>
            <w:tcW w:w="540" w:type="dxa"/>
            <w:vAlign w:val="bottom"/>
            <w:tcBorders>
              <w:top w:val="single" w:sz="8" w:color="auto"/>
            </w:tcBorders>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00" w:type="dxa"/>
            <w:vAlign w:val="bottom"/>
            <w:tcBorders>
              <w:top w:val="single" w:sz="8" w:color="auto"/>
            </w:tcBorders>
            <w:shd w:val="clear" w:color="auto" w:fill="CFF0FC"/>
          </w:tcPr>
          <w:p>
            <w:pPr>
              <w:spacing w:after="0"/>
              <w:rPr>
                <w:sz w:val="18"/>
                <w:szCs w:val="18"/>
                <w:color w:val="auto"/>
              </w:rPr>
            </w:pPr>
          </w:p>
        </w:tc>
        <w:tc>
          <w:tcPr>
            <w:tcW w:w="540" w:type="dxa"/>
            <w:vAlign w:val="bottom"/>
            <w:tcBorders>
              <w:top w:val="single" w:sz="8" w:color="auto"/>
            </w:tcBorders>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380" w:type="dxa"/>
            <w:vAlign w:val="bottom"/>
            <w:tcBorders>
              <w:top w:val="single" w:sz="8" w:color="auto"/>
            </w:tcBorders>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5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Consulting</w:t>
            </w:r>
          </w:p>
        </w:tc>
        <w:tc>
          <w:tcPr>
            <w:tcW w:w="800" w:type="dxa"/>
            <w:vAlign w:val="bottom"/>
          </w:tcPr>
          <w:p>
            <w:pPr>
              <w:spacing w:after="0"/>
              <w:rPr>
                <w:sz w:val="18"/>
                <w:szCs w:val="18"/>
                <w:color w:val="auto"/>
              </w:rPr>
            </w:pPr>
          </w:p>
        </w:tc>
        <w:tc>
          <w:tcPr>
            <w:tcW w:w="54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800" w:type="dxa"/>
            <w:vAlign w:val="bottom"/>
          </w:tcPr>
          <w:p>
            <w:pPr>
              <w:spacing w:after="0"/>
              <w:rPr>
                <w:sz w:val="18"/>
                <w:szCs w:val="18"/>
                <w:color w:val="auto"/>
              </w:rPr>
            </w:pPr>
          </w:p>
        </w:tc>
        <w:tc>
          <w:tcPr>
            <w:tcW w:w="54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56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Domestic</w:t>
            </w:r>
          </w:p>
        </w:tc>
        <w:tc>
          <w:tcPr>
            <w:tcW w:w="800" w:type="dxa"/>
            <w:vAlign w:val="bottom"/>
            <w:shd w:val="clear" w:color="auto" w:fill="CFF0FC"/>
          </w:tcPr>
          <w:p>
            <w:pPr>
              <w:jc w:val="right"/>
              <w:ind w:right="599"/>
              <w:spacing w:after="0"/>
              <w:rPr>
                <w:sz w:val="20"/>
                <w:szCs w:val="20"/>
                <w:color w:val="auto"/>
              </w:rPr>
            </w:pPr>
            <w:r>
              <w:rPr>
                <w:rFonts w:ascii="Times New Roman" w:cs="Times New Roman" w:eastAsia="Times New Roman" w:hAnsi="Times New Roman"/>
                <w:sz w:val="18"/>
                <w:szCs w:val="18"/>
                <w:color w:val="auto"/>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6"/>
              </w:rPr>
              <w:t>27,646</w:t>
            </w:r>
          </w:p>
        </w:tc>
        <w:tc>
          <w:tcPr>
            <w:tcW w:w="1040" w:type="dxa"/>
            <w:vAlign w:val="bottom"/>
            <w:gridSpan w:val="2"/>
            <w:shd w:val="clear" w:color="auto" w:fill="CFF0FC"/>
          </w:tcPr>
          <w:p>
            <w:pPr>
              <w:jc w:val="right"/>
              <w:ind w:right="590"/>
              <w:spacing w:after="0"/>
              <w:rPr>
                <w:sz w:val="20"/>
                <w:szCs w:val="20"/>
                <w:color w:val="auto"/>
              </w:rPr>
            </w:pPr>
            <w:r>
              <w:rPr>
                <w:rFonts w:ascii="Times New Roman" w:cs="Times New Roman" w:eastAsia="Times New Roman" w:hAnsi="Times New Roman"/>
                <w:sz w:val="18"/>
                <w:szCs w:val="18"/>
                <w:color w:val="auto"/>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6"/>
              </w:rPr>
              <w:t>35,261</w:t>
            </w:r>
          </w:p>
        </w:tc>
        <w:tc>
          <w:tcPr>
            <w:tcW w:w="1760" w:type="dxa"/>
            <w:vAlign w:val="bottom"/>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-21.6 %</w:t>
            </w:r>
          </w:p>
        </w:tc>
        <w:tc>
          <w:tcPr>
            <w:tcW w:w="0" w:type="dxa"/>
            <w:vAlign w:val="bottom"/>
          </w:tcPr>
          <w:p>
            <w:pPr>
              <w:spacing w:after="0"/>
              <w:rPr>
                <w:sz w:val="1"/>
                <w:szCs w:val="1"/>
                <w:color w:val="auto"/>
              </w:rPr>
            </w:pPr>
          </w:p>
        </w:tc>
      </w:tr>
      <w:tr>
        <w:trPr>
          <w:trHeight w:val="216"/>
        </w:trPr>
        <w:tc>
          <w:tcPr>
            <w:tcW w:w="656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International</w:t>
            </w:r>
          </w:p>
        </w:tc>
        <w:tc>
          <w:tcPr>
            <w:tcW w:w="800" w:type="dxa"/>
            <w:vAlign w:val="bottom"/>
            <w:tcBorders>
              <w:bottom w:val="single" w:sz="8" w:color="auto"/>
            </w:tcBorders>
          </w:tcPr>
          <w:p>
            <w:pPr>
              <w:spacing w:after="0"/>
              <w:rPr>
                <w:sz w:val="18"/>
                <w:szCs w:val="18"/>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w w:val="96"/>
              </w:rPr>
              <w:t>33,855</w:t>
            </w:r>
          </w:p>
        </w:tc>
        <w:tc>
          <w:tcPr>
            <w:tcW w:w="240" w:type="dxa"/>
            <w:vAlign w:val="bottom"/>
          </w:tcPr>
          <w:p>
            <w:pPr>
              <w:spacing w:after="0"/>
              <w:rPr>
                <w:sz w:val="18"/>
                <w:szCs w:val="18"/>
                <w:color w:val="auto"/>
              </w:rPr>
            </w:pPr>
          </w:p>
        </w:tc>
        <w:tc>
          <w:tcPr>
            <w:tcW w:w="800" w:type="dxa"/>
            <w:vAlign w:val="bottom"/>
            <w:tcBorders>
              <w:bottom w:val="single" w:sz="8" w:color="auto"/>
            </w:tcBorders>
          </w:tcPr>
          <w:p>
            <w:pPr>
              <w:spacing w:after="0"/>
              <w:rPr>
                <w:sz w:val="18"/>
                <w:szCs w:val="18"/>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w w:val="96"/>
              </w:rPr>
              <w:t>36,814</w:t>
            </w:r>
          </w:p>
        </w:tc>
        <w:tc>
          <w:tcPr>
            <w:tcW w:w="1760" w:type="dxa"/>
            <w:vAlign w:val="bottom"/>
            <w:gridSpan w:val="3"/>
          </w:tcPr>
          <w:p>
            <w:pPr>
              <w:jc w:val="right"/>
              <w:ind w:right="20"/>
              <w:spacing w:after="0"/>
              <w:rPr>
                <w:sz w:val="20"/>
                <w:szCs w:val="20"/>
                <w:color w:val="auto"/>
              </w:rPr>
            </w:pPr>
            <w:r>
              <w:rPr>
                <w:rFonts w:ascii="Times New Roman" w:cs="Times New Roman" w:eastAsia="Times New Roman" w:hAnsi="Times New Roman"/>
                <w:sz w:val="18"/>
                <w:szCs w:val="18"/>
                <w:color w:val="auto"/>
              </w:rPr>
              <w:t>-8.0 %</w:t>
            </w:r>
          </w:p>
        </w:tc>
        <w:tc>
          <w:tcPr>
            <w:tcW w:w="0" w:type="dxa"/>
            <w:vAlign w:val="bottom"/>
          </w:tcPr>
          <w:p>
            <w:pPr>
              <w:spacing w:after="0"/>
              <w:rPr>
                <w:sz w:val="1"/>
                <w:szCs w:val="1"/>
                <w:color w:val="auto"/>
              </w:rPr>
            </w:pPr>
          </w:p>
        </w:tc>
      </w:tr>
      <w:tr>
        <w:trPr>
          <w:trHeight w:val="210"/>
        </w:trPr>
        <w:tc>
          <w:tcPr>
            <w:tcW w:w="6560" w:type="dxa"/>
            <w:vAlign w:val="bottom"/>
            <w:tcBorders>
              <w:bottom w:val="single" w:sz="8" w:color="CFF0FC"/>
            </w:tcBorders>
            <w:shd w:val="clear" w:color="auto" w:fill="CFF0FC"/>
          </w:tcPr>
          <w:p>
            <w:pPr>
              <w:ind w:left="560"/>
              <w:spacing w:after="0"/>
              <w:rPr>
                <w:sz w:val="20"/>
                <w:szCs w:val="20"/>
                <w:color w:val="auto"/>
              </w:rPr>
            </w:pPr>
            <w:r>
              <w:rPr>
                <w:rFonts w:ascii="Times New Roman" w:cs="Times New Roman" w:eastAsia="Times New Roman" w:hAnsi="Times New Roman"/>
                <w:sz w:val="18"/>
                <w:szCs w:val="18"/>
                <w:color w:val="auto"/>
              </w:rPr>
              <w:t>Total consulting revenues</w:t>
            </w:r>
          </w:p>
        </w:tc>
        <w:tc>
          <w:tcPr>
            <w:tcW w:w="800" w:type="dxa"/>
            <w:vAlign w:val="bottom"/>
            <w:tcBorders>
              <w:bottom w:val="single" w:sz="8" w:color="auto"/>
            </w:tcBorders>
            <w:shd w:val="clear" w:color="auto" w:fill="CFF0FC"/>
          </w:tcPr>
          <w:p>
            <w:pPr>
              <w:spacing w:after="0"/>
              <w:rPr>
                <w:sz w:val="18"/>
                <w:szCs w:val="18"/>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6"/>
              </w:rPr>
              <w:t>61,501</w:t>
            </w:r>
          </w:p>
        </w:tc>
        <w:tc>
          <w:tcPr>
            <w:tcW w:w="240" w:type="dxa"/>
            <w:vAlign w:val="bottom"/>
            <w:tcBorders>
              <w:bottom w:val="single" w:sz="8" w:color="CFF0FC"/>
            </w:tcBorders>
            <w:shd w:val="clear" w:color="auto" w:fill="CFF0FC"/>
          </w:tcPr>
          <w:p>
            <w:pPr>
              <w:spacing w:after="0"/>
              <w:rPr>
                <w:sz w:val="18"/>
                <w:szCs w:val="18"/>
                <w:color w:val="auto"/>
              </w:rPr>
            </w:pPr>
          </w:p>
        </w:tc>
        <w:tc>
          <w:tcPr>
            <w:tcW w:w="800" w:type="dxa"/>
            <w:vAlign w:val="bottom"/>
            <w:tcBorders>
              <w:bottom w:val="single" w:sz="8" w:color="auto"/>
            </w:tcBorders>
            <w:shd w:val="clear" w:color="auto" w:fill="CFF0FC"/>
          </w:tcPr>
          <w:p>
            <w:pPr>
              <w:spacing w:after="0"/>
              <w:rPr>
                <w:sz w:val="18"/>
                <w:szCs w:val="18"/>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6"/>
              </w:rPr>
              <w:t>72,075</w:t>
            </w:r>
          </w:p>
        </w:tc>
        <w:tc>
          <w:tcPr>
            <w:tcW w:w="1760" w:type="dxa"/>
            <w:vAlign w:val="bottom"/>
            <w:tcBorders>
              <w:bottom w:val="single" w:sz="8" w:color="CFF0FC"/>
            </w:tcBorders>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-14.7 %</w:t>
            </w:r>
          </w:p>
        </w:tc>
        <w:tc>
          <w:tcPr>
            <w:tcW w:w="0" w:type="dxa"/>
            <w:vAlign w:val="bottom"/>
          </w:tcPr>
          <w:p>
            <w:pPr>
              <w:spacing w:after="0"/>
              <w:rPr>
                <w:sz w:val="1"/>
                <w:szCs w:val="1"/>
                <w:color w:val="auto"/>
              </w:rPr>
            </w:pPr>
          </w:p>
        </w:tc>
      </w:tr>
      <w:tr>
        <w:trPr>
          <w:trHeight w:val="209"/>
        </w:trPr>
        <w:tc>
          <w:tcPr>
            <w:tcW w:w="65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Education</w:t>
            </w:r>
          </w:p>
        </w:tc>
        <w:tc>
          <w:tcPr>
            <w:tcW w:w="800" w:type="dxa"/>
            <w:vAlign w:val="bottom"/>
            <w:tcBorders>
              <w:bottom w:val="single" w:sz="8" w:color="auto"/>
            </w:tcBorders>
          </w:tcPr>
          <w:p>
            <w:pPr>
              <w:spacing w:after="0"/>
              <w:rPr>
                <w:sz w:val="18"/>
                <w:szCs w:val="18"/>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2,807</w:t>
            </w:r>
          </w:p>
        </w:tc>
        <w:tc>
          <w:tcPr>
            <w:tcW w:w="240" w:type="dxa"/>
            <w:vAlign w:val="bottom"/>
          </w:tcPr>
          <w:p>
            <w:pPr>
              <w:spacing w:after="0"/>
              <w:rPr>
                <w:sz w:val="18"/>
                <w:szCs w:val="18"/>
                <w:color w:val="auto"/>
              </w:rPr>
            </w:pPr>
          </w:p>
        </w:tc>
        <w:tc>
          <w:tcPr>
            <w:tcW w:w="800" w:type="dxa"/>
            <w:vAlign w:val="bottom"/>
            <w:tcBorders>
              <w:bottom w:val="single" w:sz="8" w:color="auto"/>
            </w:tcBorders>
          </w:tcPr>
          <w:p>
            <w:pPr>
              <w:spacing w:after="0"/>
              <w:rPr>
                <w:sz w:val="18"/>
                <w:szCs w:val="18"/>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3,768</w:t>
            </w:r>
          </w:p>
        </w:tc>
        <w:tc>
          <w:tcPr>
            <w:tcW w:w="1760" w:type="dxa"/>
            <w:vAlign w:val="bottom"/>
            <w:gridSpan w:val="3"/>
          </w:tcPr>
          <w:p>
            <w:pPr>
              <w:jc w:val="right"/>
              <w:ind w:right="20"/>
              <w:spacing w:after="0"/>
              <w:rPr>
                <w:sz w:val="20"/>
                <w:szCs w:val="20"/>
                <w:color w:val="auto"/>
              </w:rPr>
            </w:pPr>
            <w:r>
              <w:rPr>
                <w:rFonts w:ascii="Times New Roman" w:cs="Times New Roman" w:eastAsia="Times New Roman" w:hAnsi="Times New Roman"/>
                <w:sz w:val="18"/>
                <w:szCs w:val="18"/>
                <w:color w:val="auto"/>
              </w:rPr>
              <w:t>-25.5 %</w:t>
            </w:r>
          </w:p>
        </w:tc>
        <w:tc>
          <w:tcPr>
            <w:tcW w:w="0" w:type="dxa"/>
            <w:vAlign w:val="bottom"/>
          </w:tcPr>
          <w:p>
            <w:pPr>
              <w:spacing w:after="0"/>
              <w:rPr>
                <w:sz w:val="1"/>
                <w:szCs w:val="1"/>
                <w:color w:val="auto"/>
              </w:rPr>
            </w:pPr>
          </w:p>
        </w:tc>
      </w:tr>
      <w:tr>
        <w:trPr>
          <w:trHeight w:val="249"/>
        </w:trPr>
        <w:tc>
          <w:tcPr>
            <w:tcW w:w="6560" w:type="dxa"/>
            <w:vAlign w:val="bottom"/>
            <w:tcBorders>
              <w:bottom w:val="single" w:sz="8" w:color="CFF0FC"/>
            </w:tcBorders>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Total other services revenues</w:t>
            </w:r>
          </w:p>
        </w:tc>
        <w:tc>
          <w:tcPr>
            <w:tcW w:w="800" w:type="dxa"/>
            <w:vAlign w:val="bottom"/>
            <w:tcBorders>
              <w:bottom w:val="single" w:sz="8" w:color="auto"/>
            </w:tcBorders>
            <w:shd w:val="clear" w:color="auto" w:fill="CFF0FC"/>
          </w:tcPr>
          <w:p>
            <w:pPr>
              <w:jc w:val="right"/>
              <w:ind w:right="599"/>
              <w:spacing w:after="0"/>
              <w:rPr>
                <w:sz w:val="20"/>
                <w:szCs w:val="20"/>
                <w:color w:val="auto"/>
              </w:rPr>
            </w:pPr>
            <w:r>
              <w:rPr>
                <w:rFonts w:ascii="Times New Roman" w:cs="Times New Roman" w:eastAsia="Times New Roman" w:hAnsi="Times New Roman"/>
                <w:sz w:val="18"/>
                <w:szCs w:val="18"/>
                <w:color w:val="auto"/>
              </w:rPr>
              <w:t>$</w:t>
            </w: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6"/>
              </w:rPr>
              <w:t>64,308</w:t>
            </w:r>
          </w:p>
        </w:tc>
        <w:tc>
          <w:tcPr>
            <w:tcW w:w="240" w:type="dxa"/>
            <w:vAlign w:val="bottom"/>
            <w:tcBorders>
              <w:bottom w:val="single" w:sz="8" w:color="CFF0FC"/>
            </w:tcBorders>
            <w:shd w:val="clear" w:color="auto" w:fill="CFF0FC"/>
          </w:tcPr>
          <w:p>
            <w:pPr>
              <w:spacing w:after="0"/>
              <w:rPr>
                <w:sz w:val="21"/>
                <w:szCs w:val="21"/>
                <w:color w:val="auto"/>
              </w:rPr>
            </w:pPr>
          </w:p>
        </w:tc>
        <w:tc>
          <w:tcPr>
            <w:tcW w:w="800" w:type="dxa"/>
            <w:vAlign w:val="bottom"/>
            <w:tcBorders>
              <w:bottom w:val="single" w:sz="8" w:color="auto"/>
            </w:tcBorders>
            <w:shd w:val="clear" w:color="auto" w:fill="CFF0FC"/>
          </w:tcPr>
          <w:p>
            <w:pPr>
              <w:jc w:val="right"/>
              <w:ind w:right="590"/>
              <w:spacing w:after="0"/>
              <w:rPr>
                <w:sz w:val="20"/>
                <w:szCs w:val="20"/>
                <w:color w:val="auto"/>
              </w:rPr>
            </w:pPr>
            <w:r>
              <w:rPr>
                <w:rFonts w:ascii="Times New Roman" w:cs="Times New Roman" w:eastAsia="Times New Roman" w:hAnsi="Times New Roman"/>
                <w:sz w:val="18"/>
                <w:szCs w:val="18"/>
                <w:color w:val="auto"/>
              </w:rPr>
              <w:t>$</w:t>
            </w: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6"/>
              </w:rPr>
              <w:t>75,843</w:t>
            </w:r>
          </w:p>
        </w:tc>
        <w:tc>
          <w:tcPr>
            <w:tcW w:w="1760" w:type="dxa"/>
            <w:vAlign w:val="bottom"/>
            <w:tcBorders>
              <w:bottom w:val="single" w:sz="8" w:color="CFF0FC"/>
            </w:tcBorders>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-15.2 %</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5011420</wp:posOffset>
            </wp:positionH>
            <wp:positionV relativeFrom="paragraph">
              <wp:posOffset>-316230</wp:posOffset>
            </wp:positionV>
            <wp:extent cx="68580" cy="8255"/>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-316230</wp:posOffset>
            </wp:positionV>
            <wp:extent cx="68580" cy="8255"/>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-25400</wp:posOffset>
            </wp:positionV>
            <wp:extent cx="68580" cy="889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-7620</wp:posOffset>
            </wp:positionV>
            <wp:extent cx="68580" cy="8255"/>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-25400</wp:posOffset>
            </wp:positionV>
            <wp:extent cx="68580" cy="889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-7620</wp:posOffset>
            </wp:positionV>
            <wp:extent cx="68580" cy="8255"/>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214"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Consulting revenues. </w:t>
      </w:r>
      <w:r>
        <w:rPr>
          <w:rFonts w:ascii="Times New Roman" w:cs="Times New Roman" w:eastAsia="Times New Roman" w:hAnsi="Times New Roman"/>
          <w:sz w:val="18"/>
          <w:szCs w:val="18"/>
          <w:color w:val="auto"/>
        </w:rPr>
        <w:t>Consulting revenues are derived from helping customers plan and execute the deployment of our software. Consulting revenues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decreased $10.6 million during 2024, as compared to the prior year, primarily due to a decrease in demand for domestic consulting services.</w:t>
      </w:r>
    </w:p>
    <w:p>
      <w:pPr>
        <w:spacing w:after="0" w:line="155"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Education revenues. </w:t>
      </w:r>
      <w:r>
        <w:rPr>
          <w:rFonts w:ascii="Times New Roman" w:cs="Times New Roman" w:eastAsia="Times New Roman" w:hAnsi="Times New Roman"/>
          <w:sz w:val="18"/>
          <w:szCs w:val="18"/>
          <w:color w:val="auto"/>
        </w:rPr>
        <w:t>Education revenues are derived from the education and training that we provide to our customers to enhance their ability to fully</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utilize the features and functionality of our software. These offerings include self-tutorials, custom course development, joint training with customers’ internal staff, and standard course offerings, with pricing dependent on the specific offering delivered. Education revenues decreased $1.0 million during 2024, as compared to the prior year, primarily due to a decrease in demand for education services.</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Costs and Expenses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 xml:space="preserve">Cost of revenues. </w:t>
      </w:r>
      <w:r>
        <w:rPr>
          <w:rFonts w:ascii="Times New Roman" w:cs="Times New Roman" w:eastAsia="Times New Roman" w:hAnsi="Times New Roman"/>
          <w:sz w:val="18"/>
          <w:szCs w:val="18"/>
          <w:color w:val="auto"/>
        </w:rPr>
        <w:t>The following table sets forth cost of revenues (in thousands) and related percentage changes for the periods indicated:</w:t>
      </w:r>
    </w:p>
    <w:p>
      <w:pPr>
        <w:spacing w:after="0" w:line="223"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60" w:type="dxa"/>
            <w:vAlign w:val="bottom"/>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2800" w:type="dxa"/>
            <w:vAlign w:val="bottom"/>
            <w:tcBorders>
              <w:bottom w:val="single" w:sz="8" w:color="auto"/>
            </w:tcBorders>
            <w:gridSpan w:val="5"/>
          </w:tcPr>
          <w:p>
            <w:pPr>
              <w:ind w:left="40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1560" w:type="dxa"/>
            <w:vAlign w:val="bottom"/>
            <w:gridSpan w:val="2"/>
            <w:vMerge w:val="restart"/>
          </w:tcPr>
          <w:p>
            <w:pPr>
              <w:jc w:val="right"/>
              <w:ind w:right="560"/>
              <w:spacing w:after="0"/>
              <w:rPr>
                <w:sz w:val="20"/>
                <w:szCs w:val="20"/>
                <w:color w:val="auto"/>
              </w:rPr>
            </w:pPr>
            <w:r>
              <w:rPr>
                <w:rFonts w:ascii="Times New Roman" w:cs="Times New Roman" w:eastAsia="Times New Roman" w:hAnsi="Times New Roman"/>
                <w:sz w:val="14"/>
                <w:szCs w:val="14"/>
                <w:b w:val="1"/>
                <w:bCs w:val="1"/>
                <w:color w:val="auto"/>
              </w:rPr>
              <w:t>% Change</w:t>
            </w:r>
          </w:p>
        </w:tc>
        <w:tc>
          <w:tcPr>
            <w:tcW w:w="0" w:type="dxa"/>
            <w:vAlign w:val="bottom"/>
          </w:tcPr>
          <w:p>
            <w:pPr>
              <w:spacing w:after="0"/>
              <w:rPr>
                <w:sz w:val="1"/>
                <w:szCs w:val="1"/>
                <w:color w:val="auto"/>
              </w:rPr>
            </w:pPr>
          </w:p>
        </w:tc>
      </w:tr>
      <w:tr>
        <w:trPr>
          <w:trHeight w:val="142"/>
        </w:trPr>
        <w:tc>
          <w:tcPr>
            <w:tcW w:w="65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020" w:type="dxa"/>
            <w:vAlign w:val="bottom"/>
          </w:tcPr>
          <w:p>
            <w:pPr>
              <w:jc w:val="right"/>
              <w:ind w:right="454"/>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020" w:type="dxa"/>
            <w:vAlign w:val="bottom"/>
          </w:tcPr>
          <w:p>
            <w:pPr>
              <w:jc w:val="right"/>
              <w:ind w:right="452"/>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1560" w:type="dxa"/>
            <w:vAlign w:val="bottom"/>
            <w:gridSpan w:val="2"/>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Cost of Revenues:</w:t>
            </w:r>
          </w:p>
        </w:tc>
        <w:tc>
          <w:tcPr>
            <w:tcW w:w="3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3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380" w:type="dxa"/>
            <w:vAlign w:val="bottom"/>
            <w:tcBorders>
              <w:top w:val="single" w:sz="8" w:color="auto"/>
            </w:tcBorders>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5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 and subscription services:</w:t>
            </w: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56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Product licenses</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3,060</w:t>
            </w:r>
          </w:p>
        </w:tc>
        <w:tc>
          <w:tcPr>
            <w:tcW w:w="560" w:type="dxa"/>
            <w:vAlign w:val="bottom"/>
            <w:gridSpan w:val="2"/>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1,929</w:t>
            </w: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58.6 %</w:t>
            </w:r>
          </w:p>
        </w:tc>
        <w:tc>
          <w:tcPr>
            <w:tcW w:w="0" w:type="dxa"/>
            <w:vAlign w:val="bottom"/>
          </w:tcPr>
          <w:p>
            <w:pPr>
              <w:spacing w:after="0"/>
              <w:rPr>
                <w:sz w:val="1"/>
                <w:szCs w:val="1"/>
                <w:color w:val="auto"/>
              </w:rPr>
            </w:pPr>
          </w:p>
        </w:tc>
      </w:tr>
      <w:tr>
        <w:trPr>
          <w:trHeight w:val="216"/>
        </w:trPr>
        <w:tc>
          <w:tcPr>
            <w:tcW w:w="65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Subscription services</w:t>
            </w: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42,440</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31,776</w:t>
            </w:r>
          </w:p>
        </w:tc>
        <w:tc>
          <w:tcPr>
            <w:tcW w:w="200" w:type="dxa"/>
            <w:vAlign w:val="bottom"/>
          </w:tcPr>
          <w:p>
            <w:pPr>
              <w:spacing w:after="0"/>
              <w:rPr>
                <w:sz w:val="18"/>
                <w:szCs w:val="18"/>
                <w:color w:val="auto"/>
              </w:rPr>
            </w:pP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33.6 %</w:t>
            </w:r>
          </w:p>
        </w:tc>
        <w:tc>
          <w:tcPr>
            <w:tcW w:w="0" w:type="dxa"/>
            <w:vAlign w:val="bottom"/>
          </w:tcPr>
          <w:p>
            <w:pPr>
              <w:spacing w:after="0"/>
              <w:rPr>
                <w:sz w:val="1"/>
                <w:szCs w:val="1"/>
                <w:color w:val="auto"/>
              </w:rPr>
            </w:pPr>
          </w:p>
        </w:tc>
      </w:tr>
      <w:tr>
        <w:trPr>
          <w:trHeight w:val="210"/>
        </w:trPr>
        <w:tc>
          <w:tcPr>
            <w:tcW w:w="6560" w:type="dxa"/>
            <w:vAlign w:val="bottom"/>
            <w:tcBorders>
              <w:bottom w:val="single" w:sz="8" w:color="CFF0FC"/>
            </w:tcBorders>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45,500</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33,705</w:t>
            </w:r>
          </w:p>
        </w:tc>
        <w:tc>
          <w:tcPr>
            <w:tcW w:w="200" w:type="dxa"/>
            <w:vAlign w:val="bottom"/>
            <w:tcBorders>
              <w:bottom w:val="single" w:sz="8" w:color="CFF0FC"/>
            </w:tcBorders>
            <w:shd w:val="clear" w:color="auto" w:fill="CFF0FC"/>
          </w:tcPr>
          <w:p>
            <w:pPr>
              <w:spacing w:after="0"/>
              <w:rPr>
                <w:sz w:val="18"/>
                <w:szCs w:val="18"/>
                <w:color w:val="auto"/>
              </w:rPr>
            </w:pPr>
          </w:p>
        </w:tc>
        <w:tc>
          <w:tcPr>
            <w:tcW w:w="1560" w:type="dxa"/>
            <w:vAlign w:val="bottom"/>
            <w:tcBorders>
              <w:bottom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35.0 %</w:t>
            </w:r>
          </w:p>
        </w:tc>
        <w:tc>
          <w:tcPr>
            <w:tcW w:w="0" w:type="dxa"/>
            <w:vAlign w:val="bottom"/>
          </w:tcPr>
          <w:p>
            <w:pPr>
              <w:spacing w:after="0"/>
              <w:rPr>
                <w:sz w:val="1"/>
                <w:szCs w:val="1"/>
                <w:color w:val="auto"/>
              </w:rPr>
            </w:pPr>
          </w:p>
        </w:tc>
      </w:tr>
      <w:tr>
        <w:trPr>
          <w:trHeight w:val="209"/>
        </w:trPr>
        <w:tc>
          <w:tcPr>
            <w:tcW w:w="65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33,289</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22,434</w:t>
            </w:r>
          </w:p>
        </w:tc>
        <w:tc>
          <w:tcPr>
            <w:tcW w:w="200" w:type="dxa"/>
            <w:vAlign w:val="bottom"/>
          </w:tcPr>
          <w:p>
            <w:pPr>
              <w:spacing w:after="0"/>
              <w:rPr>
                <w:sz w:val="18"/>
                <w:szCs w:val="18"/>
                <w:color w:val="auto"/>
              </w:rPr>
            </w:pP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48.4 %</w:t>
            </w:r>
          </w:p>
        </w:tc>
        <w:tc>
          <w:tcPr>
            <w:tcW w:w="0" w:type="dxa"/>
            <w:vAlign w:val="bottom"/>
          </w:tcPr>
          <w:p>
            <w:pPr>
              <w:spacing w:after="0"/>
              <w:rPr>
                <w:sz w:val="1"/>
                <w:szCs w:val="1"/>
                <w:color w:val="auto"/>
              </w:rPr>
            </w:pPr>
          </w:p>
        </w:tc>
      </w:tr>
      <w:tr>
        <w:trPr>
          <w:trHeight w:val="216"/>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38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5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Consulting</w:t>
            </w: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48,374</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51,311</w:t>
            </w:r>
          </w:p>
        </w:tc>
        <w:tc>
          <w:tcPr>
            <w:tcW w:w="200" w:type="dxa"/>
            <w:vAlign w:val="bottom"/>
          </w:tcPr>
          <w:p>
            <w:pPr>
              <w:spacing w:after="0"/>
              <w:rPr>
                <w:sz w:val="18"/>
                <w:szCs w:val="18"/>
                <w:color w:val="auto"/>
              </w:rPr>
            </w:pP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-5.7 %</w:t>
            </w:r>
          </w:p>
        </w:tc>
        <w:tc>
          <w:tcPr>
            <w:tcW w:w="0" w:type="dxa"/>
            <w:vAlign w:val="bottom"/>
          </w:tcPr>
          <w:p>
            <w:pPr>
              <w:spacing w:after="0"/>
              <w:rPr>
                <w:sz w:val="1"/>
                <w:szCs w:val="1"/>
                <w:color w:val="auto"/>
              </w:rPr>
            </w:pPr>
          </w:p>
        </w:tc>
      </w:tr>
      <w:tr>
        <w:trPr>
          <w:trHeight w:val="216"/>
        </w:trPr>
        <w:tc>
          <w:tcPr>
            <w:tcW w:w="6560" w:type="dxa"/>
            <w:vAlign w:val="bottom"/>
            <w:tcBorders>
              <w:bottom w:val="single" w:sz="8" w:color="CFF0FC"/>
            </w:tcBorders>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Education</w:t>
            </w: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2,305</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2,494</w:t>
            </w:r>
          </w:p>
        </w:tc>
        <w:tc>
          <w:tcPr>
            <w:tcW w:w="200" w:type="dxa"/>
            <w:vAlign w:val="bottom"/>
            <w:tcBorders>
              <w:bottom w:val="single" w:sz="8" w:color="CFF0FC"/>
            </w:tcBorders>
            <w:shd w:val="clear" w:color="auto" w:fill="CFF0FC"/>
          </w:tcPr>
          <w:p>
            <w:pPr>
              <w:spacing w:after="0"/>
              <w:rPr>
                <w:sz w:val="18"/>
                <w:szCs w:val="18"/>
                <w:color w:val="auto"/>
              </w:rPr>
            </w:pPr>
          </w:p>
        </w:tc>
        <w:tc>
          <w:tcPr>
            <w:tcW w:w="1560" w:type="dxa"/>
            <w:vAlign w:val="bottom"/>
            <w:tcBorders>
              <w:bottom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-7.6 %</w:t>
            </w:r>
          </w:p>
        </w:tc>
        <w:tc>
          <w:tcPr>
            <w:tcW w:w="0" w:type="dxa"/>
            <w:vAlign w:val="bottom"/>
          </w:tcPr>
          <w:p>
            <w:pPr>
              <w:spacing w:after="0"/>
              <w:rPr>
                <w:sz w:val="1"/>
                <w:szCs w:val="1"/>
                <w:color w:val="auto"/>
              </w:rPr>
            </w:pPr>
          </w:p>
        </w:tc>
      </w:tr>
      <w:tr>
        <w:trPr>
          <w:trHeight w:val="209"/>
        </w:trPr>
        <w:tc>
          <w:tcPr>
            <w:tcW w:w="656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other services</w:t>
            </w: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50,679</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53,805</w:t>
            </w:r>
          </w:p>
        </w:tc>
        <w:tc>
          <w:tcPr>
            <w:tcW w:w="200" w:type="dxa"/>
            <w:vAlign w:val="bottom"/>
          </w:tcPr>
          <w:p>
            <w:pPr>
              <w:spacing w:after="0"/>
              <w:rPr>
                <w:sz w:val="18"/>
                <w:szCs w:val="18"/>
                <w:color w:val="auto"/>
              </w:rPr>
            </w:pP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-5.8 %</w:t>
            </w:r>
          </w:p>
        </w:tc>
        <w:tc>
          <w:tcPr>
            <w:tcW w:w="0" w:type="dxa"/>
            <w:vAlign w:val="bottom"/>
          </w:tcPr>
          <w:p>
            <w:pPr>
              <w:spacing w:after="0"/>
              <w:rPr>
                <w:sz w:val="1"/>
                <w:szCs w:val="1"/>
                <w:color w:val="auto"/>
              </w:rPr>
            </w:pPr>
          </w:p>
        </w:tc>
      </w:tr>
      <w:tr>
        <w:trPr>
          <w:trHeight w:val="250"/>
        </w:trPr>
        <w:tc>
          <w:tcPr>
            <w:tcW w:w="6560" w:type="dxa"/>
            <w:vAlign w:val="bottom"/>
            <w:tcBorders>
              <w:bottom w:val="single" w:sz="8" w:color="CFF0FC"/>
            </w:tcBorders>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Total cost of revenues</w:t>
            </w:r>
          </w:p>
        </w:tc>
        <w:tc>
          <w:tcPr>
            <w:tcW w:w="320" w:type="dxa"/>
            <w:vAlign w:val="bottom"/>
            <w:tcBorders>
              <w:bottom w:val="single" w:sz="8" w:color="auto"/>
            </w:tcBorders>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129,468</w:t>
            </w:r>
          </w:p>
        </w:tc>
        <w:tc>
          <w:tcPr>
            <w:tcW w:w="240" w:type="dxa"/>
            <w:vAlign w:val="bottom"/>
            <w:tcBorders>
              <w:bottom w:val="single" w:sz="8" w:color="CFF0FC"/>
            </w:tcBorders>
            <w:shd w:val="clear" w:color="auto" w:fill="CFF0FC"/>
          </w:tcPr>
          <w:p>
            <w:pPr>
              <w:spacing w:after="0"/>
              <w:rPr>
                <w:sz w:val="21"/>
                <w:szCs w:val="21"/>
                <w:color w:val="auto"/>
              </w:rPr>
            </w:pPr>
          </w:p>
        </w:tc>
        <w:tc>
          <w:tcPr>
            <w:tcW w:w="320" w:type="dxa"/>
            <w:vAlign w:val="bottom"/>
            <w:tcBorders>
              <w:bottom w:val="single" w:sz="8" w:color="auto"/>
            </w:tcBorders>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109,944</w:t>
            </w:r>
          </w:p>
        </w:tc>
        <w:tc>
          <w:tcPr>
            <w:tcW w:w="200" w:type="dxa"/>
            <w:vAlign w:val="bottom"/>
            <w:tcBorders>
              <w:bottom w:val="single" w:sz="8" w:color="CFF0FC"/>
            </w:tcBorders>
            <w:shd w:val="clear" w:color="auto" w:fill="CFF0FC"/>
          </w:tcPr>
          <w:p>
            <w:pPr>
              <w:spacing w:after="0"/>
              <w:rPr>
                <w:sz w:val="21"/>
                <w:szCs w:val="21"/>
                <w:color w:val="auto"/>
              </w:rPr>
            </w:pPr>
          </w:p>
        </w:tc>
        <w:tc>
          <w:tcPr>
            <w:tcW w:w="1560" w:type="dxa"/>
            <w:vAlign w:val="bottom"/>
            <w:tcBorders>
              <w:bottom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17.8 %</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5011420</wp:posOffset>
            </wp:positionH>
            <wp:positionV relativeFrom="paragraph">
              <wp:posOffset>-873760</wp:posOffset>
            </wp:positionV>
            <wp:extent cx="68580" cy="8255"/>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-873760</wp:posOffset>
            </wp:positionV>
            <wp:extent cx="68580" cy="8255"/>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-316230</wp:posOffset>
            </wp:positionV>
            <wp:extent cx="68580" cy="8255"/>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-316230</wp:posOffset>
            </wp:positionV>
            <wp:extent cx="68580" cy="8255"/>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-24765</wp:posOffset>
            </wp:positionV>
            <wp:extent cx="68580" cy="8255"/>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-7620</wp:posOffset>
            </wp:positionV>
            <wp:extent cx="68580" cy="8255"/>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-24765</wp:posOffset>
            </wp:positionV>
            <wp:extent cx="68580" cy="825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-7620</wp:posOffset>
            </wp:positionV>
            <wp:extent cx="68580" cy="8255"/>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201"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product licenses revenues. </w:t>
      </w:r>
      <w:r>
        <w:rPr>
          <w:rFonts w:ascii="Times New Roman" w:cs="Times New Roman" w:eastAsia="Times New Roman" w:hAnsi="Times New Roman"/>
          <w:sz w:val="18"/>
          <w:szCs w:val="18"/>
          <w:color w:val="auto"/>
        </w:rPr>
        <w:t>Cost of product licenses revenues consists of referral fees paid to channel partners, the costs of product manuals and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media, and royalties paid to third-party software vendors. Cost of product licenses revenues did not materially change during 2024, as compared to the prior year.</w:t>
      </w:r>
    </w:p>
    <w:p>
      <w:pPr>
        <w:spacing w:after="0" w:line="171"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subscription services revenues. </w:t>
      </w:r>
      <w:r>
        <w:rPr>
          <w:rFonts w:ascii="Times New Roman" w:cs="Times New Roman" w:eastAsia="Times New Roman" w:hAnsi="Times New Roman"/>
          <w:sz w:val="18"/>
          <w:szCs w:val="18"/>
          <w:color w:val="auto"/>
        </w:rPr>
        <w:t>Cost of subscription services revenues consists of equipment, facility and other related support costs (including</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cloud hosting infrastructure costs), and personnel and related overhead costs. Cost of subscription services revenues increased $10.7 million during 2024, as compared to the prior year, primarily due to a $10.0 million increase in cloud hosting infrastructure costs, which is a result of the increased usage by new and existing cloud subscription services customers.</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53" w:name="page54"/>
    <w:bookmarkEnd w:id="53"/>
    <w:p>
      <w:pPr>
        <w:jc w:val="both"/>
        <w:spacing w:after="0" w:line="256"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product support revenues. </w:t>
      </w:r>
      <w:r>
        <w:rPr>
          <w:rFonts w:ascii="Times New Roman" w:cs="Times New Roman" w:eastAsia="Times New Roman" w:hAnsi="Times New Roman"/>
          <w:sz w:val="18"/>
          <w:szCs w:val="18"/>
          <w:color w:val="auto"/>
        </w:rPr>
        <w:t>Cost of product support revenues consists of personnel and related overhead costs. Cost of product support revenues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increased $10.9 million during 2024, as compared to the prior year, primarily due (i) a $3.7 million increase in salaries and personnel costs, (ii) a $2.8 million increase in variable compensation, (iii) a $1.8 million net increase in share-based compensation expense, (iv) a $1.0 million increase in severance costs due to headcount reductions, and (v) a $0.7 million increase in facility and other related support costs. Other than the increase in severance costs, these changes were primarily attributable to an increase in average staffing levels from the internal transfer of certain employees to product support functions, partially offset by the discontinuance of our Enterprise Support program during 2024, which previously resulted in compensation costs for certain consulting personnel being allocated to cost of product support revenues.</w:t>
      </w:r>
    </w:p>
    <w:p>
      <w:pPr>
        <w:spacing w:after="0" w:line="183" w:lineRule="exact"/>
        <w:rPr>
          <w:sz w:val="20"/>
          <w:szCs w:val="20"/>
          <w:color w:val="auto"/>
        </w:rPr>
      </w:pPr>
    </w:p>
    <w:p>
      <w:pPr>
        <w:jc w:val="both"/>
        <w:spacing w:after="0" w:line="259"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consulting revenues. </w:t>
      </w:r>
      <w:r>
        <w:rPr>
          <w:rFonts w:ascii="Times New Roman" w:cs="Times New Roman" w:eastAsia="Times New Roman" w:hAnsi="Times New Roman"/>
          <w:sz w:val="18"/>
          <w:szCs w:val="18"/>
          <w:color w:val="auto"/>
        </w:rPr>
        <w:t>Cost of consulting revenues consists of personnel and related overhead costs. Cost of consulting revenues decreased $2.9</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million during 2024, as compared to the prior year, primarily due to (i) a $2.2 million decrease in variable compensation and (ii) a $1.9 million decrease in salaries and personnel costs attributable to a decrease in average staffing levels, partially offset by the discontinuance of our Enterprise Support program (pursuant to which costs associated with certain consulting personnel had been recognized in cost of product support revenues) during 2024, partially offset by (iii) a $1.9 million increase in subcontractor costs.</w:t>
      </w:r>
    </w:p>
    <w:p>
      <w:pPr>
        <w:spacing w:after="0" w:line="179"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education revenues. </w:t>
      </w:r>
      <w:r>
        <w:rPr>
          <w:rFonts w:ascii="Times New Roman" w:cs="Times New Roman" w:eastAsia="Times New Roman" w:hAnsi="Times New Roman"/>
          <w:sz w:val="18"/>
          <w:szCs w:val="18"/>
          <w:color w:val="auto"/>
        </w:rPr>
        <w:t>Cost of education revenues consists of personnel and related overhead costs. Cost of education revenues did not materially</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change during 2024, as compared to the prior year.</w:t>
      </w:r>
    </w:p>
    <w:p>
      <w:pPr>
        <w:spacing w:after="0" w:line="155"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 xml:space="preserve">Sales and marketing expenses. </w:t>
      </w:r>
      <w:r>
        <w:rPr>
          <w:rFonts w:ascii="Times New Roman" w:cs="Times New Roman" w:eastAsia="Times New Roman" w:hAnsi="Times New Roman"/>
          <w:sz w:val="18"/>
          <w:szCs w:val="18"/>
          <w:color w:val="auto"/>
        </w:rPr>
        <w:t>Sales and marketing expenses consist of personnel costs, commissions, office facilities, travel, advertising, public relations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programs, and promotional events, such as trade shows, seminars, and technical conferences. The following table sets forth sales and marketing expenses (in thousands) and related percentage change for the periods indicated:</w:t>
      </w:r>
    </w:p>
    <w:p>
      <w:pPr>
        <w:spacing w:after="0" w:line="168"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60" w:type="dxa"/>
            <w:vAlign w:val="bottom"/>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2800" w:type="dxa"/>
            <w:vAlign w:val="bottom"/>
            <w:tcBorders>
              <w:bottom w:val="single" w:sz="8" w:color="auto"/>
            </w:tcBorders>
            <w:gridSpan w:val="5"/>
          </w:tcPr>
          <w:p>
            <w:pPr>
              <w:ind w:left="40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1380" w:type="dxa"/>
            <w:vAlign w:val="bottom"/>
            <w:vMerge w:val="restart"/>
          </w:tcPr>
          <w:p>
            <w:pPr>
              <w:ind w:left="360"/>
              <w:spacing w:after="0"/>
              <w:rPr>
                <w:sz w:val="20"/>
                <w:szCs w:val="20"/>
                <w:color w:val="auto"/>
              </w:rPr>
            </w:pPr>
            <w:r>
              <w:rPr>
                <w:rFonts w:ascii="Times New Roman" w:cs="Times New Roman" w:eastAsia="Times New Roman" w:hAnsi="Times New Roman"/>
                <w:sz w:val="14"/>
                <w:szCs w:val="14"/>
                <w:b w:val="1"/>
                <w:bCs w:val="1"/>
                <w:color w:val="auto"/>
              </w:rPr>
              <w:t>% Change</w:t>
            </w:r>
          </w:p>
        </w:tc>
        <w:tc>
          <w:tcPr>
            <w:tcW w:w="180" w:type="dxa"/>
            <w:vAlign w:val="bottom"/>
            <w:vMerge w:val="restart"/>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656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62"/>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9"/>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1380" w:type="dxa"/>
            <w:vAlign w:val="bottom"/>
            <w:tcBorders>
              <w:bottom w:val="single" w:sz="8" w:color="auto"/>
            </w:tcBorders>
            <w:vMerge w:val="continue"/>
          </w:tcPr>
          <w:p>
            <w:pPr>
              <w:spacing w:after="0"/>
              <w:rPr>
                <w:sz w:val="12"/>
                <w:szCs w:val="12"/>
                <w:color w:val="auto"/>
              </w:rPr>
            </w:pPr>
          </w:p>
        </w:tc>
        <w:tc>
          <w:tcPr>
            <w:tcW w:w="180" w:type="dxa"/>
            <w:vAlign w:val="bottom"/>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Sales and marketing expenses</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ind w:left="400"/>
              <w:spacing w:after="0"/>
              <w:rPr>
                <w:sz w:val="20"/>
                <w:szCs w:val="20"/>
                <w:color w:val="auto"/>
              </w:rPr>
            </w:pPr>
            <w:r>
              <w:rPr>
                <w:rFonts w:ascii="Times New Roman" w:cs="Times New Roman" w:eastAsia="Times New Roman" w:hAnsi="Times New Roman"/>
                <w:sz w:val="18"/>
                <w:szCs w:val="18"/>
                <w:color w:val="auto"/>
              </w:rPr>
              <w:t>138,081</w:t>
            </w:r>
          </w:p>
        </w:tc>
        <w:tc>
          <w:tcPr>
            <w:tcW w:w="5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149,671</w:t>
            </w: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-7.7 %</w:t>
            </w:r>
          </w:p>
        </w:tc>
        <w:tc>
          <w:tcPr>
            <w:tcW w:w="0" w:type="dxa"/>
            <w:vAlign w:val="bottom"/>
          </w:tcPr>
          <w:p>
            <w:pPr>
              <w:spacing w:after="0"/>
              <w:rPr>
                <w:sz w:val="1"/>
                <w:szCs w:val="1"/>
                <w:color w:val="auto"/>
              </w:rPr>
            </w:pPr>
          </w:p>
        </w:tc>
      </w:tr>
    </w:tbl>
    <w:p>
      <w:pPr>
        <w:spacing w:after="0" w:line="238"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Sales and marketing expenses decreased $11.6 million during 2024, as compared to the prior year, primarily due to (i) an $8.3 million decrease in variable compensation primarily attributable to an increase in net capitalized commissions driven by changes to our 2024 compensation plans that further incentivized cloud deals compared to the prior year, (ii) a $6.4 million decrease in employee salaries primarily attributable to a decrease in average staffing levels (including from the internal transfer of certain employees to product support functions), partially offset by wage increases, (iii) a $3.2 million net decrease in share-based compensation expense primarily attributable to the forfeiture of certain awards and the internal transfer of certain employees to product support functions, partially offset by the grant of additional awards under the Stock Incentive Plans and the fair value remeasurement of certain liability-classified awards upon exercise or at the end of the reporting period, and (iv) a $1.7 million decrease in facility and other related support costs, partially offset by (v) a $4.1 million increase in personnel costs primarily attributable to an increase in employer payroll taxes related to the exercise or vesting of certain awards under the Stock Incentive Plans, (vi) a $3.0 million increase in marketing costs, and (vii) a $1.5 million increase in severance costs due to headcount reductions.</w:t>
      </w:r>
    </w:p>
    <w:p>
      <w:pPr>
        <w:spacing w:after="0" w:line="190"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 xml:space="preserve">Research and development expenses. </w:t>
      </w:r>
      <w:r>
        <w:rPr>
          <w:rFonts w:ascii="Times New Roman" w:cs="Times New Roman" w:eastAsia="Times New Roman" w:hAnsi="Times New Roman"/>
          <w:sz w:val="18"/>
          <w:szCs w:val="18"/>
          <w:color w:val="auto"/>
        </w:rPr>
        <w:t>Research and development expenses consist of the personnel costs for our software engineering personnel and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related overhead costs. The following table summarizes research and development expenses (in thousands) and related percentage change for the periods indicated:</w:t>
      </w:r>
    </w:p>
    <w:p>
      <w:pPr>
        <w:spacing w:after="0" w:line="168"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60" w:type="dxa"/>
            <w:vAlign w:val="bottom"/>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2800" w:type="dxa"/>
            <w:vAlign w:val="bottom"/>
            <w:tcBorders>
              <w:bottom w:val="single" w:sz="8" w:color="auto"/>
            </w:tcBorders>
            <w:gridSpan w:val="5"/>
          </w:tcPr>
          <w:p>
            <w:pPr>
              <w:ind w:left="40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1380" w:type="dxa"/>
            <w:vAlign w:val="bottom"/>
            <w:vMerge w:val="restart"/>
          </w:tcPr>
          <w:p>
            <w:pPr>
              <w:ind w:left="360"/>
              <w:spacing w:after="0"/>
              <w:rPr>
                <w:sz w:val="20"/>
                <w:szCs w:val="20"/>
                <w:color w:val="auto"/>
              </w:rPr>
            </w:pPr>
            <w:r>
              <w:rPr>
                <w:rFonts w:ascii="Times New Roman" w:cs="Times New Roman" w:eastAsia="Times New Roman" w:hAnsi="Times New Roman"/>
                <w:sz w:val="14"/>
                <w:szCs w:val="14"/>
                <w:b w:val="1"/>
                <w:bCs w:val="1"/>
                <w:color w:val="auto"/>
              </w:rPr>
              <w:t>% Change</w:t>
            </w:r>
          </w:p>
        </w:tc>
        <w:tc>
          <w:tcPr>
            <w:tcW w:w="180" w:type="dxa"/>
            <w:vAlign w:val="bottom"/>
            <w:vMerge w:val="restart"/>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656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62"/>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9"/>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1380" w:type="dxa"/>
            <w:vAlign w:val="bottom"/>
            <w:tcBorders>
              <w:bottom w:val="single" w:sz="8" w:color="auto"/>
            </w:tcBorders>
            <w:vMerge w:val="continue"/>
          </w:tcPr>
          <w:p>
            <w:pPr>
              <w:spacing w:after="0"/>
              <w:rPr>
                <w:sz w:val="12"/>
                <w:szCs w:val="12"/>
                <w:color w:val="auto"/>
              </w:rPr>
            </w:pPr>
          </w:p>
        </w:tc>
        <w:tc>
          <w:tcPr>
            <w:tcW w:w="180" w:type="dxa"/>
            <w:vAlign w:val="bottom"/>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Research and development expenses</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ind w:left="400"/>
              <w:spacing w:after="0"/>
              <w:rPr>
                <w:sz w:val="20"/>
                <w:szCs w:val="20"/>
                <w:color w:val="auto"/>
              </w:rPr>
            </w:pPr>
            <w:r>
              <w:rPr>
                <w:rFonts w:ascii="Times New Roman" w:cs="Times New Roman" w:eastAsia="Times New Roman" w:hAnsi="Times New Roman"/>
                <w:sz w:val="18"/>
                <w:szCs w:val="18"/>
                <w:color w:val="auto"/>
              </w:rPr>
              <w:t>118,486</w:t>
            </w:r>
          </w:p>
        </w:tc>
        <w:tc>
          <w:tcPr>
            <w:tcW w:w="5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120,530</w:t>
            </w: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-1.7 %</w:t>
            </w:r>
          </w:p>
        </w:tc>
        <w:tc>
          <w:tcPr>
            <w:tcW w:w="0" w:type="dxa"/>
            <w:vAlign w:val="bottom"/>
          </w:tcPr>
          <w:p>
            <w:pPr>
              <w:spacing w:after="0"/>
              <w:rPr>
                <w:sz w:val="1"/>
                <w:szCs w:val="1"/>
                <w:color w:val="auto"/>
              </w:rPr>
            </w:pPr>
          </w:p>
        </w:tc>
      </w:tr>
    </w:tbl>
    <w:p>
      <w:pPr>
        <w:spacing w:after="0" w:line="225"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Research and development expenses decreased $2.0 million during 2024, as compared to the prior year, primarily due to (i) a $6.1 million decrease in employee salaries primarily attributable to a decrease in average staffing levels, partially offset by wage increases, (ii) a $0.8 million decrease in variable compensation, and (iii) a $0.8 million decrease in facility and other related support costs, partially offset by (iv) a $3.8 million increase in severance costs due to headcount reductions, (v) a $1.5 million increase in personnel costs primarily attributable to an increase in employer payroll taxes related to the exercise or vesting of certain awards under the Stock Incentive Plans and (vi) a $0.9 million net increase in share-based compensation expense primarily attributable to the grant of additional awards under the Stock Incentive Plans, partially offset by the forfeiture of certain awards.</w:t>
      </w:r>
    </w:p>
    <w:p>
      <w:pPr>
        <w:spacing w:after="0" w:line="200" w:lineRule="exact"/>
        <w:rPr>
          <w:sz w:val="20"/>
          <w:szCs w:val="20"/>
          <w:color w:val="auto"/>
        </w:rPr>
      </w:pPr>
    </w:p>
    <w:p>
      <w:pPr>
        <w:spacing w:after="0" w:line="20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54" w:name="page55"/>
    <w:bookmarkEnd w:id="54"/>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General and administrative expenses. </w:t>
      </w:r>
      <w:r>
        <w:rPr>
          <w:rFonts w:ascii="Times New Roman" w:cs="Times New Roman" w:eastAsia="Times New Roman" w:hAnsi="Times New Roman"/>
          <w:sz w:val="18"/>
          <w:szCs w:val="18"/>
          <w:color w:val="auto"/>
        </w:rPr>
        <w:t>General and administrative expenses consist of personnel and related overhead costs, and other costs of our</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executive, finance, human resources, information systems, and administrative departments, as well as third-party consulting, legal, and other professional fees, and third-party costs associated with our digital asset holdings. The following table sets forth general and administrative expenses (in thousands) and related percentage change for the periods indicated:</w:t>
      </w:r>
    </w:p>
    <w:p>
      <w:pPr>
        <w:spacing w:after="0" w:line="174"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60" w:type="dxa"/>
            <w:vAlign w:val="bottom"/>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2800" w:type="dxa"/>
            <w:vAlign w:val="bottom"/>
            <w:tcBorders>
              <w:bottom w:val="single" w:sz="8" w:color="auto"/>
            </w:tcBorders>
            <w:gridSpan w:val="5"/>
          </w:tcPr>
          <w:p>
            <w:pPr>
              <w:ind w:left="40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1380" w:type="dxa"/>
            <w:vAlign w:val="bottom"/>
            <w:vMerge w:val="restart"/>
          </w:tcPr>
          <w:p>
            <w:pPr>
              <w:ind w:left="360"/>
              <w:spacing w:after="0"/>
              <w:rPr>
                <w:sz w:val="20"/>
                <w:szCs w:val="20"/>
                <w:color w:val="auto"/>
              </w:rPr>
            </w:pPr>
            <w:r>
              <w:rPr>
                <w:rFonts w:ascii="Times New Roman" w:cs="Times New Roman" w:eastAsia="Times New Roman" w:hAnsi="Times New Roman"/>
                <w:sz w:val="14"/>
                <w:szCs w:val="14"/>
                <w:b w:val="1"/>
                <w:bCs w:val="1"/>
                <w:color w:val="auto"/>
              </w:rPr>
              <w:t>% Change</w:t>
            </w:r>
          </w:p>
        </w:tc>
        <w:tc>
          <w:tcPr>
            <w:tcW w:w="180" w:type="dxa"/>
            <w:vAlign w:val="bottom"/>
            <w:vMerge w:val="restart"/>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656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62"/>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9"/>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1380" w:type="dxa"/>
            <w:vAlign w:val="bottom"/>
            <w:tcBorders>
              <w:bottom w:val="single" w:sz="8" w:color="auto"/>
            </w:tcBorders>
            <w:vMerge w:val="continue"/>
          </w:tcPr>
          <w:p>
            <w:pPr>
              <w:spacing w:after="0"/>
              <w:rPr>
                <w:sz w:val="12"/>
                <w:szCs w:val="12"/>
                <w:color w:val="auto"/>
              </w:rPr>
            </w:pPr>
          </w:p>
        </w:tc>
        <w:tc>
          <w:tcPr>
            <w:tcW w:w="180" w:type="dxa"/>
            <w:vAlign w:val="bottom"/>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General and administrative expenses</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ind w:left="400"/>
              <w:spacing w:after="0"/>
              <w:rPr>
                <w:sz w:val="20"/>
                <w:szCs w:val="20"/>
                <w:color w:val="auto"/>
              </w:rPr>
            </w:pPr>
            <w:r>
              <w:rPr>
                <w:rFonts w:ascii="Times New Roman" w:cs="Times New Roman" w:eastAsia="Times New Roman" w:hAnsi="Times New Roman"/>
                <w:sz w:val="18"/>
                <w:szCs w:val="18"/>
                <w:color w:val="auto"/>
              </w:rPr>
              <w:t>140,537</w:t>
            </w:r>
          </w:p>
        </w:tc>
        <w:tc>
          <w:tcPr>
            <w:tcW w:w="5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115,312</w:t>
            </w: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21.9 %</w:t>
            </w:r>
          </w:p>
        </w:tc>
        <w:tc>
          <w:tcPr>
            <w:tcW w:w="0" w:type="dxa"/>
            <w:vAlign w:val="bottom"/>
          </w:tcPr>
          <w:p>
            <w:pPr>
              <w:spacing w:after="0"/>
              <w:rPr>
                <w:sz w:val="1"/>
                <w:szCs w:val="1"/>
                <w:color w:val="auto"/>
              </w:rPr>
            </w:pPr>
          </w:p>
        </w:tc>
      </w:tr>
    </w:tbl>
    <w:p>
      <w:pPr>
        <w:spacing w:after="0" w:line="238"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General and administrative expenses increased $25.2 million during 2024, as compared to the prior year, primarily due to (i) an $8.6 million increase in personnel costs primarily attributable to an increase in employer payroll taxes related to the exercise or vesting of certain awards under the Stock Incentive Plans, (ii) an $8.2 million net increase in share-based compensation expense primarily attributable to the grant of additional awards under the Stock Incentive Plans, partially offset by certain awards that became fully vested and the forfeiture of certain awards, (iii) a $6.1 million increase in legal, consulting, and other advisory costs, and (iv) a $4.4 million increase in custodial fees incurred on our bitcoin holdings, partially offset by (v) a $2.7 million decrease in employee salaries primarily attributable to a decrease in average staffing levels, partially offset by wage increases. We expect general and administrative expenses to increase in future periods due in part to an increase in bitcoin custodial fees as a result of our significant bitcoin holdings, the recent increase in the market price of bitcoin, and our continued strategy to accumulate additional bitcoin for the foreseeable future.</w:t>
      </w:r>
    </w:p>
    <w:p>
      <w:pPr>
        <w:spacing w:after="0" w:line="188"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Digital asset impairment losses. </w:t>
      </w:r>
      <w:r>
        <w:rPr>
          <w:rFonts w:ascii="Times New Roman" w:cs="Times New Roman" w:eastAsia="Times New Roman" w:hAnsi="Times New Roman"/>
          <w:sz w:val="18"/>
          <w:szCs w:val="18"/>
          <w:color w:val="auto"/>
        </w:rPr>
        <w:t>Digital asset impairment losses are recognized when the carrying value of our digital assets exceeds their lowest fair</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value at any time since their acquisition. Impaired digital assets are written down to fair value at the time of impairment, and such impairment loss cannot be recovered for any subsequent increases in fair value. Gains (if any) are not recorded until realized upon sale. The following table sets forth digital asset impairment losses (in thousands) and related percentage change for the periods indicated:</w:t>
      </w:r>
    </w:p>
    <w:p>
      <w:pPr>
        <w:spacing w:after="0" w:line="201"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60" w:type="dxa"/>
            <w:vAlign w:val="bottom"/>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2800" w:type="dxa"/>
            <w:vAlign w:val="bottom"/>
            <w:tcBorders>
              <w:bottom w:val="single" w:sz="8" w:color="auto"/>
            </w:tcBorders>
            <w:gridSpan w:val="5"/>
          </w:tcPr>
          <w:p>
            <w:pPr>
              <w:ind w:left="40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1380" w:type="dxa"/>
            <w:vAlign w:val="bottom"/>
            <w:vMerge w:val="restart"/>
          </w:tcPr>
          <w:p>
            <w:pPr>
              <w:ind w:left="360"/>
              <w:spacing w:after="0"/>
              <w:rPr>
                <w:sz w:val="20"/>
                <w:szCs w:val="20"/>
                <w:color w:val="auto"/>
              </w:rPr>
            </w:pPr>
            <w:r>
              <w:rPr>
                <w:rFonts w:ascii="Times New Roman" w:cs="Times New Roman" w:eastAsia="Times New Roman" w:hAnsi="Times New Roman"/>
                <w:sz w:val="14"/>
                <w:szCs w:val="14"/>
                <w:b w:val="1"/>
                <w:bCs w:val="1"/>
                <w:color w:val="auto"/>
              </w:rPr>
              <w:t>% Change</w:t>
            </w:r>
          </w:p>
        </w:tc>
        <w:tc>
          <w:tcPr>
            <w:tcW w:w="180" w:type="dxa"/>
            <w:vAlign w:val="bottom"/>
            <w:vMerge w:val="restart"/>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656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62"/>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9"/>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1380" w:type="dxa"/>
            <w:vAlign w:val="bottom"/>
            <w:tcBorders>
              <w:bottom w:val="single" w:sz="8" w:color="auto"/>
            </w:tcBorders>
            <w:vMerge w:val="continue"/>
          </w:tcPr>
          <w:p>
            <w:pPr>
              <w:spacing w:after="0"/>
              <w:rPr>
                <w:sz w:val="12"/>
                <w:szCs w:val="12"/>
                <w:color w:val="auto"/>
              </w:rPr>
            </w:pPr>
          </w:p>
        </w:tc>
        <w:tc>
          <w:tcPr>
            <w:tcW w:w="180" w:type="dxa"/>
            <w:vAlign w:val="bottom"/>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1,789,862</w:t>
            </w:r>
          </w:p>
        </w:tc>
        <w:tc>
          <w:tcPr>
            <w:tcW w:w="5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115,851</w:t>
            </w: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1,445.0 %</w:t>
            </w:r>
          </w:p>
        </w:tc>
        <w:tc>
          <w:tcPr>
            <w:tcW w:w="0" w:type="dxa"/>
            <w:vAlign w:val="bottom"/>
          </w:tcPr>
          <w:p>
            <w:pPr>
              <w:spacing w:after="0"/>
              <w:rPr>
                <w:sz w:val="1"/>
                <w:szCs w:val="1"/>
                <w:color w:val="auto"/>
              </w:rPr>
            </w:pPr>
          </w:p>
        </w:tc>
      </w:tr>
    </w:tbl>
    <w:p>
      <w:pPr>
        <w:spacing w:after="0" w:line="238"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did not sell any of our digital assets during 2024 or 2023. As mentioned above, the accounting for our digital assets will change upon our adoption of ASU 2023-08 on January 1, 2025 and we will no longer record digital asset impairment losses. Upon adoption of ASU 2023-08, we are required to report our digital assets at fair value, with resulting gains and losses from changes in fair value recognized in net income each reporting period. As a result, we expect fluctuations in the price of bitcoin to have a significant impact on our future operating results. See Note 3, Recent Accounting Standards, to the Consolidated Financial Statements for further information.</w:t>
      </w:r>
    </w:p>
    <w:p>
      <w:pPr>
        <w:spacing w:after="0" w:line="11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Interest Expense, Net</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Interest expense, net, primarily relates to the contractual interest expense and amortization of issuance costs related to our long-term debt arrangements.</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sets forth interest expense, net (in thousands) for the periods indicated:</w:t>
      </w:r>
    </w:p>
    <w:p>
      <w:pPr>
        <w:spacing w:after="0" w:line="146"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580" w:type="dxa"/>
            <w:vAlign w:val="bottom"/>
          </w:tcPr>
          <w:p>
            <w:pPr>
              <w:spacing w:after="0"/>
              <w:rPr>
                <w:sz w:val="15"/>
                <w:szCs w:val="15"/>
                <w:color w:val="auto"/>
              </w:rPr>
            </w:pPr>
          </w:p>
        </w:tc>
        <w:tc>
          <w:tcPr>
            <w:tcW w:w="5380" w:type="dxa"/>
            <w:vAlign w:val="bottom"/>
          </w:tcPr>
          <w:p>
            <w:pPr>
              <w:spacing w:after="0"/>
              <w:rPr>
                <w:sz w:val="15"/>
                <w:szCs w:val="15"/>
                <w:color w:val="auto"/>
              </w:rPr>
            </w:pPr>
          </w:p>
        </w:tc>
        <w:tc>
          <w:tcPr>
            <w:tcW w:w="1560" w:type="dxa"/>
            <w:vAlign w:val="bottom"/>
            <w:tcBorders>
              <w:bottom w:val="single" w:sz="8" w:color="auto"/>
            </w:tcBorders>
          </w:tcPr>
          <w:p>
            <w:pPr>
              <w:spacing w:after="0"/>
              <w:rPr>
                <w:sz w:val="15"/>
                <w:szCs w:val="15"/>
                <w:color w:val="auto"/>
              </w:rPr>
            </w:pPr>
          </w:p>
        </w:tc>
        <w:tc>
          <w:tcPr>
            <w:tcW w:w="2040" w:type="dxa"/>
            <w:vAlign w:val="bottom"/>
            <w:tcBorders>
              <w:bottom w:val="single" w:sz="8" w:color="auto"/>
            </w:tcBorders>
            <w:gridSpan w:val="3"/>
          </w:tcPr>
          <w:p>
            <w:pPr>
              <w:jc w:val="right"/>
              <w:ind w:right="18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158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96"/>
        </w:trPr>
        <w:tc>
          <w:tcPr>
            <w:tcW w:w="580" w:type="dxa"/>
            <w:vAlign w:val="bottom"/>
          </w:tcPr>
          <w:p>
            <w:pPr>
              <w:spacing w:after="0"/>
              <w:rPr>
                <w:sz w:val="17"/>
                <w:szCs w:val="17"/>
                <w:color w:val="auto"/>
              </w:rPr>
            </w:pPr>
          </w:p>
        </w:tc>
        <w:tc>
          <w:tcPr>
            <w:tcW w:w="5380" w:type="dxa"/>
            <w:vAlign w:val="bottom"/>
          </w:tcPr>
          <w:p>
            <w:pPr>
              <w:spacing w:after="0"/>
              <w:rPr>
                <w:sz w:val="17"/>
                <w:szCs w:val="17"/>
                <w:color w:val="auto"/>
              </w:rPr>
            </w:pPr>
          </w:p>
        </w:tc>
        <w:tc>
          <w:tcPr>
            <w:tcW w:w="1560" w:type="dxa"/>
            <w:vAlign w:val="bottom"/>
            <w:tcBorders>
              <w:bottom w:val="single" w:sz="8" w:color="auto"/>
            </w:tcBorders>
          </w:tcPr>
          <w:p>
            <w:pPr>
              <w:jc w:val="right"/>
              <w:ind w:right="116"/>
              <w:spacing w:after="0"/>
              <w:rPr>
                <w:sz w:val="20"/>
                <w:szCs w:val="20"/>
                <w:color w:val="auto"/>
              </w:rPr>
            </w:pPr>
            <w:r>
              <w:rPr>
                <w:rFonts w:ascii="Times New Roman" w:cs="Times New Roman" w:eastAsia="Times New Roman" w:hAnsi="Times New Roman"/>
                <w:sz w:val="14"/>
                <w:szCs w:val="14"/>
                <w:b w:val="1"/>
                <w:bCs w:val="1"/>
                <w:color w:val="auto"/>
              </w:rPr>
              <w:t>2024</w:t>
            </w:r>
          </w:p>
        </w:tc>
        <w:tc>
          <w:tcPr>
            <w:tcW w:w="880" w:type="dxa"/>
            <w:vAlign w:val="bottom"/>
            <w:tcBorders>
              <w:bottom w:val="single" w:sz="8" w:color="auto"/>
            </w:tcBorders>
          </w:tcPr>
          <w:p>
            <w:pPr>
              <w:spacing w:after="0"/>
              <w:rPr>
                <w:sz w:val="17"/>
                <w:szCs w:val="17"/>
                <w:color w:val="auto"/>
              </w:rPr>
            </w:pPr>
          </w:p>
        </w:tc>
        <w:tc>
          <w:tcPr>
            <w:tcW w:w="280" w:type="dxa"/>
            <w:vAlign w:val="bottom"/>
          </w:tcPr>
          <w:p>
            <w:pPr>
              <w:spacing w:after="0"/>
              <w:rPr>
                <w:sz w:val="17"/>
                <w:szCs w:val="17"/>
                <w:color w:val="auto"/>
              </w:rPr>
            </w:pPr>
          </w:p>
        </w:tc>
        <w:tc>
          <w:tcPr>
            <w:tcW w:w="880" w:type="dxa"/>
            <w:vAlign w:val="bottom"/>
            <w:tcBorders>
              <w:bottom w:val="single" w:sz="8" w:color="auto"/>
            </w:tcBorders>
          </w:tcPr>
          <w:p>
            <w:pPr>
              <w:spacing w:after="0"/>
              <w:rPr>
                <w:sz w:val="17"/>
                <w:szCs w:val="17"/>
                <w:color w:val="auto"/>
              </w:rPr>
            </w:pPr>
          </w:p>
        </w:tc>
        <w:tc>
          <w:tcPr>
            <w:tcW w:w="1580" w:type="dxa"/>
            <w:vAlign w:val="bottom"/>
            <w:tcBorders>
              <w:bottom w:val="single" w:sz="8" w:color="auto"/>
            </w:tcBorders>
          </w:tcPr>
          <w:p>
            <w:pPr>
              <w:jc w:val="right"/>
              <w:ind w:right="1012"/>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7"/>
                <w:szCs w:val="17"/>
                <w:color w:val="auto"/>
              </w:rPr>
            </w:pPr>
          </w:p>
        </w:tc>
      </w:tr>
      <w:tr>
        <w:trPr>
          <w:trHeight w:val="209"/>
        </w:trPr>
        <w:tc>
          <w:tcPr>
            <w:tcW w:w="596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Interest expense, net:</w:t>
            </w:r>
          </w:p>
        </w:tc>
        <w:tc>
          <w:tcPr>
            <w:tcW w:w="156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15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580" w:type="dxa"/>
            <w:vAlign w:val="bottom"/>
          </w:tcPr>
          <w:p>
            <w:pPr>
              <w:ind w:left="200"/>
              <w:spacing w:after="0"/>
              <w:rPr>
                <w:sz w:val="20"/>
                <w:szCs w:val="20"/>
                <w:color w:val="auto"/>
              </w:rPr>
            </w:pPr>
            <w:r>
              <w:rPr>
                <w:rFonts w:ascii="Times New Roman" w:cs="Times New Roman" w:eastAsia="Times New Roman" w:hAnsi="Times New Roman"/>
                <w:sz w:val="18"/>
                <w:szCs w:val="18"/>
                <w:color w:val="auto"/>
                <w:w w:val="99"/>
              </w:rPr>
              <w:t>2025</w:t>
            </w:r>
          </w:p>
        </w:tc>
        <w:tc>
          <w:tcPr>
            <w:tcW w:w="53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60" w:type="dxa"/>
            <w:vAlign w:val="bottom"/>
          </w:tcPr>
          <w:p>
            <w:pPr>
              <w:jc w:val="right"/>
              <w:ind w:right="1376"/>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3,865</w:t>
            </w:r>
          </w:p>
        </w:tc>
        <w:tc>
          <w:tcPr>
            <w:tcW w:w="1160" w:type="dxa"/>
            <w:vAlign w:val="bottom"/>
            <w:gridSpan w:val="2"/>
          </w:tcPr>
          <w:p>
            <w:pPr>
              <w:jc w:val="right"/>
              <w:ind w:right="760"/>
              <w:spacing w:after="0"/>
              <w:rPr>
                <w:sz w:val="20"/>
                <w:szCs w:val="20"/>
                <w:color w:val="auto"/>
              </w:rPr>
            </w:pPr>
            <w:r>
              <w:rPr>
                <w:rFonts w:ascii="Times New Roman" w:cs="Times New Roman" w:eastAsia="Times New Roman" w:hAnsi="Times New Roman"/>
                <w:sz w:val="18"/>
                <w:szCs w:val="18"/>
                <w:color w:val="auto"/>
              </w:rPr>
              <w:t>$</w:t>
            </w:r>
          </w:p>
        </w:tc>
        <w:tc>
          <w:tcPr>
            <w:tcW w:w="1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7,918</w:t>
            </w:r>
          </w:p>
        </w:tc>
        <w:tc>
          <w:tcPr>
            <w:tcW w:w="100" w:type="dxa"/>
            <w:vAlign w:val="bottom"/>
          </w:tcPr>
          <w:p>
            <w:pPr>
              <w:spacing w:after="0"/>
              <w:rPr>
                <w:sz w:val="18"/>
                <w:szCs w:val="18"/>
                <w:color w:val="auto"/>
              </w:rPr>
            </w:pPr>
          </w:p>
        </w:tc>
      </w:tr>
      <w:tr>
        <w:trPr>
          <w:trHeight w:val="216"/>
        </w:trPr>
        <w:tc>
          <w:tcPr>
            <w:tcW w:w="58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w w:val="99"/>
              </w:rPr>
              <w:t>2027</w:t>
            </w:r>
          </w:p>
        </w:tc>
        <w:tc>
          <w:tcPr>
            <w:tcW w:w="53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4,046</w:t>
            </w:r>
          </w:p>
        </w:tc>
        <w:tc>
          <w:tcPr>
            <w:tcW w:w="28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1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4,029</w:t>
            </w:r>
          </w:p>
        </w:tc>
        <w:tc>
          <w:tcPr>
            <w:tcW w:w="100" w:type="dxa"/>
            <w:vAlign w:val="bottom"/>
            <w:shd w:val="clear" w:color="auto" w:fill="CFF0FC"/>
          </w:tcPr>
          <w:p>
            <w:pPr>
              <w:spacing w:after="0"/>
              <w:rPr>
                <w:sz w:val="18"/>
                <w:szCs w:val="18"/>
                <w:color w:val="auto"/>
              </w:rPr>
            </w:pPr>
          </w:p>
        </w:tc>
      </w:tr>
      <w:tr>
        <w:trPr>
          <w:trHeight w:val="216"/>
        </w:trPr>
        <w:tc>
          <w:tcPr>
            <w:tcW w:w="580" w:type="dxa"/>
            <w:vAlign w:val="bottom"/>
          </w:tcPr>
          <w:p>
            <w:pPr>
              <w:ind w:left="200"/>
              <w:spacing w:after="0"/>
              <w:rPr>
                <w:sz w:val="20"/>
                <w:szCs w:val="20"/>
                <w:color w:val="auto"/>
              </w:rPr>
            </w:pPr>
            <w:r>
              <w:rPr>
                <w:rFonts w:ascii="Times New Roman" w:cs="Times New Roman" w:eastAsia="Times New Roman" w:hAnsi="Times New Roman"/>
                <w:sz w:val="18"/>
                <w:szCs w:val="18"/>
                <w:color w:val="auto"/>
                <w:w w:val="99"/>
              </w:rPr>
              <w:t>2028</w:t>
            </w:r>
          </w:p>
        </w:tc>
        <w:tc>
          <w:tcPr>
            <w:tcW w:w="53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6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2,939</w:t>
            </w:r>
          </w:p>
        </w:tc>
        <w:tc>
          <w:tcPr>
            <w:tcW w:w="28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1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r>
      <w:tr>
        <w:trPr>
          <w:trHeight w:val="216"/>
        </w:trPr>
        <w:tc>
          <w:tcPr>
            <w:tcW w:w="58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w w:val="99"/>
              </w:rPr>
              <w:t>2029</w:t>
            </w:r>
          </w:p>
        </w:tc>
        <w:tc>
          <w:tcPr>
            <w:tcW w:w="53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787</w:t>
            </w:r>
          </w:p>
        </w:tc>
        <w:tc>
          <w:tcPr>
            <w:tcW w:w="28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1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r>
      <w:tr>
        <w:trPr>
          <w:trHeight w:val="216"/>
        </w:trPr>
        <w:tc>
          <w:tcPr>
            <w:tcW w:w="580" w:type="dxa"/>
            <w:vAlign w:val="bottom"/>
          </w:tcPr>
          <w:p>
            <w:pPr>
              <w:ind w:left="200"/>
              <w:spacing w:after="0"/>
              <w:rPr>
                <w:sz w:val="20"/>
                <w:szCs w:val="20"/>
                <w:color w:val="auto"/>
              </w:rPr>
            </w:pPr>
            <w:r>
              <w:rPr>
                <w:rFonts w:ascii="Times New Roman" w:cs="Times New Roman" w:eastAsia="Times New Roman" w:hAnsi="Times New Roman"/>
                <w:sz w:val="18"/>
                <w:szCs w:val="18"/>
                <w:color w:val="auto"/>
                <w:w w:val="99"/>
              </w:rPr>
              <w:t>2030</w:t>
            </w:r>
          </w:p>
        </w:tc>
        <w:tc>
          <w:tcPr>
            <w:tcW w:w="53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6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7,241</w:t>
            </w:r>
          </w:p>
        </w:tc>
        <w:tc>
          <w:tcPr>
            <w:tcW w:w="28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1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r>
      <w:tr>
        <w:trPr>
          <w:trHeight w:val="216"/>
        </w:trPr>
        <w:tc>
          <w:tcPr>
            <w:tcW w:w="58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w w:val="99"/>
              </w:rPr>
              <w:t>2031</w:t>
            </w:r>
          </w:p>
        </w:tc>
        <w:tc>
          <w:tcPr>
            <w:tcW w:w="53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6,063</w:t>
            </w:r>
          </w:p>
        </w:tc>
        <w:tc>
          <w:tcPr>
            <w:tcW w:w="28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1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r>
      <w:tr>
        <w:trPr>
          <w:trHeight w:val="216"/>
        </w:trPr>
        <w:tc>
          <w:tcPr>
            <w:tcW w:w="580" w:type="dxa"/>
            <w:vAlign w:val="bottom"/>
          </w:tcPr>
          <w:p>
            <w:pPr>
              <w:ind w:left="200"/>
              <w:spacing w:after="0"/>
              <w:rPr>
                <w:sz w:val="20"/>
                <w:szCs w:val="20"/>
                <w:color w:val="auto"/>
              </w:rPr>
            </w:pPr>
            <w:r>
              <w:rPr>
                <w:rFonts w:ascii="Times New Roman" w:cs="Times New Roman" w:eastAsia="Times New Roman" w:hAnsi="Times New Roman"/>
                <w:sz w:val="18"/>
                <w:szCs w:val="18"/>
                <w:color w:val="auto"/>
                <w:w w:val="99"/>
              </w:rPr>
              <w:t>2032</w:t>
            </w:r>
          </w:p>
        </w:tc>
        <w:tc>
          <w:tcPr>
            <w:tcW w:w="53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6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11,067</w:t>
            </w:r>
          </w:p>
        </w:tc>
        <w:tc>
          <w:tcPr>
            <w:tcW w:w="28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1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r>
      <w:tr>
        <w:trPr>
          <w:trHeight w:val="216"/>
        </w:trPr>
        <w:tc>
          <w:tcPr>
            <w:tcW w:w="58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w w:val="99"/>
              </w:rPr>
              <w:t>2028</w:t>
            </w:r>
          </w:p>
        </w:tc>
        <w:tc>
          <w:tcPr>
            <w:tcW w:w="53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Secured Notes</w:t>
            </w:r>
          </w:p>
        </w:tc>
        <w:tc>
          <w:tcPr>
            <w:tcW w:w="15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23,915</w:t>
            </w:r>
          </w:p>
        </w:tc>
        <w:tc>
          <w:tcPr>
            <w:tcW w:w="28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1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32,271</w:t>
            </w:r>
          </w:p>
        </w:tc>
        <w:tc>
          <w:tcPr>
            <w:tcW w:w="100" w:type="dxa"/>
            <w:vAlign w:val="bottom"/>
            <w:shd w:val="clear" w:color="auto" w:fill="CFF0FC"/>
          </w:tcPr>
          <w:p>
            <w:pPr>
              <w:spacing w:after="0"/>
              <w:rPr>
                <w:sz w:val="18"/>
                <w:szCs w:val="18"/>
                <w:color w:val="auto"/>
              </w:rPr>
            </w:pPr>
          </w:p>
        </w:tc>
      </w:tr>
      <w:tr>
        <w:trPr>
          <w:trHeight w:val="216"/>
        </w:trPr>
        <w:tc>
          <w:tcPr>
            <w:tcW w:w="580" w:type="dxa"/>
            <w:vAlign w:val="bottom"/>
          </w:tcPr>
          <w:p>
            <w:pPr>
              <w:ind w:left="200"/>
              <w:spacing w:after="0"/>
              <w:rPr>
                <w:sz w:val="20"/>
                <w:szCs w:val="20"/>
                <w:color w:val="auto"/>
              </w:rPr>
            </w:pPr>
            <w:r>
              <w:rPr>
                <w:rFonts w:ascii="Times New Roman" w:cs="Times New Roman" w:eastAsia="Times New Roman" w:hAnsi="Times New Roman"/>
                <w:sz w:val="18"/>
                <w:szCs w:val="18"/>
                <w:color w:val="auto"/>
                <w:w w:val="99"/>
              </w:rPr>
              <w:t>2025</w:t>
            </w:r>
          </w:p>
        </w:tc>
        <w:tc>
          <w:tcPr>
            <w:tcW w:w="53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Secured Term Loan</w:t>
            </w:r>
          </w:p>
        </w:tc>
        <w:tc>
          <w:tcPr>
            <w:tcW w:w="156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1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3,812</w:t>
            </w:r>
          </w:p>
        </w:tc>
        <w:tc>
          <w:tcPr>
            <w:tcW w:w="100" w:type="dxa"/>
            <w:vAlign w:val="bottom"/>
          </w:tcPr>
          <w:p>
            <w:pPr>
              <w:spacing w:after="0"/>
              <w:rPr>
                <w:sz w:val="18"/>
                <w:szCs w:val="18"/>
                <w:color w:val="auto"/>
              </w:rPr>
            </w:pPr>
          </w:p>
        </w:tc>
      </w:tr>
      <w:tr>
        <w:trPr>
          <w:trHeight w:val="216"/>
        </w:trPr>
        <w:tc>
          <w:tcPr>
            <w:tcW w:w="5960" w:type="dxa"/>
            <w:vAlign w:val="bottom"/>
            <w:tcBorders>
              <w:bottom w:val="single" w:sz="8" w:color="CFF0FC"/>
            </w:tcBorders>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Other interest expense, net</w:t>
            </w:r>
          </w:p>
        </w:tc>
        <w:tc>
          <w:tcPr>
            <w:tcW w:w="1560" w:type="dxa"/>
            <w:vAlign w:val="bottom"/>
            <w:tcBorders>
              <w:bottom w:val="single" w:sz="8" w:color="auto"/>
            </w:tcBorders>
            <w:shd w:val="clear" w:color="auto" w:fill="CFF0FC"/>
          </w:tcPr>
          <w:p>
            <w:pPr>
              <w:spacing w:after="0"/>
              <w:rPr>
                <w:sz w:val="18"/>
                <w:szCs w:val="18"/>
                <w:color w:val="auto"/>
              </w:rPr>
            </w:pPr>
          </w:p>
        </w:tc>
        <w:tc>
          <w:tcPr>
            <w:tcW w:w="8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2,018</w:t>
            </w:r>
          </w:p>
        </w:tc>
        <w:tc>
          <w:tcPr>
            <w:tcW w:w="280" w:type="dxa"/>
            <w:vAlign w:val="bottom"/>
            <w:tcBorders>
              <w:bottom w:val="single" w:sz="8" w:color="CFF0FC"/>
            </w:tcBorders>
            <w:shd w:val="clear" w:color="auto" w:fill="CFF0FC"/>
          </w:tcPr>
          <w:p>
            <w:pPr>
              <w:spacing w:after="0"/>
              <w:rPr>
                <w:sz w:val="18"/>
                <w:szCs w:val="18"/>
                <w:color w:val="auto"/>
              </w:rPr>
            </w:pPr>
          </w:p>
        </w:tc>
        <w:tc>
          <w:tcPr>
            <w:tcW w:w="880" w:type="dxa"/>
            <w:vAlign w:val="bottom"/>
            <w:tcBorders>
              <w:bottom w:val="single" w:sz="8" w:color="auto"/>
            </w:tcBorders>
            <w:shd w:val="clear" w:color="auto" w:fill="CFF0FC"/>
          </w:tcPr>
          <w:p>
            <w:pPr>
              <w:spacing w:after="0"/>
              <w:rPr>
                <w:sz w:val="18"/>
                <w:szCs w:val="18"/>
                <w:color w:val="auto"/>
              </w:rPr>
            </w:pPr>
          </w:p>
        </w:tc>
        <w:tc>
          <w:tcPr>
            <w:tcW w:w="15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930</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5960" w:type="dxa"/>
            <w:vAlign w:val="bottom"/>
            <w:gridSpan w:val="2"/>
          </w:tcPr>
          <w:p>
            <w:pPr>
              <w:ind w:left="380"/>
              <w:spacing w:after="0"/>
              <w:rPr>
                <w:sz w:val="20"/>
                <w:szCs w:val="20"/>
                <w:color w:val="auto"/>
              </w:rPr>
            </w:pPr>
            <w:r>
              <w:rPr>
                <w:rFonts w:ascii="Times New Roman" w:cs="Times New Roman" w:eastAsia="Times New Roman" w:hAnsi="Times New Roman"/>
                <w:sz w:val="18"/>
                <w:szCs w:val="18"/>
                <w:color w:val="auto"/>
              </w:rPr>
              <w:t>Total interest expense, net</w:t>
            </w:r>
          </w:p>
        </w:tc>
        <w:tc>
          <w:tcPr>
            <w:tcW w:w="1560" w:type="dxa"/>
            <w:vAlign w:val="bottom"/>
          </w:tcPr>
          <w:p>
            <w:pPr>
              <w:jc w:val="right"/>
              <w:ind w:right="1376"/>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61,941</w:t>
            </w:r>
          </w:p>
        </w:tc>
        <w:tc>
          <w:tcPr>
            <w:tcW w:w="1160" w:type="dxa"/>
            <w:vAlign w:val="bottom"/>
            <w:gridSpan w:val="2"/>
          </w:tcPr>
          <w:p>
            <w:pPr>
              <w:jc w:val="right"/>
              <w:ind w:right="760"/>
              <w:spacing w:after="0"/>
              <w:rPr>
                <w:sz w:val="20"/>
                <w:szCs w:val="20"/>
                <w:color w:val="auto"/>
              </w:rPr>
            </w:pPr>
            <w:r>
              <w:rPr>
                <w:rFonts w:ascii="Times New Roman" w:cs="Times New Roman" w:eastAsia="Times New Roman" w:hAnsi="Times New Roman"/>
                <w:sz w:val="18"/>
                <w:szCs w:val="18"/>
                <w:color w:val="auto"/>
              </w:rPr>
              <w:t>$</w:t>
            </w:r>
          </w:p>
        </w:tc>
        <w:tc>
          <w:tcPr>
            <w:tcW w:w="1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48,960</w:t>
            </w:r>
          </w:p>
        </w:tc>
        <w:tc>
          <w:tcPr>
            <w:tcW w:w="100" w:type="dxa"/>
            <w:vAlign w:val="bottom"/>
          </w:tcPr>
          <w:p>
            <w:pPr>
              <w:spacing w:after="0"/>
              <w:rPr>
                <w:sz w:val="18"/>
                <w:szCs w:val="18"/>
                <w:color w:val="auto"/>
              </w:rPr>
            </w:pPr>
          </w:p>
        </w:tc>
      </w:tr>
      <w:tr>
        <w:trPr>
          <w:trHeight w:val="20"/>
        </w:trPr>
        <w:tc>
          <w:tcPr>
            <w:tcW w:w="580" w:type="dxa"/>
            <w:vAlign w:val="bottom"/>
          </w:tcPr>
          <w:p>
            <w:pPr>
              <w:spacing w:after="0" w:line="20" w:lineRule="exact"/>
              <w:rPr>
                <w:sz w:val="1"/>
                <w:szCs w:val="1"/>
                <w:color w:val="auto"/>
              </w:rPr>
            </w:pPr>
          </w:p>
        </w:tc>
        <w:tc>
          <w:tcPr>
            <w:tcW w:w="5380" w:type="dxa"/>
            <w:vAlign w:val="bottom"/>
          </w:tcPr>
          <w:p>
            <w:pPr>
              <w:spacing w:after="0" w:line="20" w:lineRule="exact"/>
              <w:rPr>
                <w:sz w:val="1"/>
                <w:szCs w:val="1"/>
                <w:color w:val="auto"/>
              </w:rPr>
            </w:pPr>
          </w:p>
        </w:tc>
        <w:tc>
          <w:tcPr>
            <w:tcW w:w="1560" w:type="dxa"/>
            <w:vAlign w:val="bottom"/>
            <w:tcBorders>
              <w:top w:val="single" w:sz="8" w:color="auto"/>
              <w:bottom w:val="single" w:sz="8" w:color="auto"/>
            </w:tcBorders>
          </w:tcPr>
          <w:p>
            <w:pPr>
              <w:spacing w:after="0" w:line="20" w:lineRule="exact"/>
              <w:rPr>
                <w:sz w:val="1"/>
                <w:szCs w:val="1"/>
                <w:color w:val="auto"/>
              </w:rPr>
            </w:pPr>
          </w:p>
        </w:tc>
        <w:tc>
          <w:tcPr>
            <w:tcW w:w="88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880" w:type="dxa"/>
            <w:vAlign w:val="bottom"/>
            <w:tcBorders>
              <w:top w:val="single" w:sz="8" w:color="auto"/>
              <w:bottom w:val="single" w:sz="8" w:color="auto"/>
            </w:tcBorders>
          </w:tcPr>
          <w:p>
            <w:pPr>
              <w:spacing w:after="0" w:line="20" w:lineRule="exact"/>
              <w:rPr>
                <w:sz w:val="1"/>
                <w:szCs w:val="1"/>
                <w:color w:val="auto"/>
              </w:rPr>
            </w:pPr>
          </w:p>
        </w:tc>
        <w:tc>
          <w:tcPr>
            <w:tcW w:w="15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5328285</wp:posOffset>
            </wp:positionH>
            <wp:positionV relativeFrom="paragraph">
              <wp:posOffset>-170815</wp:posOffset>
            </wp:positionV>
            <wp:extent cx="68580" cy="889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-170815</wp:posOffset>
            </wp:positionV>
            <wp:extent cx="68580" cy="889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7">
                      <a:extLst>
                        <a:ext uri="{28A0092B-C50C-407E-A947-70E740481C1C}"/>
                      </a:extLst>
                    </a:blip>
                    <a:srcRect/>
                    <a:stretch>
                      <a:fillRect/>
                    </a:stretch>
                  </pic:blipFill>
                  <pic:spPr bwMode="auto">
                    <a:xfrm>
                      <a:off x="0" y="0"/>
                      <a:ext cx="68580" cy="8890"/>
                    </a:xfrm>
                    <a:prstGeom prst="rect">
                      <a:avLst/>
                    </a:prstGeom>
                    <a:noFill/>
                  </pic:spPr>
                </pic:pic>
              </a:graphicData>
            </a:graphic>
          </wp:anchor>
        </w:drawing>
      </w:r>
    </w:p>
    <w:p>
      <w:pPr>
        <w:spacing w:after="0" w:line="7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Interest expense, net, increased $13.0 million during 2024, as compared to the prior year, primarily as a result of (i) interest incurred related to the 2032 Convertible Notes (which were issued in June 2024), (ii) interest incurred related to the 2030 Convertible Notes and 2031 Convertible Notes (which were each issued in March 2024), (iii) interest incurred related to the 2028 Convertible Notes (which were issued in September 2024), and (iv) interest incurred related to trade credits with our bitcoin execution partners (which are included</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55" w:name="page56"/>
    <w:bookmarkEnd w:id="55"/>
    <w:p>
      <w:pPr>
        <w:jc w:val="both"/>
        <w:spacing w:after="0" w:line="261" w:lineRule="auto"/>
        <w:rPr>
          <w:sz w:val="20"/>
          <w:szCs w:val="20"/>
          <w:color w:val="auto"/>
        </w:rPr>
      </w:pPr>
      <w:r>
        <w:rPr>
          <w:rFonts w:ascii="Times New Roman" w:cs="Times New Roman" w:eastAsia="Times New Roman" w:hAnsi="Times New Roman"/>
          <w:sz w:val="18"/>
          <w:szCs w:val="18"/>
          <w:color w:val="auto"/>
        </w:rPr>
        <w:t>within “Other interest (income) expense, net” in the table above), partially offset by (iv) the 2028 Secured Notes having been redeemed in their entirety on September 26, 2024, (v) the 2025 Convertible Notes having been converted or redeemed in their entirety by July 15, 2024, and (vi) the repayment of the 2025 Secured Term Loan in March 2023. Refer to Note 8, Long-term Debt, to the Consolidated Financial Statements for further information. Our future interest expense may be significantly impacted by any new debt issuances, as well as redemptions or conversions of existing debt instruments.</w:t>
      </w:r>
    </w:p>
    <w:p>
      <w:pPr>
        <w:spacing w:after="0" w:line="12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(Loss) Gain on Debt Extinguishment</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2024, the $22.9 million loss on debt extinguishment resulted from the redemption of the 2028 Secured Notes. In 2023, the $44.7 million gain on debt extinguishment resulted from the repayment of the 2025 Secured Term Loan. Refer to Note 8, Long-term Debt, to the Consolidated Financial Statements for further information.</w:t>
      </w:r>
    </w:p>
    <w:p>
      <w:pPr>
        <w:spacing w:after="0" w:line="11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Other Income (Expense), Net</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Other income, net, of $3.5 million in 2024 was comprised primarily of foreign currency transaction net gains. Other expense, net, of $5.2 million in 2023 was comprised primarily of foreign currency transaction net losses.</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Benefit from Income Taxes</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During 2024, we recorded a benefit from income taxes of $767.7 million on a pre-tax loss of $1.934 billion that resulted in an effective tax rate of 39.7%, as compared to a benefit from income taxes of $553.6 million on a pre-tax loss of $124.5 million that resulted in an effective tax rate of 444.6% during 2023. During 2024, our benefit from income taxes primarily related to (i) a tax benefit from an increase in our deferred tax asset related to the impairment on our bitcoin holdings and (ii) a tax benefit related to share-based compensation (including the income tax effects of exercises of stock options and vesting of share-settled restricted stock units). During 2023, our benefit from income taxes primarily related to the release of a valuation allowance on our deferred tax asset related to the impairment on our bitcoin holdings, attributable to the increase in market value of bitcoin as of December 31, 2023 compared to December 31, 2022.</w:t>
      </w:r>
    </w:p>
    <w:p>
      <w:pPr>
        <w:spacing w:after="0" w:line="8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U.S. Tax Cuts and Jobs Act imposed a mandatory deemed repatriation transition tax (“Transition Tax”) on previously untaxed accumulated and current earnings and profits of certain of our foreign subsidiaries. As of December 31, 2024, $9.2 million of the Transition Tax was unpaid, all of which is included in “Accounts payable, accrued expenses, and operating lease liabilities” in our Consolidated Balance Sheet.</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of December 31, 2024, we had $775.9 million of U.S. federal net operating loss (“NOL”) carryforwards and $5.9 million of foreign NOL carryforwards. As of December 31, 2024, we also had gross state NOLs of $1.207 billion of which $381.1 million will expire between 2034 and 2044 and the remainder can be carried forward indefinitely. As of December 31, 2024, digital asset impairment losses, other temporary differences and carryforwards resulted in deferred tax assets, net of valuation allowances and deferred tax liabilities, of $1.525 billion.</w:t>
      </w:r>
    </w:p>
    <w:p>
      <w:pPr>
        <w:spacing w:after="0" w:line="7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of December 31, 2024, we had a valuation allowance of $0.5 million primarily related to foreign tax credits in certain jurisdictions. Our largest deferred tax asset relates to the impairment on our bitcoin holdings which will reverse upon our adoption of ASU 2023-08 on January 1, 2025. If the market value of bitcoin at a future date is less than the average cost of our bitcoin holdings at such reporting date, we may be required to establish a valuation allowance against our U.S. deferred tax assets. We routinely consider actions necessary to preserve or utilize tax attributes. We will continue to regularly assess the realizability of deferred tax assets.</w:t>
      </w:r>
    </w:p>
    <w:p>
      <w:pPr>
        <w:spacing w:after="0" w:line="7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of December 31, 2024, we have not indefinitely reinvested any of our undistributed foreign earnings and have recorded a deferred tax liability of $4.0 million on undistributed foreign earnings related to foreign withholding tax and U.S. state income taxes.</w:t>
      </w:r>
    </w:p>
    <w:p>
      <w:pPr>
        <w:spacing w:after="0" w:line="54"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The U.S. enacted the IRA in August 2022. Among other things, unless an exemption by statute or regulation applies, a provision of the IRA imposes a 15% CAMT on a corporation with respect to an initial tax year and subsequent tax years, if the average annual adjusted financial statement income for any consecutive three-tax-year period preceding the initial tax year exceeds $1 billion. On September 12, 2024, the Department of Treasury and the Internal Revenue Service issued proposed regulations with respect to the application of the CAMT. Due to our adoption of ASU 2023-08, we were required to recognize a cumulative-effect adjustment of $12.745 billion to the opening balance of our retained earnings as of January 1, 2025. We will additionally be required to recognize unrealized gains or losses from changes in the fair value of digital assets in future reporting periods as income or losses. For purposes of calculating the adjusted financial statement income, we will be required to ratably allocate from 2025 through 2028 the increase to our retained earnings. When determining whether we are subject to CAMT and when calculating any related tax liability for an applicable tax year, the proposed regulations provide that, among other adjustments, our adjusted financial statement income must include this ratable amount in addition to any unrealized gains or losses reported in the applicable tax year. Accordingly, as a result of the enactment of the IRA and our adoption of ASU 2023-08 on January 1, 2025, unless the IRA is amended or the proposed regulations, when finalized, are revised to provide relief (or other interim relief is granted), we could become subject to CAMT in the tax years 2026 and beyond. As the taxes to which we are subject will depend in significant part on the future price of bitcoin and the size of our bitcoin holdings, we are not able to estimate the impact of CAMT on our future income tax expense. See “Risk Factors—Risks Related to Our Business in</w:t>
      </w:r>
    </w:p>
    <w:p>
      <w:pPr>
        <w:spacing w:after="0" w:line="19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6" w:name="page57"/>
    <w:bookmarkEnd w:id="56"/>
    <w:p>
      <w:pPr>
        <w:jc w:val="both"/>
        <w:spacing w:after="0" w:line="282" w:lineRule="auto"/>
        <w:rPr>
          <w:sz w:val="20"/>
          <w:szCs w:val="20"/>
          <w:color w:val="auto"/>
        </w:rPr>
      </w:pPr>
      <w:r>
        <w:rPr>
          <w:rFonts w:ascii="Times New Roman" w:cs="Times New Roman" w:eastAsia="Times New Roman" w:hAnsi="Times New Roman"/>
          <w:sz w:val="18"/>
          <w:szCs w:val="18"/>
          <w:color w:val="auto"/>
        </w:rPr>
        <w:t>General—Unrealized fair value gains on our bitcoin holdings could cause us to become subject to the corporate alternative minimum tax under the Inflation Reduction Act of 2022.”</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Deferred Revenue and Advance Payments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Deferred revenue and advance payments represent amounts received or due from our customers in advance of our transferring our software or services to the customer. In the case of multi-year service contract arrangements, we generally do not invoice more than one year in advance of services and do not record deferred revenue for amounts that have not been invoiced. Revenue is subsequently recognized in the period(s) in which control of the software or services is transferred to the customer.</w:t>
      </w:r>
    </w:p>
    <w:p>
      <w:pPr>
        <w:spacing w:after="0" w:line="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summarizes deferred revenue and advance payments (in thousands), as of:</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7720" w:type="dxa"/>
            <w:vAlign w:val="bottom"/>
          </w:tcPr>
          <w:p>
            <w:pPr>
              <w:spacing w:after="0"/>
              <w:rPr>
                <w:sz w:val="15"/>
                <w:szCs w:val="15"/>
                <w:color w:val="auto"/>
              </w:rPr>
            </w:pPr>
          </w:p>
        </w:tc>
        <w:tc>
          <w:tcPr>
            <w:tcW w:w="940" w:type="dxa"/>
            <w:vAlign w:val="bottom"/>
            <w:tcBorders>
              <w:bottom w:val="single" w:sz="8" w:color="auto"/>
            </w:tcBorders>
          </w:tcPr>
          <w:p>
            <w:pPr>
              <w:spacing w:after="0"/>
              <w:rPr>
                <w:sz w:val="15"/>
                <w:szCs w:val="15"/>
                <w:color w:val="auto"/>
              </w:rPr>
            </w:pPr>
          </w:p>
        </w:tc>
        <w:tc>
          <w:tcPr>
            <w:tcW w:w="1360" w:type="dxa"/>
            <w:vAlign w:val="bottom"/>
            <w:tcBorders>
              <w:bottom w:val="single" w:sz="8" w:color="auto"/>
            </w:tcBorders>
            <w:gridSpan w:val="3"/>
          </w:tcPr>
          <w:p>
            <w:pPr>
              <w:jc w:val="right"/>
              <w:ind w:right="18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112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7720" w:type="dxa"/>
            <w:vAlign w:val="bottom"/>
          </w:tcPr>
          <w:p>
            <w:pPr>
              <w:spacing w:after="0"/>
              <w:rPr>
                <w:sz w:val="12"/>
                <w:szCs w:val="12"/>
                <w:color w:val="auto"/>
              </w:rPr>
            </w:pPr>
          </w:p>
        </w:tc>
        <w:tc>
          <w:tcPr>
            <w:tcW w:w="940" w:type="dxa"/>
            <w:vAlign w:val="bottom"/>
            <w:tcBorders>
              <w:bottom w:val="single" w:sz="8" w:color="auto"/>
            </w:tcBorders>
          </w:tcPr>
          <w:p>
            <w:pPr>
              <w:jc w:val="right"/>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620" w:type="dxa"/>
            <w:vAlign w:val="bottom"/>
            <w:tcBorders>
              <w:bottom w:val="single" w:sz="8" w:color="auto"/>
            </w:tcBorders>
          </w:tcPr>
          <w:p>
            <w:pPr>
              <w:spacing w:after="0"/>
              <w:rPr>
                <w:sz w:val="12"/>
                <w:szCs w:val="12"/>
                <w:color w:val="auto"/>
              </w:rPr>
            </w:pPr>
          </w:p>
        </w:tc>
        <w:tc>
          <w:tcPr>
            <w:tcW w:w="280" w:type="dxa"/>
            <w:vAlign w:val="bottom"/>
          </w:tcPr>
          <w:p>
            <w:pPr>
              <w:spacing w:after="0"/>
              <w:rPr>
                <w:sz w:val="12"/>
                <w:szCs w:val="12"/>
                <w:color w:val="auto"/>
              </w:rPr>
            </w:pPr>
          </w:p>
        </w:tc>
        <w:tc>
          <w:tcPr>
            <w:tcW w:w="460" w:type="dxa"/>
            <w:vAlign w:val="bottom"/>
            <w:tcBorders>
              <w:bottom w:val="single" w:sz="8" w:color="auto"/>
            </w:tcBorders>
          </w:tcPr>
          <w:p>
            <w:pPr>
              <w:spacing w:after="0"/>
              <w:rPr>
                <w:sz w:val="12"/>
                <w:szCs w:val="12"/>
                <w:color w:val="auto"/>
              </w:rPr>
            </w:pPr>
          </w:p>
        </w:tc>
        <w:tc>
          <w:tcPr>
            <w:tcW w:w="1120" w:type="dxa"/>
            <w:vAlign w:val="bottom"/>
            <w:tcBorders>
              <w:bottom w:val="single" w:sz="8" w:color="auto"/>
            </w:tcBorders>
          </w:tcPr>
          <w:p>
            <w:pPr>
              <w:jc w:val="right"/>
              <w:ind w:right="571"/>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r>
      <w:tr>
        <w:trPr>
          <w:trHeight w:val="210"/>
        </w:trPr>
        <w:tc>
          <w:tcPr>
            <w:tcW w:w="7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Current:</w:t>
            </w:r>
          </w:p>
        </w:tc>
        <w:tc>
          <w:tcPr>
            <w:tcW w:w="940" w:type="dxa"/>
            <w:vAlign w:val="bottom"/>
            <w:shd w:val="clear" w:color="auto" w:fill="CFF0FC"/>
          </w:tcPr>
          <w:p>
            <w:pPr>
              <w:spacing w:after="0"/>
              <w:rPr>
                <w:sz w:val="18"/>
                <w:szCs w:val="18"/>
                <w:color w:val="auto"/>
              </w:rPr>
            </w:pPr>
          </w:p>
        </w:tc>
        <w:tc>
          <w:tcPr>
            <w:tcW w:w="62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11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940" w:type="dxa"/>
            <w:vAlign w:val="bottom"/>
          </w:tcPr>
          <w:p>
            <w:pPr>
              <w:jc w:val="right"/>
              <w:ind w:right="753"/>
              <w:spacing w:after="0"/>
              <w:rPr>
                <w:sz w:val="20"/>
                <w:szCs w:val="20"/>
                <w:color w:val="auto"/>
              </w:rPr>
            </w:pPr>
            <w:r>
              <w:rPr>
                <w:rFonts w:ascii="Times New Roman" w:cs="Times New Roman" w:eastAsia="Times New Roman" w:hAnsi="Times New Roman"/>
                <w:sz w:val="18"/>
                <w:szCs w:val="18"/>
                <w:color w:val="auto"/>
                <w:w w:val="88"/>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1,777</w:t>
            </w:r>
          </w:p>
        </w:tc>
        <w:tc>
          <w:tcPr>
            <w:tcW w:w="74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940" w:type="dxa"/>
            <w:vAlign w:val="bottom"/>
            <w:shd w:val="clear" w:color="auto" w:fill="CFF0FC"/>
          </w:tcPr>
          <w:p>
            <w:pPr>
              <w:spacing w:after="0"/>
              <w:rPr>
                <w:sz w:val="18"/>
                <w:szCs w:val="18"/>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9"/>
              </w:rPr>
              <w:t>107,119</w:t>
            </w: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65,512</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940" w:type="dxa"/>
            <w:vAlign w:val="bottom"/>
          </w:tcPr>
          <w:p>
            <w:pPr>
              <w:spacing w:after="0"/>
              <w:rPr>
                <w:sz w:val="18"/>
                <w:szCs w:val="18"/>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99"/>
              </w:rPr>
              <w:t>124,684</w:t>
            </w: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152,012</w:t>
            </w:r>
          </w:p>
        </w:tc>
        <w:tc>
          <w:tcPr>
            <w:tcW w:w="100" w:type="dxa"/>
            <w:vAlign w:val="bottom"/>
          </w:tcPr>
          <w:p>
            <w:pPr>
              <w:spacing w:after="0"/>
              <w:rPr>
                <w:sz w:val="18"/>
                <w:szCs w:val="18"/>
                <w:color w:val="auto"/>
              </w:rPr>
            </w:pPr>
          </w:p>
        </w:tc>
      </w:tr>
      <w:tr>
        <w:trPr>
          <w:trHeight w:val="216"/>
        </w:trPr>
        <w:tc>
          <w:tcPr>
            <w:tcW w:w="77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940" w:type="dxa"/>
            <w:vAlign w:val="bottom"/>
            <w:tcBorders>
              <w:bottom w:val="single" w:sz="8" w:color="auto"/>
            </w:tcBorders>
            <w:shd w:val="clear" w:color="auto" w:fill="CFF0FC"/>
          </w:tcPr>
          <w:p>
            <w:pPr>
              <w:spacing w:after="0"/>
              <w:rPr>
                <w:sz w:val="18"/>
                <w:szCs w:val="18"/>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4,394</w:t>
            </w:r>
          </w:p>
        </w:tc>
        <w:tc>
          <w:tcPr>
            <w:tcW w:w="280" w:type="dxa"/>
            <w:vAlign w:val="bottom"/>
            <w:tcBorders>
              <w:bottom w:val="single" w:sz="8" w:color="CFF0FC"/>
            </w:tcBorders>
            <w:shd w:val="clear" w:color="auto" w:fill="CFF0FC"/>
          </w:tcPr>
          <w:p>
            <w:pPr>
              <w:spacing w:after="0"/>
              <w:rPr>
                <w:sz w:val="18"/>
                <w:szCs w:val="18"/>
                <w:color w:val="auto"/>
              </w:rPr>
            </w:pPr>
          </w:p>
        </w:tc>
        <w:tc>
          <w:tcPr>
            <w:tcW w:w="460" w:type="dxa"/>
            <w:vAlign w:val="bottom"/>
            <w:tcBorders>
              <w:bottom w:val="single" w:sz="8" w:color="auto"/>
            </w:tcBorders>
            <w:shd w:val="clear" w:color="auto" w:fill="CFF0FC"/>
          </w:tcPr>
          <w:p>
            <w:pPr>
              <w:spacing w:after="0"/>
              <w:rPr>
                <w:sz w:val="18"/>
                <w:szCs w:val="18"/>
                <w:color w:val="auto"/>
              </w:rPr>
            </w:pPr>
          </w:p>
        </w:tc>
        <w:tc>
          <w:tcPr>
            <w:tcW w:w="1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7,059</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Total current deferred revenue and advance payments</w:t>
            </w:r>
          </w:p>
        </w:tc>
        <w:tc>
          <w:tcPr>
            <w:tcW w:w="940" w:type="dxa"/>
            <w:vAlign w:val="bottom"/>
          </w:tcPr>
          <w:p>
            <w:pPr>
              <w:jc w:val="right"/>
              <w:ind w:right="753"/>
              <w:spacing w:after="0"/>
              <w:rPr>
                <w:sz w:val="20"/>
                <w:szCs w:val="20"/>
                <w:color w:val="auto"/>
              </w:rPr>
            </w:pPr>
            <w:r>
              <w:rPr>
                <w:rFonts w:ascii="Times New Roman" w:cs="Times New Roman" w:eastAsia="Times New Roman" w:hAnsi="Times New Roman"/>
                <w:sz w:val="18"/>
                <w:szCs w:val="18"/>
                <w:color w:val="auto"/>
                <w:w w:val="88"/>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99"/>
              </w:rPr>
              <w:t>237,974</w:t>
            </w:r>
          </w:p>
        </w:tc>
        <w:tc>
          <w:tcPr>
            <w:tcW w:w="74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100" w:type="dxa"/>
            <w:vAlign w:val="bottom"/>
          </w:tcPr>
          <w:p>
            <w:pPr>
              <w:spacing w:after="0"/>
              <w:rPr>
                <w:sz w:val="18"/>
                <w:szCs w:val="18"/>
                <w:color w:val="auto"/>
              </w:rPr>
            </w:pPr>
          </w:p>
        </w:tc>
      </w:tr>
      <w:tr>
        <w:trPr>
          <w:trHeight w:val="20"/>
        </w:trPr>
        <w:tc>
          <w:tcPr>
            <w:tcW w:w="7720" w:type="dxa"/>
            <w:vAlign w:val="bottom"/>
          </w:tcPr>
          <w:p>
            <w:pPr>
              <w:spacing w:after="0" w:line="20" w:lineRule="exact"/>
              <w:rPr>
                <w:sz w:val="1"/>
                <w:szCs w:val="1"/>
                <w:color w:val="auto"/>
              </w:rPr>
            </w:pPr>
          </w:p>
        </w:tc>
        <w:tc>
          <w:tcPr>
            <w:tcW w:w="940" w:type="dxa"/>
            <w:vAlign w:val="bottom"/>
            <w:tcBorders>
              <w:top w:val="single" w:sz="8" w:color="auto"/>
              <w:bottom w:val="single" w:sz="8" w:color="auto"/>
            </w:tcBorders>
          </w:tcPr>
          <w:p>
            <w:pPr>
              <w:spacing w:after="0" w:line="20" w:lineRule="exact"/>
              <w:rPr>
                <w:sz w:val="1"/>
                <w:szCs w:val="1"/>
                <w:color w:val="auto"/>
              </w:rPr>
            </w:pPr>
          </w:p>
        </w:tc>
        <w:tc>
          <w:tcPr>
            <w:tcW w:w="62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112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196"/>
        </w:trPr>
        <w:tc>
          <w:tcPr>
            <w:tcW w:w="7720" w:type="dxa"/>
            <w:vAlign w:val="bottom"/>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color w:val="auto"/>
              </w:rPr>
              <w:t>Non-current:</w:t>
            </w:r>
          </w:p>
        </w:tc>
        <w:tc>
          <w:tcPr>
            <w:tcW w:w="940" w:type="dxa"/>
            <w:vAlign w:val="bottom"/>
            <w:shd w:val="clear" w:color="auto" w:fill="CFF0FC"/>
          </w:tcPr>
          <w:p>
            <w:pPr>
              <w:spacing w:after="0"/>
              <w:rPr>
                <w:sz w:val="17"/>
                <w:szCs w:val="17"/>
                <w:color w:val="auto"/>
              </w:rPr>
            </w:pPr>
          </w:p>
        </w:tc>
        <w:tc>
          <w:tcPr>
            <w:tcW w:w="62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460" w:type="dxa"/>
            <w:vAlign w:val="bottom"/>
            <w:shd w:val="clear" w:color="auto" w:fill="CFF0FC"/>
          </w:tcPr>
          <w:p>
            <w:pPr>
              <w:spacing w:after="0"/>
              <w:rPr>
                <w:sz w:val="17"/>
                <w:szCs w:val="17"/>
                <w:color w:val="auto"/>
              </w:rPr>
            </w:pPr>
          </w:p>
        </w:tc>
        <w:tc>
          <w:tcPr>
            <w:tcW w:w="112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r>
      <w:tr>
        <w:trPr>
          <w:trHeight w:val="216"/>
        </w:trPr>
        <w:tc>
          <w:tcPr>
            <w:tcW w:w="7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940" w:type="dxa"/>
            <w:vAlign w:val="bottom"/>
          </w:tcPr>
          <w:p>
            <w:pPr>
              <w:jc w:val="right"/>
              <w:ind w:right="753"/>
              <w:spacing w:after="0"/>
              <w:rPr>
                <w:sz w:val="20"/>
                <w:szCs w:val="20"/>
                <w:color w:val="auto"/>
              </w:rPr>
            </w:pPr>
            <w:r>
              <w:rPr>
                <w:rFonts w:ascii="Times New Roman" w:cs="Times New Roman" w:eastAsia="Times New Roman" w:hAnsi="Times New Roman"/>
                <w:sz w:val="18"/>
                <w:szCs w:val="18"/>
                <w:color w:val="auto"/>
                <w:w w:val="88"/>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174</w:t>
            </w:r>
          </w:p>
        </w:tc>
        <w:tc>
          <w:tcPr>
            <w:tcW w:w="74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940" w:type="dxa"/>
            <w:vAlign w:val="bottom"/>
            <w:shd w:val="clear" w:color="auto" w:fill="CFF0FC"/>
          </w:tcPr>
          <w:p>
            <w:pPr>
              <w:spacing w:after="0"/>
              <w:rPr>
                <w:sz w:val="18"/>
                <w:szCs w:val="18"/>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2,263</w:t>
            </w: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3,097</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940" w:type="dxa"/>
            <w:vAlign w:val="bottom"/>
          </w:tcPr>
          <w:p>
            <w:pPr>
              <w:spacing w:after="0"/>
              <w:rPr>
                <w:sz w:val="18"/>
                <w:szCs w:val="18"/>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2,111</w:t>
            </w: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4,984</w:t>
            </w:r>
          </w:p>
        </w:tc>
        <w:tc>
          <w:tcPr>
            <w:tcW w:w="100" w:type="dxa"/>
            <w:vAlign w:val="bottom"/>
          </w:tcPr>
          <w:p>
            <w:pPr>
              <w:spacing w:after="0"/>
              <w:rPr>
                <w:sz w:val="18"/>
                <w:szCs w:val="18"/>
                <w:color w:val="auto"/>
              </w:rPr>
            </w:pPr>
          </w:p>
        </w:tc>
      </w:tr>
      <w:tr>
        <w:trPr>
          <w:trHeight w:val="216"/>
        </w:trPr>
        <w:tc>
          <w:tcPr>
            <w:tcW w:w="77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940" w:type="dxa"/>
            <w:vAlign w:val="bottom"/>
            <w:tcBorders>
              <w:bottom w:val="single" w:sz="8" w:color="auto"/>
            </w:tcBorders>
            <w:shd w:val="clear" w:color="auto" w:fill="CFF0FC"/>
          </w:tcPr>
          <w:p>
            <w:pPr>
              <w:spacing w:after="0"/>
              <w:rPr>
                <w:sz w:val="18"/>
                <w:szCs w:val="18"/>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422</w:t>
            </w:r>
          </w:p>
        </w:tc>
        <w:tc>
          <w:tcPr>
            <w:tcW w:w="280" w:type="dxa"/>
            <w:vAlign w:val="bottom"/>
            <w:tcBorders>
              <w:bottom w:val="single" w:sz="8" w:color="CFF0FC"/>
            </w:tcBorders>
            <w:shd w:val="clear" w:color="auto" w:fill="CFF0FC"/>
          </w:tcPr>
          <w:p>
            <w:pPr>
              <w:spacing w:after="0"/>
              <w:rPr>
                <w:sz w:val="18"/>
                <w:szCs w:val="18"/>
                <w:color w:val="auto"/>
              </w:rPr>
            </w:pPr>
          </w:p>
        </w:tc>
        <w:tc>
          <w:tcPr>
            <w:tcW w:w="460" w:type="dxa"/>
            <w:vAlign w:val="bottom"/>
            <w:tcBorders>
              <w:bottom w:val="single" w:sz="8" w:color="auto"/>
            </w:tcBorders>
            <w:shd w:val="clear" w:color="auto" w:fill="CFF0FC"/>
          </w:tcPr>
          <w:p>
            <w:pPr>
              <w:spacing w:after="0"/>
              <w:rPr>
                <w:sz w:val="18"/>
                <w:szCs w:val="18"/>
                <w:color w:val="auto"/>
              </w:rPr>
            </w:pPr>
          </w:p>
        </w:tc>
        <w:tc>
          <w:tcPr>
            <w:tcW w:w="1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443</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Total non-current deferred revenue and advance payments</w:t>
            </w:r>
          </w:p>
        </w:tc>
        <w:tc>
          <w:tcPr>
            <w:tcW w:w="940" w:type="dxa"/>
            <w:vAlign w:val="bottom"/>
          </w:tcPr>
          <w:p>
            <w:pPr>
              <w:jc w:val="right"/>
              <w:ind w:right="753"/>
              <w:spacing w:after="0"/>
              <w:rPr>
                <w:sz w:val="20"/>
                <w:szCs w:val="20"/>
                <w:color w:val="auto"/>
              </w:rPr>
            </w:pPr>
            <w:r>
              <w:rPr>
                <w:rFonts w:ascii="Times New Roman" w:cs="Times New Roman" w:eastAsia="Times New Roman" w:hAnsi="Times New Roman"/>
                <w:sz w:val="18"/>
                <w:szCs w:val="18"/>
                <w:color w:val="auto"/>
                <w:w w:val="88"/>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4,970</w:t>
            </w:r>
          </w:p>
        </w:tc>
        <w:tc>
          <w:tcPr>
            <w:tcW w:w="74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100" w:type="dxa"/>
            <w:vAlign w:val="bottom"/>
          </w:tcPr>
          <w:p>
            <w:pPr>
              <w:spacing w:after="0"/>
              <w:rPr>
                <w:sz w:val="18"/>
                <w:szCs w:val="18"/>
                <w:color w:val="auto"/>
              </w:rPr>
            </w:pPr>
          </w:p>
        </w:tc>
      </w:tr>
      <w:tr>
        <w:trPr>
          <w:trHeight w:val="20"/>
        </w:trPr>
        <w:tc>
          <w:tcPr>
            <w:tcW w:w="7720" w:type="dxa"/>
            <w:vAlign w:val="bottom"/>
          </w:tcPr>
          <w:p>
            <w:pPr>
              <w:spacing w:after="0" w:line="20" w:lineRule="exact"/>
              <w:rPr>
                <w:sz w:val="1"/>
                <w:szCs w:val="1"/>
                <w:color w:val="auto"/>
              </w:rPr>
            </w:pPr>
          </w:p>
        </w:tc>
        <w:tc>
          <w:tcPr>
            <w:tcW w:w="940" w:type="dxa"/>
            <w:vAlign w:val="bottom"/>
            <w:tcBorders>
              <w:top w:val="single" w:sz="8" w:color="auto"/>
              <w:bottom w:val="single" w:sz="8" w:color="auto"/>
            </w:tcBorders>
          </w:tcPr>
          <w:p>
            <w:pPr>
              <w:spacing w:after="0" w:line="20" w:lineRule="exact"/>
              <w:rPr>
                <w:sz w:val="1"/>
                <w:szCs w:val="1"/>
                <w:color w:val="auto"/>
              </w:rPr>
            </w:pPr>
          </w:p>
        </w:tc>
        <w:tc>
          <w:tcPr>
            <w:tcW w:w="62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112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196"/>
        </w:trPr>
        <w:tc>
          <w:tcPr>
            <w:tcW w:w="7720" w:type="dxa"/>
            <w:vAlign w:val="bottom"/>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color w:val="auto"/>
              </w:rPr>
              <w:t>Total current and non-current:</w:t>
            </w:r>
          </w:p>
        </w:tc>
        <w:tc>
          <w:tcPr>
            <w:tcW w:w="940" w:type="dxa"/>
            <w:vAlign w:val="bottom"/>
            <w:shd w:val="clear" w:color="auto" w:fill="CFF0FC"/>
          </w:tcPr>
          <w:p>
            <w:pPr>
              <w:spacing w:after="0"/>
              <w:rPr>
                <w:sz w:val="17"/>
                <w:szCs w:val="17"/>
                <w:color w:val="auto"/>
              </w:rPr>
            </w:pPr>
          </w:p>
        </w:tc>
        <w:tc>
          <w:tcPr>
            <w:tcW w:w="62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460" w:type="dxa"/>
            <w:vAlign w:val="bottom"/>
            <w:shd w:val="clear" w:color="auto" w:fill="CFF0FC"/>
          </w:tcPr>
          <w:p>
            <w:pPr>
              <w:spacing w:after="0"/>
              <w:rPr>
                <w:sz w:val="17"/>
                <w:szCs w:val="17"/>
                <w:color w:val="auto"/>
              </w:rPr>
            </w:pPr>
          </w:p>
        </w:tc>
        <w:tc>
          <w:tcPr>
            <w:tcW w:w="112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r>
      <w:tr>
        <w:trPr>
          <w:trHeight w:val="216"/>
        </w:trPr>
        <w:tc>
          <w:tcPr>
            <w:tcW w:w="7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940" w:type="dxa"/>
            <w:vAlign w:val="bottom"/>
          </w:tcPr>
          <w:p>
            <w:pPr>
              <w:jc w:val="right"/>
              <w:ind w:right="753"/>
              <w:spacing w:after="0"/>
              <w:rPr>
                <w:sz w:val="20"/>
                <w:szCs w:val="20"/>
                <w:color w:val="auto"/>
              </w:rPr>
            </w:pPr>
            <w:r>
              <w:rPr>
                <w:rFonts w:ascii="Times New Roman" w:cs="Times New Roman" w:eastAsia="Times New Roman" w:hAnsi="Times New Roman"/>
                <w:sz w:val="18"/>
                <w:szCs w:val="18"/>
                <w:color w:val="auto"/>
                <w:w w:val="88"/>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1,951</w:t>
            </w:r>
          </w:p>
        </w:tc>
        <w:tc>
          <w:tcPr>
            <w:tcW w:w="74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940" w:type="dxa"/>
            <w:vAlign w:val="bottom"/>
            <w:shd w:val="clear" w:color="auto" w:fill="CFF0FC"/>
          </w:tcPr>
          <w:p>
            <w:pPr>
              <w:spacing w:after="0"/>
              <w:rPr>
                <w:sz w:val="18"/>
                <w:szCs w:val="18"/>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9"/>
              </w:rPr>
              <w:t>109,382</w:t>
            </w: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68,609</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940" w:type="dxa"/>
            <w:vAlign w:val="bottom"/>
          </w:tcPr>
          <w:p>
            <w:pPr>
              <w:spacing w:after="0"/>
              <w:rPr>
                <w:sz w:val="18"/>
                <w:szCs w:val="18"/>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99"/>
              </w:rPr>
              <w:t>126,795</w:t>
            </w: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156,996</w:t>
            </w:r>
          </w:p>
        </w:tc>
        <w:tc>
          <w:tcPr>
            <w:tcW w:w="100" w:type="dxa"/>
            <w:vAlign w:val="bottom"/>
          </w:tcPr>
          <w:p>
            <w:pPr>
              <w:spacing w:after="0"/>
              <w:rPr>
                <w:sz w:val="18"/>
                <w:szCs w:val="18"/>
                <w:color w:val="auto"/>
              </w:rPr>
            </w:pPr>
          </w:p>
        </w:tc>
      </w:tr>
      <w:tr>
        <w:trPr>
          <w:trHeight w:val="216"/>
        </w:trPr>
        <w:tc>
          <w:tcPr>
            <w:tcW w:w="77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940" w:type="dxa"/>
            <w:vAlign w:val="bottom"/>
            <w:tcBorders>
              <w:bottom w:val="single" w:sz="8" w:color="auto"/>
            </w:tcBorders>
            <w:shd w:val="clear" w:color="auto" w:fill="CFF0FC"/>
          </w:tcPr>
          <w:p>
            <w:pPr>
              <w:spacing w:after="0"/>
              <w:rPr>
                <w:sz w:val="18"/>
                <w:szCs w:val="18"/>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4,816</w:t>
            </w:r>
          </w:p>
        </w:tc>
        <w:tc>
          <w:tcPr>
            <w:tcW w:w="280" w:type="dxa"/>
            <w:vAlign w:val="bottom"/>
            <w:tcBorders>
              <w:bottom w:val="single" w:sz="8" w:color="CFF0FC"/>
            </w:tcBorders>
            <w:shd w:val="clear" w:color="auto" w:fill="CFF0FC"/>
          </w:tcPr>
          <w:p>
            <w:pPr>
              <w:spacing w:after="0"/>
              <w:rPr>
                <w:sz w:val="18"/>
                <w:szCs w:val="18"/>
                <w:color w:val="auto"/>
              </w:rPr>
            </w:pPr>
          </w:p>
        </w:tc>
        <w:tc>
          <w:tcPr>
            <w:tcW w:w="460" w:type="dxa"/>
            <w:vAlign w:val="bottom"/>
            <w:tcBorders>
              <w:bottom w:val="single" w:sz="8" w:color="auto"/>
            </w:tcBorders>
            <w:shd w:val="clear" w:color="auto" w:fill="CFF0FC"/>
          </w:tcPr>
          <w:p>
            <w:pPr>
              <w:spacing w:after="0"/>
              <w:rPr>
                <w:sz w:val="18"/>
                <w:szCs w:val="18"/>
                <w:color w:val="auto"/>
              </w:rPr>
            </w:pPr>
          </w:p>
        </w:tc>
        <w:tc>
          <w:tcPr>
            <w:tcW w:w="1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7,502</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Total current and non-current deferred revenue and advance payments</w:t>
            </w:r>
          </w:p>
        </w:tc>
        <w:tc>
          <w:tcPr>
            <w:tcW w:w="940" w:type="dxa"/>
            <w:vAlign w:val="bottom"/>
          </w:tcPr>
          <w:p>
            <w:pPr>
              <w:jc w:val="right"/>
              <w:ind w:right="753"/>
              <w:spacing w:after="0"/>
              <w:rPr>
                <w:sz w:val="20"/>
                <w:szCs w:val="20"/>
                <w:color w:val="auto"/>
              </w:rPr>
            </w:pPr>
            <w:r>
              <w:rPr>
                <w:rFonts w:ascii="Times New Roman" w:cs="Times New Roman" w:eastAsia="Times New Roman" w:hAnsi="Times New Roman"/>
                <w:sz w:val="18"/>
                <w:szCs w:val="18"/>
                <w:color w:val="auto"/>
                <w:w w:val="88"/>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99"/>
              </w:rPr>
              <w:t>242,944</w:t>
            </w:r>
          </w:p>
        </w:tc>
        <w:tc>
          <w:tcPr>
            <w:tcW w:w="74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236,686</w:t>
            </w:r>
          </w:p>
        </w:tc>
        <w:tc>
          <w:tcPr>
            <w:tcW w:w="100" w:type="dxa"/>
            <w:vAlign w:val="bottom"/>
          </w:tcPr>
          <w:p>
            <w:pPr>
              <w:spacing w:after="0"/>
              <w:rPr>
                <w:sz w:val="18"/>
                <w:szCs w:val="18"/>
                <w:color w:val="auto"/>
              </w:rPr>
            </w:pPr>
          </w:p>
        </w:tc>
      </w:tr>
      <w:tr>
        <w:trPr>
          <w:trHeight w:val="20"/>
        </w:trPr>
        <w:tc>
          <w:tcPr>
            <w:tcW w:w="7720" w:type="dxa"/>
            <w:vAlign w:val="bottom"/>
          </w:tcPr>
          <w:p>
            <w:pPr>
              <w:spacing w:after="0" w:line="20" w:lineRule="exact"/>
              <w:rPr>
                <w:sz w:val="1"/>
                <w:szCs w:val="1"/>
                <w:color w:val="auto"/>
              </w:rPr>
            </w:pPr>
          </w:p>
        </w:tc>
        <w:tc>
          <w:tcPr>
            <w:tcW w:w="940" w:type="dxa"/>
            <w:vAlign w:val="bottom"/>
            <w:tcBorders>
              <w:top w:val="single" w:sz="8" w:color="auto"/>
              <w:bottom w:val="single" w:sz="8" w:color="auto"/>
            </w:tcBorders>
          </w:tcPr>
          <w:p>
            <w:pPr>
              <w:spacing w:after="0" w:line="20" w:lineRule="exact"/>
              <w:rPr>
                <w:sz w:val="1"/>
                <w:szCs w:val="1"/>
                <w:color w:val="auto"/>
              </w:rPr>
            </w:pPr>
          </w:p>
        </w:tc>
        <w:tc>
          <w:tcPr>
            <w:tcW w:w="62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112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5894070</wp:posOffset>
            </wp:positionH>
            <wp:positionV relativeFrom="paragraph">
              <wp:posOffset>-1885315</wp:posOffset>
            </wp:positionV>
            <wp:extent cx="68580" cy="8255"/>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-1885315</wp:posOffset>
            </wp:positionV>
            <wp:extent cx="68580" cy="8255"/>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5894070</wp:posOffset>
            </wp:positionH>
            <wp:positionV relativeFrom="paragraph">
              <wp:posOffset>-1028065</wp:posOffset>
            </wp:positionV>
            <wp:extent cx="68580" cy="8255"/>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-1028065</wp:posOffset>
            </wp:positionV>
            <wp:extent cx="68580" cy="8255"/>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5894070</wp:posOffset>
            </wp:positionH>
            <wp:positionV relativeFrom="paragraph">
              <wp:posOffset>-170815</wp:posOffset>
            </wp:positionV>
            <wp:extent cx="68580" cy="8255"/>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-170815</wp:posOffset>
            </wp:positionV>
            <wp:extent cx="68580" cy="8255"/>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218"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portions of multi-year contracts that will be invoiced in the future are not presented on the balance sheet in “Accounts receivable, net” and “Deferred revenue and advance payments” and instead are included in the remaining performance obligation disclosure below. Total deferred revenue and advance payments increased $6.3 million in 2024, as compared to the prior year, primarily due to (i) an increase in deferred revenue from subscription services contracts, partially offset by (ii) a decrease in deferred product support revenue from an increase in conversions from on-premises to subscription services contracts.</w:t>
      </w:r>
    </w:p>
    <w:p>
      <w:pPr>
        <w:spacing w:after="0" w:line="75"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Our remaining performance obligation represents all future revenue under contract and includes deferred revenue and advance payments and billable non-cancellable amounts that will be invoiced and recognized as revenue in future periods. The remaining performance obligation excludes contracts that are billed in arrears, such as certain time and materials contracts. As of December 31, 2024, we had an aggregate transaction price of $454.9 million allocated to the remaining performance obligation related to subscription services, product support, product licenses, and other services contracts. We expect to recognize approximately $278.4 million of the remaining performance obligation over the next 12 months and the remainder thereafter. However, the timing and ultimate recognition of our deferred revenue and advance payments and other remaining performance obligations depend on our satisfaction of various performance obligations, and the amount of deferred revenue and advance payments and remaining performance obligations at any date should not be considered indicative of revenues for any succeeding period.</w:t>
      </w:r>
    </w:p>
    <w:p>
      <w:pPr>
        <w:spacing w:after="0" w:line="29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Liquidity and Capital Resources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Liquidity.</w:t>
      </w:r>
    </w:p>
    <w:p>
      <w:pPr>
        <w:spacing w:after="0" w:line="2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Principal and Potential Sources of Liquidity</w:t>
      </w:r>
    </w:p>
    <w:p>
      <w:pPr>
        <w:spacing w:after="0" w:line="11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Our principal sources of liquidity are cash and cash equivalents and on-going collection of our accounts receivable. Cash and cash equivalents may include holdings in bank demand deposits, money market instruments, certificates of deposit, and U.S. Treasury securities. As of December 31, 2024 and 2023, we held cash and cash equivalents of (i) $8.8 million and $10.5 million, respectively, through our U.S. entities and (ii) $29.3 million and $36.3 million, respectively, through our non-U.S. entities. We earn a significant amount of our revenues outside the United States and we repatriated foreign earnings and profits of $6.5 million during 2024 and $20.3 million during 2023.</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7" w:name="page58"/>
    <w:bookmarkEnd w:id="57"/>
    <w:p>
      <w:pPr>
        <w:jc w:val="both"/>
        <w:spacing w:after="0" w:line="256" w:lineRule="auto"/>
        <w:rPr>
          <w:sz w:val="20"/>
          <w:szCs w:val="20"/>
          <w:color w:val="auto"/>
        </w:rPr>
      </w:pPr>
      <w:r>
        <w:rPr>
          <w:rFonts w:ascii="Times New Roman" w:cs="Times New Roman" w:eastAsia="Times New Roman" w:hAnsi="Times New Roman"/>
          <w:sz w:val="18"/>
          <w:szCs w:val="18"/>
          <w:color w:val="auto"/>
        </w:rPr>
        <w:t>Under our Treasury Reserve Policy and bitcoin strategy, we use a significant portion of our cash, including cash generated from capital raising transactions, to acquire bitcoins, which are classified as indefinite-lived intangible assets. As of December 31, 2024, we held approximately 447,470 bitcoins, all of which are unencumbered. As of February 14, 2025, we held approximately 478,740 bitcoins, all of which are unencumbered, and which had an aggregate market value of $46.551 billion, based on the market price of one bitcoin as reported on the Coinbase exchange as of 4:00 p.m. Eastern Time. As discussed further below, although we do not anticipate needing to use our bitcoin to meet our obligations in the next twelve months, we believe our substantial bitcoin holdings can serve as a source of liquidity, if necessary. See “—Availability of Bitcoin for Liquidity” below.</w:t>
      </w:r>
    </w:p>
    <w:p>
      <w:pPr>
        <w:spacing w:after="0" w:line="7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On October 30, 2024, we filed a prospectus for a new at-the-market equity offering program pursuant to which we may sell class A common stock having an aggregate offering price of up to $21 billion from time to time. As of December 31, 2024 and February 14, 2025, approximately $6.775 billion and $4.168 billion, respectively, of our class A common stock remained available for issuance and sale pursuant to the October 2024 Sales Agreement. To the extent we make sales under the October 2024 Sales agreement, we can use the net proceeds from such sales for general corporate purposes, including the acquisition of bitcoin and for working capital. See “—At-the-Market Equity Offerings” below.</w:t>
      </w:r>
    </w:p>
    <w:p>
      <w:pPr>
        <w:spacing w:after="0" w:line="18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Contractual and Other Obligations</w:t>
      </w:r>
    </w:p>
    <w:p>
      <w:pPr>
        <w:spacing w:after="0" w:line="11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material contractual obligations (explained in further detail in the Notes to the Consolidated Financial Statements, as referenced below) and cash requirements consist of:</w:t>
      </w:r>
    </w:p>
    <w:p>
      <w:pPr>
        <w:spacing w:after="0" w:line="54" w:lineRule="exact"/>
        <w:rPr>
          <w:sz w:val="20"/>
          <w:szCs w:val="20"/>
          <w:color w:val="auto"/>
        </w:rPr>
      </w:pPr>
    </w:p>
    <w:p>
      <w:pPr>
        <w:ind w:left="760" w:hanging="378"/>
        <w:spacing w:after="0"/>
        <w:tabs>
          <w:tab w:leader="none" w:pos="760"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principal and interest payments related to our long-term debt (Note 8, Long-term Debt), which includes:</w:t>
      </w:r>
    </w:p>
    <w:p>
      <w:pPr>
        <w:spacing w:after="0" w:line="27" w:lineRule="exact"/>
        <w:rPr>
          <w:sz w:val="20"/>
          <w:szCs w:val="20"/>
          <w:color w:val="auto"/>
        </w:rPr>
      </w:pPr>
    </w:p>
    <w:p>
      <w:pPr>
        <w:ind w:left="1500" w:hanging="369"/>
        <w:spacing w:after="0"/>
        <w:tabs>
          <w:tab w:leader="none" w:pos="1500"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principal due upon maturity of our long-term debt instruments in the aggregate of $7.272 billion;</w:t>
      </w:r>
    </w:p>
    <w:p>
      <w:pPr>
        <w:spacing w:after="0" w:line="9" w:lineRule="exact"/>
        <w:rPr>
          <w:rFonts w:ascii="Times New Roman" w:cs="Times New Roman" w:eastAsia="Times New Roman" w:hAnsi="Times New Roman"/>
          <w:sz w:val="18"/>
          <w:szCs w:val="18"/>
          <w:color w:val="auto"/>
        </w:rPr>
      </w:pPr>
    </w:p>
    <w:p>
      <w:pPr>
        <w:ind w:left="1500" w:hanging="369"/>
        <w:spacing w:after="0"/>
        <w:tabs>
          <w:tab w:leader="none" w:pos="1500"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$3.2 million in coupon interest due each semi-annual period for the 2028 Convertible Notes;</w:t>
      </w:r>
    </w:p>
    <w:p>
      <w:pPr>
        <w:spacing w:after="0" w:line="9" w:lineRule="exact"/>
        <w:rPr>
          <w:rFonts w:ascii="Times New Roman" w:cs="Times New Roman" w:eastAsia="Times New Roman" w:hAnsi="Times New Roman"/>
          <w:sz w:val="18"/>
          <w:szCs w:val="18"/>
          <w:color w:val="auto"/>
        </w:rPr>
      </w:pPr>
    </w:p>
    <w:p>
      <w:pPr>
        <w:ind w:left="1500" w:hanging="369"/>
        <w:spacing w:after="0"/>
        <w:tabs>
          <w:tab w:leader="none" w:pos="1500"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$2.5 million in coupon interest due each semi-annual period for the 2030 Convertible Notes;</w:t>
      </w:r>
    </w:p>
    <w:p>
      <w:pPr>
        <w:spacing w:after="0" w:line="9" w:lineRule="exact"/>
        <w:rPr>
          <w:rFonts w:ascii="Times New Roman" w:cs="Times New Roman" w:eastAsia="Times New Roman" w:hAnsi="Times New Roman"/>
          <w:sz w:val="18"/>
          <w:szCs w:val="18"/>
          <w:color w:val="auto"/>
        </w:rPr>
      </w:pPr>
    </w:p>
    <w:p>
      <w:pPr>
        <w:ind w:left="1500" w:hanging="369"/>
        <w:spacing w:after="0"/>
        <w:tabs>
          <w:tab w:leader="none" w:pos="1500"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$2.6 million in coupon interest due each semi-annual period for the 2031 Convertible Notes;</w:t>
      </w:r>
    </w:p>
    <w:p>
      <w:pPr>
        <w:spacing w:after="0" w:line="9" w:lineRule="exact"/>
        <w:rPr>
          <w:rFonts w:ascii="Times New Roman" w:cs="Times New Roman" w:eastAsia="Times New Roman" w:hAnsi="Times New Roman"/>
          <w:sz w:val="18"/>
          <w:szCs w:val="18"/>
          <w:color w:val="auto"/>
        </w:rPr>
      </w:pPr>
    </w:p>
    <w:p>
      <w:pPr>
        <w:ind w:left="1500" w:hanging="369"/>
        <w:spacing w:after="0"/>
        <w:tabs>
          <w:tab w:leader="none" w:pos="1500"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$9.0 million in coupon interest due each semi-annual period for the 2032 Convertible Notes; and</w:t>
      </w:r>
    </w:p>
    <w:p>
      <w:pPr>
        <w:spacing w:after="0" w:line="9" w:lineRule="exact"/>
        <w:rPr>
          <w:rFonts w:ascii="Times New Roman" w:cs="Times New Roman" w:eastAsia="Times New Roman" w:hAnsi="Times New Roman"/>
          <w:sz w:val="18"/>
          <w:szCs w:val="18"/>
          <w:color w:val="auto"/>
        </w:rPr>
      </w:pPr>
    </w:p>
    <w:p>
      <w:pPr>
        <w:ind w:left="1500" w:hanging="369"/>
        <w:spacing w:after="0"/>
        <w:tabs>
          <w:tab w:leader="none" w:pos="1500"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$0.1 million due monthly in principal and interest related to our other long-term secured debt;</w:t>
      </w:r>
    </w:p>
    <w:p>
      <w:pPr>
        <w:spacing w:after="0" w:line="98" w:lineRule="exact"/>
        <w:rPr>
          <w:rFonts w:ascii="Times New Roman" w:cs="Times New Roman" w:eastAsia="Times New Roman" w:hAnsi="Times New Roman"/>
          <w:sz w:val="18"/>
          <w:szCs w:val="18"/>
          <w:color w:val="auto"/>
        </w:rPr>
      </w:pPr>
    </w:p>
    <w:p>
      <w:pPr>
        <w:ind w:left="760" w:hanging="378"/>
        <w:spacing w:after="0" w:line="282" w:lineRule="auto"/>
        <w:tabs>
          <w:tab w:leader="none" w:pos="760"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payments under various purchase agreements, primarily related to third-party cloud hosting services, third-party software supporting our products, marketing, and operations, and a new corporate aircraft (Note 9, Commitments and Contingencies);</w:t>
      </w:r>
    </w:p>
    <w:p>
      <w:pPr>
        <w:spacing w:after="0" w:line="53"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rent payments under noncancellable operating leases (Note 7, Leases);</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payments related to the Transition Tax (Note 9, Commitments and Contingencies); and</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ongoing personnel-related expenditures and vendor payments.</w:t>
      </w:r>
    </w:p>
    <w:p>
      <w:pPr>
        <w:spacing w:after="0" w:line="117"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In addition, on February 5, 2025 we issued and sold 7,300,000 shares of our 8.00% Series A Perpetual Strike Preferred Stock (“Series A Strike Preferred”), at a price to the public of $80.00 per share, for net proceeds of approximately $563.4 million, after deducting the underwriting discounts and commissions and our estimated offering expenses. We listed the Series A Strike Preferred for trading on the Nasdaq Global Select Market under the symbol “STRK” and trading commenced on February 6, 2025. The outstanding shares of Series A Strike Preferred have an aggregate liquidation preference of $730.0 million and accumulate cumulative dividends, which we refer to as “regular dividends,” at a rate per annum equal to 8.00% on the liquidation preference thereof, regardless of whether or not declared or funds are legally available for their payment. Subject to the other terms of the Series A Strike Preferred, which are set forth in the Certificate of Designations of the Series A Strike Preferred (the “Certificate of Designations”), which is filed as Exhibit 3.4 to this Annual Report on Form 10-K, regular dividends are payable when, as and if declared by our board of directors, out of funds legally available for their payment to the extent paid in cash, quarterly in arrears on each regular dividend payment date to the holders of record of the Series A Strike Preferred as of the close of business on the regular record date immediately preceding the applicable regular dividend payment date.</w:t>
      </w:r>
    </w:p>
    <w:p>
      <w:pPr>
        <w:spacing w:after="0" w:line="86"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Declared regular dividends on the Series A Strike Preferred are payable, at our election, in cash, shares of our class A common stock or a combination of cash and shares of our class A common stock, in the manner, and subject to the terms, set forth in the Certificate of Designations. If we elect to pay any portion of a declared regular dividend in shares of our class A common stock, then those shares will be valued at 95% of the “daily VWAP” (as defined in the Certificate of Designations) per share of class A common stock on the third “VWAP trading day” (as defined in the Certificate of Designations) preceding the regular dividend payment date for such regular dividend. However, notwithstanding anything to the contrary, in no event will the total number of shares of class A common stock issuable per share of Series A Strike Preferred as payment for a declared regular dividend exceed an amount equal to (x) the total dollar amount of such declared regular dividend per share of Series A Strike Preferred divided by (y) the “floor price”, which is initially equal to $119.03 per share of class A common stock and is subject to adjustment in the manner specified in the Certificate of Designations. If the number of shares that we deliver is limited as a result of this provision, then we will, to the extent we are legally able to do so and not prohibited by the terms of any “dividend senior stock” (as defined in the Certificate of Designations), declare and pay the related deficiency in cash. If any accumulated regular dividend (or any portion thereof) on the Series A Strike Preferred is not paid on the applicable regular dividend payment date (or, if such regular dividend payment date is not a business day, the next business day), then additional regular dividends, which we refer to as “compounded dividends,” will accumulate on the amount of such unpaid regular</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8" w:name="page59"/>
    <w:bookmarkEnd w:id="58"/>
    <w:p>
      <w:pPr>
        <w:jc w:val="both"/>
        <w:spacing w:after="0" w:line="266" w:lineRule="auto"/>
        <w:rPr>
          <w:sz w:val="20"/>
          <w:szCs w:val="20"/>
          <w:color w:val="auto"/>
        </w:rPr>
      </w:pPr>
      <w:r>
        <w:rPr>
          <w:rFonts w:ascii="Times New Roman" w:cs="Times New Roman" w:eastAsia="Times New Roman" w:hAnsi="Times New Roman"/>
          <w:sz w:val="18"/>
          <w:szCs w:val="18"/>
          <w:color w:val="auto"/>
        </w:rPr>
        <w:t>dividend, compounded quarterly at the regular dividend rate, from, and including, such regular dividend payment date to, but excluding, the date the same, including all compounded dividends thereon, is paid in full. We expect to fund any dividends paid in cash on the Series A Strike Preferred primarily through additional capital raising activities, including, but not limited to, at-the-market offerings of our class A common stock.</w:t>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Short-term and Long-term Liquidity</w:t>
      </w:r>
    </w:p>
    <w:p>
      <w:pPr>
        <w:spacing w:after="0" w:line="117"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i w:val="1"/>
          <w:iCs w:val="1"/>
          <w:color w:val="auto"/>
        </w:rPr>
        <w:t xml:space="preserve">Short-term Liquidity. </w:t>
      </w:r>
      <w:r>
        <w:rPr>
          <w:rFonts w:ascii="Times New Roman" w:cs="Times New Roman" w:eastAsia="Times New Roman" w:hAnsi="Times New Roman"/>
          <w:sz w:val="18"/>
          <w:szCs w:val="18"/>
          <w:color w:val="auto"/>
        </w:rPr>
        <w:t>Our short-term liquidity needs include working capital requirements, anticipated capital expenditures, dividend obligations on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Series A Strike Preferred to the extent that we do not pay such dividends in the form of shares of our class A common stock, and contractual obligations due within the next twelve months. We expect our cash and cash equivalents, as of December 31, 2024, together with cash and cash equivalents generated by our operations, will not be sufficient to satisfy these obligations over the next twelve months. However, we anticipate being able to use proceeds from equity or debt financings to meet these obligations. Our ability to obtain equity and debt financing is subject to market conditions and other factors outside of our control, and we may not be able to obtain equity or debt financing in a timely manner, on favorable terms, or at all. Although we do not anticipate needing to use our bitcoin to meet our short-term obligations, to the extent necessary, we would seek to use proceeds from the sale of our bitcoin to meet such obligations. See “—Availability of Bitcoin for Liquidity” below and “Item 1A. Risk Factors— Risks Related to Our Business in General— A significant decrease in the market value of our bitcoin holdings could adversely affect our ability to satisfy our financial obligations” for additional information.</w:t>
      </w:r>
    </w:p>
    <w:p>
      <w:pPr>
        <w:spacing w:after="0" w:line="77"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i w:val="1"/>
          <w:iCs w:val="1"/>
          <w:color w:val="auto"/>
        </w:rPr>
        <w:t xml:space="preserve">Long-Term Liquidity. </w:t>
      </w:r>
      <w:r>
        <w:rPr>
          <w:rFonts w:ascii="Times New Roman" w:cs="Times New Roman" w:eastAsia="Times New Roman" w:hAnsi="Times New Roman"/>
          <w:sz w:val="18"/>
          <w:szCs w:val="18"/>
          <w:color w:val="auto"/>
        </w:rPr>
        <w:t>Beyond the next 12 months, our long-term cash requirements are primarily for obligations related to our long-term debt and for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payment of dividends on the Series A Strike Preferred to the extent that we do not pay such dividends in the form of shares of our class A common stock. We also have long-term cash requirements for obligations related to our operating leases, delivery of our new corporate aircraft, our various purchase agreements, and potentially CAMT. We expect our cash and cash equivalents as of December 31, 2024, together with cash and cash equivalents generated by our operations, will not be sufficient to satisfy these obligations. As a result, we would seek to satisfy these obligations through various options that we expect to be available to us, such as refinancing our debt or generating cash from other sources, which may include proceeds from equity or debt financings, or the sale of our bitcoin. See “—Availability of Bitcoin for Liquidity” below and “Item 1A. Risk Factors—Risks Related to Our Business in General—A significant decrease in the market value of our bitcoin holdings could adversely affect our ability to satisfy our financial obligations” for additional information.</w:t>
      </w:r>
    </w:p>
    <w:p>
      <w:pPr>
        <w:spacing w:after="0" w:line="8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Furthermore, if the conditional conversion features of the Convertible Notes are triggered, we may elect to settle the conversions of Convertible Notes in shares of our class A common stock, or a combination of cash and shares of class A common stock, rather than in all cash, which may enable us to reduce the amount of our cash obligations under the Convertible Notes. On January 24, 2025, we delivered a notice of full redemption (the “Notice”) to the trustee of our 2027 Convertible Notes. See “—Long-term Debt” below for additional information.</w:t>
      </w:r>
    </w:p>
    <w:p>
      <w:pPr>
        <w:spacing w:after="0" w:line="72"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In addition, while the 2028 Convertible Notes, the 2029 Convertible Notes, the 2030 Convertible Notes, the 2031 Convertible Notes, and the 2032 Convertible Notes have maturity dates of September 15, 2028, December 1, 2029, March 15, 2030, March 15, 2031, and June 15, 2032, respectively, the holders of these Convertible Notes each have the right to require us to repurchase for cash all or any portion of these Convertible Notes on September 15, 2027, in the case of the 2028 Convertible Notes, June 1, 2028, in the case of the 2029 Convertible Notes, September 15, 2028, in the case of the 2030 Convertible Notes and the 2031 Convertible Notes, or June 15, 2029, in the case of the 2032 Convertible Notes, at a repurchase price in each case equal to 100% of the principal amount of the applicable Convertible Notes to be repurchased, plus any accrued and unpaid interest to, but excluding the repurchase date.</w:t>
      </w:r>
    </w:p>
    <w:p>
      <w:pPr>
        <w:spacing w:after="0" w:line="1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Availability of Bitcoin for Liquidity</w:t>
      </w:r>
    </w:p>
    <w:p>
      <w:pPr>
        <w:spacing w:after="0" w:line="119"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We do not believe we will need to sell or engage in other transactions with respect to any of our bitcoins within the next twelve months to meet our liquidity needs, although we may from time to time sell or engage in other transactions with respect to our bitcoins as part of treasury management operations, as noted above. The bitcoin market historically has been characterized by significant volatility in its price, limited liquidity and trading volumes compared to sovereign currencies markets, relative anonymity, a developing regulatory landscape, susceptibility to market abuse and manipulation, compliance and internal control failures at exchanges, and various other risks inherent in its entirely electronic, virtual form and decentralized network. During times of instability in the bitcoin market, we may not be able to sell our bitcoins at reasonable prices or at all. As a result, our bitcoins are less liquid than our existing cash and cash equivalents and may not be able to serve as a source of liquidity for us to the same extent as cash and cash equivalents. In addition, upon sale of our bitcoin, we may incur additional taxes related to any realized gains or we may incur capital losses as to which the tax deduction may be limited. See “Item 1A. Risk Factors— Risks Related to Our Bitcoin Strategy and Holdings—Our bitcoin holdings are less liquid than our existing cash and cash equivalents and may not be able to serve as a source of liquidity for us to the same extent as cash and cash equivalents.”</w:t>
      </w:r>
    </w:p>
    <w:p>
      <w:pPr>
        <w:spacing w:after="0" w:line="1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Cash flows</w:t>
      </w:r>
    </w:p>
    <w:p>
      <w:pPr>
        <w:spacing w:after="0" w:line="200" w:lineRule="exact"/>
        <w:rPr>
          <w:sz w:val="20"/>
          <w:szCs w:val="20"/>
          <w:color w:val="auto"/>
        </w:rPr>
      </w:pPr>
    </w:p>
    <w:p>
      <w:pPr>
        <w:spacing w:after="0" w:line="24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9" w:name="page60"/>
    <w:bookmarkEnd w:id="59"/>
    <w:p>
      <w:pPr>
        <w:spacing w:after="0"/>
        <w:rPr>
          <w:sz w:val="20"/>
          <w:szCs w:val="20"/>
          <w:color w:val="auto"/>
        </w:rPr>
      </w:pPr>
      <w:r>
        <w:rPr>
          <w:rFonts w:ascii="Times New Roman" w:cs="Times New Roman" w:eastAsia="Times New Roman" w:hAnsi="Times New Roman"/>
          <w:sz w:val="18"/>
          <w:szCs w:val="18"/>
          <w:color w:val="auto"/>
        </w:rPr>
        <w:t>The following table sets forth a summary of our cash flows (in thousands) and related percentage changes for the periods indicated:</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2840" w:type="dxa"/>
            <w:vAlign w:val="bottom"/>
            <w:gridSpan w:val="5"/>
          </w:tcPr>
          <w:p>
            <w:pPr>
              <w:jc w:val="right"/>
              <w:ind w:right="84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1380" w:type="dxa"/>
            <w:vAlign w:val="bottom"/>
            <w:vMerge w:val="restart"/>
          </w:tcPr>
          <w:p>
            <w:pPr>
              <w:ind w:left="360"/>
              <w:spacing w:after="0"/>
              <w:rPr>
                <w:sz w:val="20"/>
                <w:szCs w:val="20"/>
                <w:color w:val="auto"/>
              </w:rPr>
            </w:pPr>
            <w:r>
              <w:rPr>
                <w:rFonts w:ascii="Times New Roman" w:cs="Times New Roman" w:eastAsia="Times New Roman" w:hAnsi="Times New Roman"/>
                <w:sz w:val="14"/>
                <w:szCs w:val="14"/>
                <w:b w:val="1"/>
                <w:bCs w:val="1"/>
                <w:color w:val="auto"/>
              </w:rPr>
              <w:t>% Change</w:t>
            </w:r>
          </w:p>
        </w:tc>
        <w:tc>
          <w:tcPr>
            <w:tcW w:w="180" w:type="dxa"/>
            <w:vAlign w:val="bottom"/>
            <w:vMerge w:val="restart"/>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6560" w:type="dxa"/>
            <w:vAlign w:val="bottom"/>
          </w:tcPr>
          <w:p>
            <w:pPr>
              <w:spacing w:after="0"/>
              <w:rPr>
                <w:sz w:val="12"/>
                <w:szCs w:val="12"/>
                <w:color w:val="auto"/>
              </w:rPr>
            </w:pPr>
          </w:p>
        </w:tc>
        <w:tc>
          <w:tcPr>
            <w:tcW w:w="280" w:type="dxa"/>
            <w:vAlign w:val="bottom"/>
            <w:tcBorders>
              <w:top w:val="single" w:sz="8" w:color="auto"/>
              <w:bottom w:val="single" w:sz="8" w:color="auto"/>
            </w:tcBorders>
          </w:tcPr>
          <w:p>
            <w:pPr>
              <w:spacing w:after="0"/>
              <w:rPr>
                <w:sz w:val="12"/>
                <w:szCs w:val="12"/>
                <w:color w:val="auto"/>
              </w:rPr>
            </w:pPr>
          </w:p>
        </w:tc>
        <w:tc>
          <w:tcPr>
            <w:tcW w:w="1060" w:type="dxa"/>
            <w:vAlign w:val="bottom"/>
            <w:tcBorders>
              <w:top w:val="single" w:sz="8" w:color="auto"/>
              <w:bottom w:val="single" w:sz="8" w:color="auto"/>
            </w:tcBorders>
          </w:tcPr>
          <w:p>
            <w:pPr>
              <w:jc w:val="right"/>
              <w:ind w:right="457"/>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2"/>
                <w:szCs w:val="12"/>
                <w:color w:val="auto"/>
              </w:rPr>
            </w:pPr>
          </w:p>
        </w:tc>
        <w:tc>
          <w:tcPr>
            <w:tcW w:w="320" w:type="dxa"/>
            <w:vAlign w:val="bottom"/>
            <w:tcBorders>
              <w:top w:val="single" w:sz="8" w:color="auto"/>
              <w:bottom w:val="single" w:sz="8" w:color="auto"/>
            </w:tcBorders>
          </w:tcPr>
          <w:p>
            <w:pPr>
              <w:spacing w:after="0"/>
              <w:rPr>
                <w:sz w:val="12"/>
                <w:szCs w:val="12"/>
                <w:color w:val="auto"/>
              </w:rPr>
            </w:pPr>
          </w:p>
        </w:tc>
        <w:tc>
          <w:tcPr>
            <w:tcW w:w="1020" w:type="dxa"/>
            <w:vAlign w:val="bottom"/>
            <w:tcBorders>
              <w:top w:val="single" w:sz="8" w:color="auto"/>
              <w:bottom w:val="single" w:sz="8" w:color="auto"/>
            </w:tcBorders>
          </w:tcPr>
          <w:p>
            <w:pPr>
              <w:jc w:val="right"/>
              <w:ind w:right="455"/>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1380" w:type="dxa"/>
            <w:vAlign w:val="bottom"/>
            <w:tcBorders>
              <w:bottom w:val="single" w:sz="8" w:color="auto"/>
            </w:tcBorders>
            <w:vMerge w:val="continue"/>
          </w:tcPr>
          <w:p>
            <w:pPr>
              <w:spacing w:after="0"/>
              <w:rPr>
                <w:sz w:val="12"/>
                <w:szCs w:val="12"/>
                <w:color w:val="auto"/>
              </w:rPr>
            </w:pPr>
          </w:p>
        </w:tc>
        <w:tc>
          <w:tcPr>
            <w:tcW w:w="180" w:type="dxa"/>
            <w:vAlign w:val="bottom"/>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Net cash (used in) provided by operating activities</w:t>
            </w:r>
          </w:p>
        </w:tc>
        <w:tc>
          <w:tcPr>
            <w:tcW w:w="28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130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(53,032 )</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12,712</w:t>
            </w: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517.2 %</w:t>
            </w:r>
          </w:p>
        </w:tc>
        <w:tc>
          <w:tcPr>
            <w:tcW w:w="0" w:type="dxa"/>
            <w:vAlign w:val="bottom"/>
          </w:tcPr>
          <w:p>
            <w:pPr>
              <w:spacing w:after="0"/>
              <w:rPr>
                <w:sz w:val="1"/>
                <w:szCs w:val="1"/>
                <w:color w:val="auto"/>
              </w:rPr>
            </w:pPr>
          </w:p>
        </w:tc>
      </w:tr>
      <w:tr>
        <w:trPr>
          <w:trHeight w:val="216"/>
        </w:trPr>
        <w:tc>
          <w:tcPr>
            <w:tcW w:w="65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Net cash used in investing activities</w:t>
            </w:r>
          </w:p>
        </w:tc>
        <w:tc>
          <w:tcPr>
            <w:tcW w:w="280" w:type="dxa"/>
            <w:vAlign w:val="bottom"/>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130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(22,086,237 )</w:t>
            </w: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2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(1,905,237 )</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1059.2 %</w:t>
            </w:r>
          </w:p>
        </w:tc>
        <w:tc>
          <w:tcPr>
            <w:tcW w:w="0" w:type="dxa"/>
            <w:vAlign w:val="bottom"/>
          </w:tcPr>
          <w:p>
            <w:pPr>
              <w:spacing w:after="0"/>
              <w:rPr>
                <w:sz w:val="1"/>
                <w:szCs w:val="1"/>
                <w:color w:val="auto"/>
              </w:rPr>
            </w:pPr>
          </w:p>
        </w:tc>
      </w:tr>
      <w:tr>
        <w:trPr>
          <w:trHeight w:val="216"/>
        </w:trPr>
        <w:tc>
          <w:tcPr>
            <w:tcW w:w="65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Net cash provided by financing activities</w:t>
            </w:r>
          </w:p>
        </w:tc>
        <w:tc>
          <w:tcPr>
            <w:tcW w:w="28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22,132,641</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1,889,886</w:t>
            </w: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1071.1 %</w:t>
            </w:r>
          </w:p>
        </w:tc>
        <w:tc>
          <w:tcPr>
            <w:tcW w:w="0" w:type="dxa"/>
            <w:vAlign w:val="bottom"/>
          </w:tcPr>
          <w:p>
            <w:pPr>
              <w:spacing w:after="0"/>
              <w:rPr>
                <w:sz w:val="1"/>
                <w:szCs w:val="1"/>
                <w:color w:val="auto"/>
              </w:rPr>
            </w:pPr>
          </w:p>
        </w:tc>
      </w:tr>
    </w:tbl>
    <w:p>
      <w:pPr>
        <w:spacing w:after="0" w:line="234"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b w:val="1"/>
          <w:bCs w:val="1"/>
          <w:i w:val="1"/>
          <w:iCs w:val="1"/>
          <w:color w:val="auto"/>
        </w:rPr>
        <w:t xml:space="preserve">Net cash (used in) provided by operating activities. </w:t>
      </w:r>
      <w:r>
        <w:rPr>
          <w:rFonts w:ascii="Times New Roman" w:cs="Times New Roman" w:eastAsia="Times New Roman" w:hAnsi="Times New Roman"/>
          <w:sz w:val="18"/>
          <w:szCs w:val="18"/>
          <w:color w:val="auto"/>
        </w:rPr>
        <w:t>The primary source of our cash provided by operating activities is cash collections of our accounts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receivable from customers following the sales and renewals of our product licenses, subscription services and product support, as well as consulting and education services. Our primary uses of cash in operating activities are for personnel-related expenditures for software development, personnel-related expenditures for providing consulting, education, and subscription services, and for sales and marketing costs, general and administrative costs, interest expense related to our long-term debt arrangements, and income taxes. In 2024 and 2023, non-cash items to further reconcile net (loss) income to net cash (used in) provided by operating activities consist primarily of depreciation and amortization, reduction in the carrying amount of operating lease right-of-use assets, credit losses and sales allowances, deferred taxes, release of liabilities for unrecognized tax benefits, share-based compensation expense, digital asset impairment losses, amortization of the issuance costs on our long-term debt, and gains and losses on extinguishment of debt.</w:t>
      </w:r>
    </w:p>
    <w:p>
      <w:pPr>
        <w:spacing w:after="0" w:line="81"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Net cash used in operating activities was $53.0 million in 2024, compared to net cash provided by operating activities of $12.7 million in 2023. The change in operating cash flows was due to a $1.596 billion decrease in net income and a $21.7 million decrease from changes in operating assets and liabilities, which was partially offset by a $1.552 billion net increase in non-cash items (principally related to digital asset impairment losses and losses on the extinguishment of certain debt instruments, partially offset by deferred taxes). In particular, our cash from operations has been negatively impacted by our continued transition of customers to subscription services offerings, which have resulted in (i) reduced cash collections due to lower revenues and invoicing over multiple years, (ii) increased costs of our cloud infrastructure to support increased usage, and (iii) increased commissions paid to our sales team to incentivize cloud migrations. We have also incurred additional employer payroll taxes related to the exercise or vesting of certain awards under the Stock Incentive Plans, legal and consulting fees, rent expense payments, marketing costs, and bitcoin custodial fees. Our interest payments in 2024 increased compared to the prior year primarily due to interest and fees incurred on trade credits or delayed settlements related to our bitcoin purchases. Cash paid for interest on our debt obligations did not materially change from the prior year due to the extinguishment of the 2028 Secured Notes and 2025 Convertible Notes in 2024 and the Secured Term Loan in 2023, for which the reduction in cash interest was substantially offset by increases in interest paid on the 2030 Convertible Notes, 2031 Convertible Notes, and 2032 Convertible Notes issued in 2024. Our cash from operations was favorably impacted in the current year by a significant reduction in income tax payments (net of refunds) and decreases in headcount, which resulted in reduced salary expenses, partially offset by increases in severance costs.</w:t>
      </w:r>
    </w:p>
    <w:p>
      <w:pPr>
        <w:spacing w:after="0" w:line="193"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b w:val="1"/>
          <w:bCs w:val="1"/>
          <w:i w:val="1"/>
          <w:iCs w:val="1"/>
          <w:color w:val="auto"/>
        </w:rPr>
        <w:t xml:space="preserve">Net cash used in investing activities. </w:t>
      </w:r>
      <w:r>
        <w:rPr>
          <w:rFonts w:ascii="Times New Roman" w:cs="Times New Roman" w:eastAsia="Times New Roman" w:hAnsi="Times New Roman"/>
          <w:sz w:val="18"/>
          <w:szCs w:val="18"/>
          <w:color w:val="auto"/>
        </w:rPr>
        <w:t>In 2024 and 2023, the changes in net cash used in investing activities primarily relate to purchases of digital assets,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advance deposits on a new corporate aircraft, and expenditures on property and equipment. Net cash used in investing activities increased $20.181 billion during 2024, as compared to the prior year, primarily due to a $20.170 billion increase in purchases of bitcoins and a $10.5 million deposit on a new corporate aircraft. During 2024, we purchased $22.073 billion of bitcoin using net proceeds from the sale of class A common stock under our at-the-market equity offering programs, net proceeds from the issuances of our 2030 Convertible Notes, 2031 Convertible Notes, 2032 Convertible Notes, 2028 Convertible Notes, and 2029 Convertible Notes, and Excess Cash. During 2023, we purchased $1.902 billion of bitcoin using net proceeds from the sale of class A common stock under our at-the-market offering programs, and Excess Cash.</w:t>
      </w:r>
    </w:p>
    <w:p>
      <w:pPr>
        <w:spacing w:after="0" w:line="183"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b w:val="1"/>
          <w:bCs w:val="1"/>
          <w:i w:val="1"/>
          <w:iCs w:val="1"/>
          <w:color w:val="auto"/>
        </w:rPr>
        <w:t xml:space="preserve">Net cash provided by financing activities. </w:t>
      </w:r>
      <w:r>
        <w:rPr>
          <w:rFonts w:ascii="Times New Roman" w:cs="Times New Roman" w:eastAsia="Times New Roman" w:hAnsi="Times New Roman"/>
          <w:sz w:val="18"/>
          <w:szCs w:val="18"/>
          <w:color w:val="auto"/>
        </w:rPr>
        <w:t>In 2024 and 2023, the changes in cash provided by and used in financing activities primarily relate to the</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issuance and subsequent repayment of our long-term debt, the sale of class A common stock under our at-the-market equity offering programs, the exercise or vesting of certain awards under the Stock Incentive Plans, and the sales of class A common stock under the 2021 ESPP. Net cash provided by financing activities increased $20.243 billion during 2024, as compared to the prior year, primarily due to (i) a $14.310 billion increase in net proceeds from the sale of class A common stock under our at-the-market equity offering programs during 2024 as compared to 2023, (ii) a $6.133 billion increase in long-term debt proceeds, net of issuance costs during 2024 as compared to 2023, (iii) the $160.0 million repayment of the 2025 Secured Term Loan and related third-party extinguishment costs during 2023, which was repaid using proceeds from our sale of class A common stock offered under our at-the-market equity offering programs, and (iv) a $153.8 million increase in proceeds from the exercise of stock options under the Stock Incentive Plans during 2024 as compared to 2023, partially offset by (v) the $515.4 million repayment of the 2028 Secured Notes and related third-party extinguishment costs during 2024, which was repaid using proceeds from the issuance of the 2028 Convertible Notes.</w:t>
      </w:r>
    </w:p>
    <w:p>
      <w:pPr>
        <w:spacing w:after="0" w:line="200" w:lineRule="exact"/>
        <w:rPr>
          <w:sz w:val="20"/>
          <w:szCs w:val="20"/>
          <w:color w:val="auto"/>
        </w:rPr>
      </w:pPr>
    </w:p>
    <w:p>
      <w:pPr>
        <w:spacing w:after="0" w:line="20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01" w:right="339" w:bottom="1440" w:gutter="0" w:footer="0" w:header="0"/>
        </w:sectPr>
      </w:pPr>
    </w:p>
    <w:bookmarkStart w:id="60" w:name="page61"/>
    <w:bookmarkEnd w:id="60"/>
    <w:p>
      <w:pPr>
        <w:spacing w:after="0"/>
        <w:rPr>
          <w:sz w:val="20"/>
          <w:szCs w:val="20"/>
          <w:color w:val="auto"/>
        </w:rPr>
      </w:pPr>
      <w:r>
        <w:rPr>
          <w:rFonts w:ascii="Times New Roman" w:cs="Times New Roman" w:eastAsia="Times New Roman" w:hAnsi="Times New Roman"/>
          <w:sz w:val="18"/>
          <w:szCs w:val="18"/>
          <w:b w:val="1"/>
          <w:bCs w:val="1"/>
          <w:i w:val="1"/>
          <w:iCs w:val="1"/>
          <w:color w:val="auto"/>
        </w:rPr>
        <w:t>Long-term Debt</w:t>
      </w:r>
    </w:p>
    <w:p>
      <w:pPr>
        <w:spacing w:after="0" w:line="229"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The terms of each of the long-term debt instruments described below are discussed more fully in Note 8, Long-term Debt, to the Consolidated Financial Statements.</w:t>
      </w:r>
    </w:p>
    <w:p>
      <w:pPr>
        <w:spacing w:after="0" w:line="54"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In December 2020, we issued $650.0 million aggregate principal amount of the 2025 Convertible Notes; in February 2021, we issued $1.050 billion aggregate principal amount of the 2027 Convertible Notes; in March 2024, we issued $800.0 million aggregate principal amount of the 2030 Convertible Notes and $603.8 million aggregate principal amount of the 2031 Convertible Notes; in June 2024, we issued $800.0 million aggregate principal amount of the 2032 Convertible Notes; in September 2024 we issued $1.010 billion aggregate principal amount of the 2028 Convertible Notes; and in November 2024 we issued $3.000 billion aggregate principal amount of the 2029 Convertible Notes. We principally used the net proceeds from the issuances of the Convertible Notes to acquire bitcoin, and we used a portion of the net proceeds from the 2028 Convertible Notes to redeem the 2028 Secured Notes, as discussed further below. During 2024 and 2023, we paid $16.5 million and $4.9 million, respectively, in interest to holders of the Convertible Notes. During 2024, we issued 16,323,050 shares of class A common stock and paid a nominal amount of cash in lieu of fractional shares in connection with conversions of $649.7 million aggregate principal amount of 2025 Convertible Notes and on July 15, 2024 redeemed $0.3 million aggregate principal amount of 2025 Convertible Notes, constituting all of the 2025 Convertible Notes then outstanding, at an aggregate redemption price of $0.3 million, equal to 100% of the principal amount of the 2025 Convertible Notes redeemed, plus accrued and unpaid interest, to but excluding such date.</w:t>
      </w:r>
    </w:p>
    <w:p>
      <w:pPr>
        <w:spacing w:after="0" w:line="8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June 2021, we issued $500.0 million aggregate principal amount of the 2028 Secured Notes. We used the net proceeds from the issuance of the 2028 Secured Notes to acquire bitcoin. During 2024 and 2023, we paid $23.9 million and $30.6 million, respectively, in interest to holders of the 2028 Secured Notes. On September 26, 2024, we redeemed all of the outstanding 2028 Secured Notes at an aggregate redemption price of approximately $523.9 million and all collateral securing the 2028 Secured Notes was released.</w:t>
      </w:r>
    </w:p>
    <w:p>
      <w:pPr>
        <w:spacing w:after="0" w:line="72"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In March 2022, MacroStrategy, our wholly-owned subsidiary, entered into a Credit and Security Agreement with Silvergate Bank, pursuant to which Silvergate Bank issued the $205.0 million 2025 Secured Term Loan to MacroStrategy. We principally used net proceeds from the 2025 Secured Term Loan to acquire bitcoin. On March 24, 2023, MacroStrategy voluntarily prepaid Silvergate approximately $161.0 million (the “Payoff Amount”), in full repayment, satisfaction, and discharge of the 2025 Secured Term Loan, and all collateral securing the 2025 Secured Term Loan, including the bitcoin that was serving as collateral, was released. During the first quarter of 2023, we made a final $5.1 million interest payment to Silvergate, $1.1 million of which was included in the Payoff Amount.</w:t>
      </w:r>
    </w:p>
    <w:p>
      <w:pPr>
        <w:spacing w:after="0" w:line="7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June 2022, we, through one of our wholly-owned subsidiaries, entered into a secured term loan agreement in the amount of $11.1 million, bearing interest at an annual rate of 5.2%, and maturing in June 2027. During 2024 and 2023, we paid $1.1 million and $1.1 million, respectively, in principal and interest to the lender.</w:t>
      </w:r>
    </w:p>
    <w:p>
      <w:pPr>
        <w:spacing w:after="0" w:line="68"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Other than as discussed above, during 2024 and 2023, we did not repurchase or prepay any of our outstanding debt. We or our affiliates may, at any time and from time to time, seek to retire or purchase our outstanding debt through cash purchases and/or exchanges for equity or debt, in open-market purchases, privately negotiated transactions or otherwise. Such repurchases or exchanges, if any, will be upon such terms and at such prices as we may determine, and will depend on prevailing market conditions, our liquidity requirements, contractual restrictions and other factors. We may also seek to prepay our outstanding indebtedness. The amounts involved in any such repurchase or prepayment may be material. We could seek to fund any such debt repurchases or prepayments using proceeds from equity offerings that we may choose to undertake from time-to-time.</w:t>
      </w:r>
    </w:p>
    <w:p>
      <w:pPr>
        <w:spacing w:after="0" w:line="7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On January 24, 2025, we delivered the Notice to the trustee for full redemption of our 2027 Convertible Notes. The Notice calls for the redemption of all of the outstanding 2027 Convertible Notes (the “Redemption”) on February 24, 2025 (the “Redemption Date”), at a redemption price equal to 100% of the principal amount of the 2027 Convertible Notes to be redeemed, plus accrued and unpaid special interest, if any, to but excluding the Redemption Date, unless earlier converted. As a result of the delivery of the Notice, at any time prior to 5:00 p.m., New York City time, on February 20, 2025, the 2027 Convertible Notes are convertible, at the option of the holders of the 2027 Convertible Notes, at the applicable conversion rate of 7.0234 shares of our class A common stock per $1,000 principal amount (reflecting a conversion price of $142.38 per share (the “Adjusted Conversion Price”). We have elected to settle our conversion obligation with respect to the 2027 Convertible Notes by delivering solely shares of our class A common stock, together with cash in lieu of any fractional shares.</w:t>
      </w:r>
    </w:p>
    <w:p>
      <w:pPr>
        <w:spacing w:after="0" w:line="8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Prior to our delivery of the Notice, we received conversion requests at the original conversion price of $143.25 per share for approximately $1.8 million in principal amount of 2027 Convertible Notes. Subsequent to our delivery of the Notice, we have received conversion requests at the Adjusted Conversion Price. As of February 14, 2025, we have received from holders of the 2027 Convertible Notes conversion requests with respect to $857.4 million in aggregate principal amount of the 2027 Convertible Notes, which equates to the issuance upon settlement of 6,022,026 shares of our class A common stock in the aggregate.</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61" w:name="page62"/>
    <w:bookmarkEnd w:id="61"/>
    <w:p>
      <w:pPr>
        <w:spacing w:after="0"/>
        <w:rPr>
          <w:sz w:val="20"/>
          <w:szCs w:val="20"/>
          <w:color w:val="auto"/>
        </w:rPr>
      </w:pPr>
      <w:r>
        <w:rPr>
          <w:rFonts w:ascii="Times New Roman" w:cs="Times New Roman" w:eastAsia="Times New Roman" w:hAnsi="Times New Roman"/>
          <w:sz w:val="18"/>
          <w:szCs w:val="18"/>
          <w:b w:val="1"/>
          <w:bCs w:val="1"/>
          <w:i w:val="1"/>
          <w:iCs w:val="1"/>
          <w:color w:val="auto"/>
        </w:rPr>
        <w:t>At-the-Market Equity Offerings</w:t>
      </w:r>
    </w:p>
    <w:p>
      <w:pPr>
        <w:spacing w:after="0" w:line="121" w:lineRule="exact"/>
        <w:rPr>
          <w:sz w:val="20"/>
          <w:szCs w:val="20"/>
          <w:color w:val="auto"/>
        </w:rPr>
      </w:pPr>
    </w:p>
    <w:p>
      <w:pPr>
        <w:ind w:right="400"/>
        <w:spacing w:after="0" w:line="266" w:lineRule="auto"/>
        <w:rPr>
          <w:sz w:val="20"/>
          <w:szCs w:val="20"/>
          <w:color w:val="auto"/>
        </w:rPr>
      </w:pPr>
      <w:r>
        <w:rPr>
          <w:rFonts w:ascii="Times New Roman" w:cs="Times New Roman" w:eastAsia="Times New Roman" w:hAnsi="Times New Roman"/>
          <w:sz w:val="18"/>
          <w:szCs w:val="18"/>
          <w:color w:val="auto"/>
        </w:rPr>
        <w:t>From time to time, we have entered into sales agreements with agents pursuant to which we could issue and sell shares of our class A common stock through at-the-market equity offering programs. See Note 13, At-the-Market Equity Offerings, to the Consolidated Financial Statements for additional information regarding sales of our class A common stock pursuant to each of the sales agreements that were active during 2024 and 2023.</w:t>
      </w:r>
    </w:p>
    <w:p>
      <w:pPr>
        <w:spacing w:after="0" w:line="6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following table sets forth total shares sold and total net proceeds received (net of sales commissions and expenses) from shares sold under our at-the-market equity offering programs during the years ended December 31, 2024 and 2023 (in thousands, except number of shares):</w:t>
      </w:r>
    </w:p>
    <w:p>
      <w:pPr>
        <w:spacing w:after="0" w:line="20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7940" w:type="dxa"/>
            <w:vAlign w:val="bottom"/>
          </w:tcPr>
          <w:p>
            <w:pPr>
              <w:spacing w:after="0"/>
              <w:rPr>
                <w:sz w:val="15"/>
                <w:szCs w:val="15"/>
                <w:color w:val="auto"/>
              </w:rPr>
            </w:pPr>
          </w:p>
        </w:tc>
        <w:tc>
          <w:tcPr>
            <w:tcW w:w="360" w:type="dxa"/>
            <w:vAlign w:val="bottom"/>
          </w:tcPr>
          <w:p>
            <w:pPr>
              <w:spacing w:after="0"/>
              <w:rPr>
                <w:sz w:val="15"/>
                <w:szCs w:val="15"/>
                <w:color w:val="auto"/>
              </w:rPr>
            </w:pPr>
          </w:p>
        </w:tc>
        <w:tc>
          <w:tcPr>
            <w:tcW w:w="2940" w:type="dxa"/>
            <w:vAlign w:val="bottom"/>
            <w:gridSpan w:val="5"/>
          </w:tcPr>
          <w:p>
            <w:pPr>
              <w:ind w:left="40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r>
      <w:tr>
        <w:trPr>
          <w:trHeight w:val="196"/>
        </w:trPr>
        <w:tc>
          <w:tcPr>
            <w:tcW w:w="7940" w:type="dxa"/>
            <w:vAlign w:val="bottom"/>
          </w:tcPr>
          <w:p>
            <w:pPr>
              <w:spacing w:after="0"/>
              <w:rPr>
                <w:sz w:val="17"/>
                <w:szCs w:val="17"/>
                <w:color w:val="auto"/>
              </w:rPr>
            </w:pPr>
          </w:p>
        </w:tc>
        <w:tc>
          <w:tcPr>
            <w:tcW w:w="360" w:type="dxa"/>
            <w:vAlign w:val="bottom"/>
            <w:tcBorders>
              <w:top w:val="single" w:sz="8" w:color="auto"/>
              <w:bottom w:val="single" w:sz="8" w:color="auto"/>
            </w:tcBorders>
          </w:tcPr>
          <w:p>
            <w:pPr>
              <w:spacing w:after="0"/>
              <w:rPr>
                <w:sz w:val="17"/>
                <w:szCs w:val="17"/>
                <w:color w:val="auto"/>
              </w:rPr>
            </w:pPr>
          </w:p>
        </w:tc>
        <w:tc>
          <w:tcPr>
            <w:tcW w:w="1120" w:type="dxa"/>
            <w:vAlign w:val="bottom"/>
            <w:tcBorders>
              <w:top w:val="single" w:sz="8" w:color="auto"/>
              <w:bottom w:val="single" w:sz="8" w:color="auto"/>
            </w:tcBorders>
          </w:tcPr>
          <w:p>
            <w:pPr>
              <w:jc w:val="right"/>
              <w:ind w:right="519"/>
              <w:spacing w:after="0"/>
              <w:rPr>
                <w:sz w:val="20"/>
                <w:szCs w:val="20"/>
                <w:color w:val="auto"/>
              </w:rPr>
            </w:pPr>
            <w:r>
              <w:rPr>
                <w:rFonts w:ascii="Times New Roman" w:cs="Times New Roman" w:eastAsia="Times New Roman" w:hAnsi="Times New Roman"/>
                <w:sz w:val="14"/>
                <w:szCs w:val="14"/>
                <w:b w:val="1"/>
                <w:bCs w:val="1"/>
                <w:color w:val="auto"/>
              </w:rPr>
              <w:t>2024</w:t>
            </w:r>
          </w:p>
        </w:tc>
        <w:tc>
          <w:tcPr>
            <w:tcW w:w="260" w:type="dxa"/>
            <w:vAlign w:val="bottom"/>
            <w:tcBorders>
              <w:top w:val="single" w:sz="8" w:color="auto"/>
            </w:tcBorders>
          </w:tcPr>
          <w:p>
            <w:pPr>
              <w:spacing w:after="0"/>
              <w:rPr>
                <w:sz w:val="17"/>
                <w:szCs w:val="17"/>
                <w:color w:val="auto"/>
              </w:rPr>
            </w:pPr>
          </w:p>
        </w:tc>
        <w:tc>
          <w:tcPr>
            <w:tcW w:w="340" w:type="dxa"/>
            <w:vAlign w:val="bottom"/>
            <w:tcBorders>
              <w:top w:val="single" w:sz="8" w:color="auto"/>
              <w:bottom w:val="single" w:sz="8" w:color="auto"/>
            </w:tcBorders>
          </w:tcPr>
          <w:p>
            <w:pPr>
              <w:spacing w:after="0"/>
              <w:rPr>
                <w:sz w:val="17"/>
                <w:szCs w:val="17"/>
                <w:color w:val="auto"/>
              </w:rPr>
            </w:pPr>
          </w:p>
        </w:tc>
        <w:tc>
          <w:tcPr>
            <w:tcW w:w="1120" w:type="dxa"/>
            <w:vAlign w:val="bottom"/>
            <w:tcBorders>
              <w:top w:val="single" w:sz="8" w:color="auto"/>
              <w:bottom w:val="single" w:sz="8" w:color="auto"/>
            </w:tcBorders>
          </w:tcPr>
          <w:p>
            <w:pPr>
              <w:jc w:val="right"/>
              <w:ind w:right="516"/>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7"/>
                <w:szCs w:val="17"/>
                <w:color w:val="auto"/>
              </w:rPr>
            </w:pPr>
          </w:p>
        </w:tc>
      </w:tr>
      <w:tr>
        <w:trPr>
          <w:trHeight w:val="210"/>
        </w:trPr>
        <w:tc>
          <w:tcPr>
            <w:tcW w:w="7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shares sold pursuant to at-the-market equity offering programs</w:t>
            </w:r>
          </w:p>
        </w:tc>
        <w:tc>
          <w:tcPr>
            <w:tcW w:w="360" w:type="dxa"/>
            <w:vAlign w:val="bottom"/>
            <w:shd w:val="clear" w:color="auto" w:fill="CFF0FC"/>
          </w:tcPr>
          <w:p>
            <w:pPr>
              <w:spacing w:after="0"/>
              <w:rPr>
                <w:sz w:val="18"/>
                <w:szCs w:val="18"/>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52,308,512</w:t>
            </w:r>
          </w:p>
        </w:tc>
        <w:tc>
          <w:tcPr>
            <w:tcW w:w="26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50,978,900</w:t>
            </w:r>
          </w:p>
        </w:tc>
        <w:tc>
          <w:tcPr>
            <w:tcW w:w="100" w:type="dxa"/>
            <w:vAlign w:val="bottom"/>
            <w:shd w:val="clear" w:color="auto" w:fill="CFF0FC"/>
          </w:tcPr>
          <w:p>
            <w:pPr>
              <w:spacing w:after="0"/>
              <w:rPr>
                <w:sz w:val="18"/>
                <w:szCs w:val="18"/>
                <w:color w:val="auto"/>
              </w:rPr>
            </w:pPr>
          </w:p>
        </w:tc>
      </w:tr>
      <w:tr>
        <w:trPr>
          <w:trHeight w:val="234"/>
        </w:trPr>
        <w:tc>
          <w:tcPr>
            <w:tcW w:w="7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net proceeds received from shares sold pursuant to at-the-market equity offering programs</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16,329,857</w:t>
            </w:r>
          </w:p>
        </w:tc>
        <w:tc>
          <w:tcPr>
            <w:tcW w:w="60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2,020,089</w:t>
            </w:r>
          </w:p>
        </w:tc>
        <w:tc>
          <w:tcPr>
            <w:tcW w:w="100" w:type="dxa"/>
            <w:vAlign w:val="bottom"/>
          </w:tcPr>
          <w:p>
            <w:pPr>
              <w:spacing w:after="0"/>
              <w:rPr>
                <w:sz w:val="20"/>
                <w:szCs w:val="20"/>
                <w:color w:val="auto"/>
              </w:rPr>
            </w:pPr>
          </w:p>
        </w:tc>
      </w:tr>
    </w:tbl>
    <w:p>
      <w:pPr>
        <w:spacing w:after="0" w:line="1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of December 31, 2024, approximately $6.775 billion of our class A common stock remained available for issuance and sale pursuant to the October 2024 Sales Agreement. As of February 14, 2025, approximately $4.168 billion of our class A common stock remained available for issuance and sale pursuant to the October 2024 Sales Agreement. The remaining sales agreements have been terminated or substantially depleted prior to December 31, 2024.</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Unrecognized tax benefits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of December 31, 2024, we had $10.2 million of total gross unrecognized tax benefits, including accrued interest, $2.9 million of which was recorded in “Other long-term liabilities” and $7.3 million of which was recorded in “Deferred tax assets, net.” The timing of any payments that could result from these unrecognized tax benefits will depend on a number of factors, and accordingly the amount and period of any future payments cannot be estimated. We do not expect any significant tax payments related to unrecognized tax benefits during 2025.</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Recent Accounting Standards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See Note 3, Recent Accounting Standards, to the Consolidated Financial Statements for further information.</w:t>
      </w:r>
    </w:p>
    <w:p>
      <w:pPr>
        <w:spacing w:after="0" w:line="3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Non-GAAP Financial Measures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are providing supplemental non-GAAP financial measures below which management uses internally to help understand, manage, and evaluate our business performance and to help make operating decisions. We believe that these non-GAAP financial measures are also useful to investors and analysts in comparing our performance across reporting periods on a consistent basis. We also believe the use of these non-GAAP financial measures can facilitate comparison of our operating results to those of our competitors. These supplemental financial measures are not measurements of financial performance under generally accepted accounting principles in the United States (“GAAP”) and, as a result, these supplemental financial measures may not be comparable to similarly titled measures of other companies.</w:t>
      </w:r>
    </w:p>
    <w:p>
      <w:pPr>
        <w:spacing w:after="0" w:line="7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Non-GAAP financial measures are subject to material limitations as they are not measurements prepared in accordance with GAAP, and are not a substitute for such measurements. For example, we expect that share-based compensation expense, which is excluded from certain of the non-GAAP financial measures below, will continue to be a significant recurring expense over the coming years and is an important part of the compensation provided to certain employees, officers, and directors. Similarly, we expect that interest expense arising from the amortization of debt issuance costs on our long-term debt, which is excluded from certain of the non-GAAP financial measures below, will continue to be a recurring expense over the terms of our long-term debt arrangements. Our non-GAAP financial measures are not meant to be considered in isolation and should be read only in conjunction with our Consolidated Financial Statements, which have been prepared in accordance with GAAP. We rely primarily on such Consolidated Financial Statements to understand, manage, and evaluate our business performance and use the non-GAAP financial measures only supplementally.</w:t>
      </w:r>
    </w:p>
    <w:p>
      <w:pPr>
        <w:spacing w:after="0" w:line="1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Non-GAAP loss from operations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Non-GAAP loss from operations excludes share-based compensation expense, which is a significant non-cash expense that we believe is not reflective of our general business performance, and for which the accounting requires management judgment. Consequently, our accounting for share-based compensation expense could vary significantly in comparison to other companies. The following is a</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62" w:name="page63"/>
    <w:bookmarkEnd w:id="62"/>
    <w:p>
      <w:pPr>
        <w:jc w:val="both"/>
        <w:spacing w:after="0" w:line="282" w:lineRule="auto"/>
        <w:rPr>
          <w:sz w:val="20"/>
          <w:szCs w:val="20"/>
          <w:color w:val="auto"/>
        </w:rPr>
      </w:pPr>
      <w:r>
        <w:rPr>
          <w:rFonts w:ascii="Times New Roman" w:cs="Times New Roman" w:eastAsia="Times New Roman" w:hAnsi="Times New Roman"/>
          <w:sz w:val="18"/>
          <w:szCs w:val="18"/>
          <w:color w:val="auto"/>
        </w:rPr>
        <w:t>reconciliation of our non-GAAP loss from operations to loss from operations, its most directly comparable GAAP measure, (in thousands) for the periods indicated:</w:t>
      </w:r>
    </w:p>
    <w:p>
      <w:pPr>
        <w:spacing w:after="0" w:line="155" w:lineRule="exact"/>
        <w:rPr>
          <w:sz w:val="20"/>
          <w:szCs w:val="20"/>
          <w:color w:val="auto"/>
        </w:rPr>
      </w:pPr>
    </w:p>
    <w:tbl>
      <w:tblPr>
        <w:tblLayout w:type="fixed"/>
        <w:tblInd w:w="1140" w:type="dxa"/>
        <w:tblCellMar>
          <w:top w:w="0" w:type="dxa"/>
          <w:left w:w="0" w:type="dxa"/>
          <w:bottom w:w="0" w:type="dxa"/>
          <w:right w:w="0" w:type="dxa"/>
        </w:tblCellMar>
      </w:tblPr>
      <w:tr>
        <w:trPr>
          <w:trHeight w:val="173"/>
        </w:trPr>
        <w:tc>
          <w:tcPr>
            <w:tcW w:w="612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2580" w:type="dxa"/>
            <w:vAlign w:val="bottom"/>
            <w:gridSpan w:val="5"/>
          </w:tcPr>
          <w:p>
            <w:pPr>
              <w:jc w:val="right"/>
              <w:ind w:right="66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r>
      <w:tr>
        <w:trPr>
          <w:trHeight w:val="142"/>
        </w:trPr>
        <w:tc>
          <w:tcPr>
            <w:tcW w:w="6120" w:type="dxa"/>
            <w:vAlign w:val="bottom"/>
          </w:tcPr>
          <w:p>
            <w:pPr>
              <w:spacing w:after="0"/>
              <w:rPr>
                <w:sz w:val="12"/>
                <w:szCs w:val="12"/>
                <w:color w:val="auto"/>
              </w:rPr>
            </w:pPr>
          </w:p>
        </w:tc>
        <w:tc>
          <w:tcPr>
            <w:tcW w:w="28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417"/>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2"/>
                <w:szCs w:val="12"/>
                <w:color w:val="auto"/>
              </w:rPr>
            </w:pPr>
          </w:p>
        </w:tc>
        <w:tc>
          <w:tcPr>
            <w:tcW w:w="28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415"/>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r>
      <w:tr>
        <w:trPr>
          <w:trHeight w:val="210"/>
        </w:trPr>
        <w:tc>
          <w:tcPr>
            <w:tcW w:w="6120" w:type="dxa"/>
            <w:vAlign w:val="bottom"/>
            <w:shd w:val="clear" w:color="auto" w:fill="CFF0FC"/>
          </w:tcPr>
          <w:p>
            <w:pPr>
              <w:jc w:val="right"/>
              <w:ind w:right="2150"/>
              <w:spacing w:after="0"/>
              <w:rPr>
                <w:sz w:val="20"/>
                <w:szCs w:val="20"/>
                <w:color w:val="auto"/>
              </w:rPr>
            </w:pPr>
            <w:r>
              <w:rPr>
                <w:rFonts w:ascii="Times New Roman" w:cs="Times New Roman" w:eastAsia="Times New Roman" w:hAnsi="Times New Roman"/>
                <w:sz w:val="18"/>
                <w:szCs w:val="18"/>
                <w:b w:val="1"/>
                <w:bCs w:val="1"/>
                <w:color w:val="auto"/>
                <w:w w:val="99"/>
              </w:rPr>
              <w:t>Reconciliation of non-GAAP loss from operations:</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6120" w:type="dxa"/>
            <w:vAlign w:val="bottom"/>
          </w:tcPr>
          <w:p>
            <w:pPr>
              <w:jc w:val="right"/>
              <w:ind w:right="4310"/>
              <w:spacing w:after="0"/>
              <w:rPr>
                <w:sz w:val="20"/>
                <w:szCs w:val="20"/>
                <w:color w:val="auto"/>
              </w:rPr>
            </w:pPr>
            <w:r>
              <w:rPr>
                <w:rFonts w:ascii="Times New Roman" w:cs="Times New Roman" w:eastAsia="Times New Roman" w:hAnsi="Times New Roman"/>
                <w:sz w:val="18"/>
                <w:szCs w:val="18"/>
                <w:color w:val="auto"/>
              </w:rPr>
              <w:t>Loss from operations</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(1,852,978 )</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(115,047 )</w:t>
            </w:r>
          </w:p>
        </w:tc>
      </w:tr>
      <w:tr>
        <w:trPr>
          <w:trHeight w:val="216"/>
        </w:trPr>
        <w:tc>
          <w:tcPr>
            <w:tcW w:w="6120" w:type="dxa"/>
            <w:vAlign w:val="bottom"/>
            <w:tcBorders>
              <w:bottom w:val="single" w:sz="8" w:color="CFF0FC"/>
            </w:tcBorders>
            <w:shd w:val="clear" w:color="auto" w:fill="CFF0FC"/>
          </w:tcPr>
          <w:p>
            <w:pPr>
              <w:jc w:val="right"/>
              <w:ind w:right="329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77,124</w:t>
            </w:r>
          </w:p>
        </w:tc>
        <w:tc>
          <w:tcPr>
            <w:tcW w:w="240" w:type="dxa"/>
            <w:vAlign w:val="bottom"/>
            <w:tcBorders>
              <w:bottom w:val="single" w:sz="8" w:color="CFF0FC"/>
            </w:tcBorders>
            <w:shd w:val="clear" w:color="auto" w:fill="CFF0FC"/>
          </w:tcPr>
          <w:p>
            <w:pPr>
              <w:spacing w:after="0"/>
              <w:rPr>
                <w:sz w:val="18"/>
                <w:szCs w:val="18"/>
                <w:color w:val="auto"/>
              </w:rPr>
            </w:pPr>
          </w:p>
        </w:tc>
        <w:tc>
          <w:tcPr>
            <w:tcW w:w="2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69,571</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120" w:type="dxa"/>
            <w:vAlign w:val="bottom"/>
          </w:tcPr>
          <w:p>
            <w:pPr>
              <w:jc w:val="right"/>
              <w:ind w:right="3290"/>
              <w:spacing w:after="0"/>
              <w:rPr>
                <w:sz w:val="20"/>
                <w:szCs w:val="20"/>
                <w:color w:val="auto"/>
              </w:rPr>
            </w:pPr>
            <w:r>
              <w:rPr>
                <w:rFonts w:ascii="Times New Roman" w:cs="Times New Roman" w:eastAsia="Times New Roman" w:hAnsi="Times New Roman"/>
                <w:sz w:val="18"/>
                <w:szCs w:val="18"/>
                <w:color w:val="auto"/>
              </w:rPr>
              <w:t>Non-GAAP loss from operations</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(1,775,854 )</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(45,476 )</w:t>
            </w:r>
          </w:p>
        </w:tc>
      </w:tr>
      <w:tr>
        <w:trPr>
          <w:trHeight w:val="20"/>
        </w:trPr>
        <w:tc>
          <w:tcPr>
            <w:tcW w:w="6120" w:type="dxa"/>
            <w:vAlign w:val="bottom"/>
          </w:tcPr>
          <w:p>
            <w:pPr>
              <w:spacing w:after="0" w:line="20" w:lineRule="exact"/>
              <w:rPr>
                <w:sz w:val="1"/>
                <w:szCs w:val="1"/>
                <w:color w:val="auto"/>
              </w:rPr>
            </w:pPr>
          </w:p>
        </w:tc>
        <w:tc>
          <w:tcPr>
            <w:tcW w:w="28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8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5414010</wp:posOffset>
            </wp:positionH>
            <wp:positionV relativeFrom="paragraph">
              <wp:posOffset>-170815</wp:posOffset>
            </wp:positionV>
            <wp:extent cx="60325" cy="8255"/>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-170815</wp:posOffset>
            </wp:positionV>
            <wp:extent cx="59690" cy="8255"/>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3">
                      <a:extLst>
                        <a:ext uri="{28A0092B-C50C-407E-A947-70E740481C1C}"/>
                      </a:extLst>
                    </a:blip>
                    <a:srcRect/>
                    <a:stretch>
                      <a:fillRect/>
                    </a:stretch>
                  </pic:blipFill>
                  <pic:spPr bwMode="auto">
                    <a:xfrm>
                      <a:off x="0" y="0"/>
                      <a:ext cx="59690" cy="8255"/>
                    </a:xfrm>
                    <a:prstGeom prst="rect">
                      <a:avLst/>
                    </a:prstGeom>
                    <a:noFill/>
                  </pic:spPr>
                </pic:pic>
              </a:graphicData>
            </a:graphic>
          </wp:anchor>
        </w:drawing>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Non-GAAP net (loss) income and non-GAAP diluted (loss) earnings per share</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Non-GAAP net (loss) income and non-GAAP diluted (loss) earnings per share each exclude the impact of (i) share-based compensation expense, (ii) interest expense arising from the amortization of debt issuance costs on our long-term debt, (iii) gains and losses on extinguishment of debt, and (iv) related income taxes. We believe non-GAAP net (loss) income and non-GAAP diluted (loss) earnings per share offer management and investors insight as they exclude significant non-cash expenses, gains and losses on debt extinguishment, and their related income tax effects. The following are reconciliations of our non-GAAP net (loss) income and non-GAAP diluted (loss) earnings per share to net (loss) income and diluted (loss) earnings per share, respectively, their most directly comparable GAAP measures (in thousands, except per share data), for the periods indicated:</w:t>
      </w:r>
    </w:p>
    <w:p>
      <w:pPr>
        <w:spacing w:after="0" w:line="181" w:lineRule="exact"/>
        <w:rPr>
          <w:sz w:val="20"/>
          <w:szCs w:val="20"/>
          <w:color w:val="auto"/>
        </w:rPr>
      </w:pPr>
    </w:p>
    <w:tbl>
      <w:tblPr>
        <w:tblLayout w:type="fixed"/>
        <w:tblInd w:w="1140" w:type="dxa"/>
        <w:tblCellMar>
          <w:top w:w="0" w:type="dxa"/>
          <w:left w:w="0" w:type="dxa"/>
          <w:bottom w:w="0" w:type="dxa"/>
          <w:right w:w="0" w:type="dxa"/>
        </w:tblCellMar>
      </w:tblPr>
      <w:tr>
        <w:trPr>
          <w:trHeight w:val="173"/>
        </w:trPr>
        <w:tc>
          <w:tcPr>
            <w:tcW w:w="612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2580" w:type="dxa"/>
            <w:vAlign w:val="bottom"/>
            <w:gridSpan w:val="5"/>
          </w:tcPr>
          <w:p>
            <w:pPr>
              <w:jc w:val="right"/>
              <w:ind w:right="66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r>
      <w:tr>
        <w:trPr>
          <w:trHeight w:val="142"/>
        </w:trPr>
        <w:tc>
          <w:tcPr>
            <w:tcW w:w="6120" w:type="dxa"/>
            <w:vAlign w:val="bottom"/>
          </w:tcPr>
          <w:p>
            <w:pPr>
              <w:spacing w:after="0"/>
              <w:rPr>
                <w:sz w:val="12"/>
                <w:szCs w:val="12"/>
                <w:color w:val="auto"/>
              </w:rPr>
            </w:pPr>
          </w:p>
        </w:tc>
        <w:tc>
          <w:tcPr>
            <w:tcW w:w="28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413"/>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2"/>
                <w:szCs w:val="12"/>
                <w:color w:val="auto"/>
              </w:rPr>
            </w:pPr>
          </w:p>
        </w:tc>
        <w:tc>
          <w:tcPr>
            <w:tcW w:w="28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411"/>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r>
      <w:tr>
        <w:trPr>
          <w:trHeight w:val="209"/>
        </w:trPr>
        <w:tc>
          <w:tcPr>
            <w:tcW w:w="6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b w:val="1"/>
                <w:bCs w:val="1"/>
                <w:color w:val="auto"/>
              </w:rPr>
              <w:t>Reconciliation of non-GAAP net (loss) income:</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6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Net (loss) income</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(1,166,661 )</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429,121</w:t>
            </w:r>
          </w:p>
        </w:tc>
        <w:tc>
          <w:tcPr>
            <w:tcW w:w="100" w:type="dxa"/>
            <w:vAlign w:val="bottom"/>
          </w:tcPr>
          <w:p>
            <w:pPr>
              <w:spacing w:after="0"/>
              <w:rPr>
                <w:sz w:val="18"/>
                <w:szCs w:val="18"/>
                <w:color w:val="auto"/>
              </w:rPr>
            </w:pPr>
          </w:p>
        </w:tc>
      </w:tr>
      <w:tr>
        <w:trPr>
          <w:trHeight w:val="216"/>
        </w:trPr>
        <w:tc>
          <w:tcPr>
            <w:tcW w:w="6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77,124</w:t>
            </w: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69,571</w:t>
            </w:r>
          </w:p>
        </w:tc>
        <w:tc>
          <w:tcPr>
            <w:tcW w:w="100" w:type="dxa"/>
            <w:vAlign w:val="bottom"/>
            <w:shd w:val="clear" w:color="auto" w:fill="CFF0FC"/>
          </w:tcPr>
          <w:p>
            <w:pPr>
              <w:spacing w:after="0"/>
              <w:rPr>
                <w:sz w:val="18"/>
                <w:szCs w:val="18"/>
                <w:color w:val="auto"/>
              </w:rPr>
            </w:pPr>
          </w:p>
        </w:tc>
      </w:tr>
      <w:tr>
        <w:trPr>
          <w:trHeight w:val="216"/>
        </w:trPr>
        <w:tc>
          <w:tcPr>
            <w:tcW w:w="6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Interest expense arising from amortization of debt issuance costs</w:t>
            </w:r>
          </w:p>
        </w:tc>
        <w:tc>
          <w:tcPr>
            <w:tcW w:w="28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15,336</w:t>
            </w:r>
          </w:p>
        </w:tc>
        <w:tc>
          <w:tcPr>
            <w:tcW w:w="2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8,808</w:t>
            </w:r>
          </w:p>
        </w:tc>
        <w:tc>
          <w:tcPr>
            <w:tcW w:w="100" w:type="dxa"/>
            <w:vAlign w:val="bottom"/>
          </w:tcPr>
          <w:p>
            <w:pPr>
              <w:spacing w:after="0"/>
              <w:rPr>
                <w:sz w:val="18"/>
                <w:szCs w:val="18"/>
                <w:color w:val="auto"/>
              </w:rPr>
            </w:pPr>
          </w:p>
        </w:tc>
      </w:tr>
      <w:tr>
        <w:trPr>
          <w:trHeight w:val="216"/>
        </w:trPr>
        <w:tc>
          <w:tcPr>
            <w:tcW w:w="6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Loss (gain) on debt extinguishment</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22,933</w:t>
            </w: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108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(44,686 )</w:t>
            </w:r>
          </w:p>
        </w:tc>
      </w:tr>
      <w:tr>
        <w:trPr>
          <w:trHeight w:val="216"/>
        </w:trPr>
        <w:tc>
          <w:tcPr>
            <w:tcW w:w="6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Income tax effects (1)</w:t>
            </w:r>
          </w:p>
        </w:tc>
        <w:tc>
          <w:tcPr>
            <w:tcW w:w="280" w:type="dxa"/>
            <w:vAlign w:val="bottom"/>
          </w:tcPr>
          <w:p>
            <w:pPr>
              <w:spacing w:after="0"/>
              <w:rPr>
                <w:sz w:val="18"/>
                <w:szCs w:val="18"/>
                <w:color w:val="auto"/>
              </w:rPr>
            </w:pPr>
          </w:p>
        </w:tc>
        <w:tc>
          <w:tcPr>
            <w:tcW w:w="12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(243,102 )</w:t>
            </w:r>
          </w:p>
        </w:tc>
        <w:tc>
          <w:tcPr>
            <w:tcW w:w="280" w:type="dxa"/>
            <w:vAlign w:val="bottom"/>
          </w:tcPr>
          <w:p>
            <w:pPr>
              <w:spacing w:after="0"/>
              <w:rPr>
                <w:sz w:val="18"/>
                <w:szCs w:val="18"/>
                <w:color w:val="auto"/>
              </w:rPr>
            </w:pPr>
          </w:p>
        </w:tc>
        <w:tc>
          <w:tcPr>
            <w:tcW w:w="10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(6,062 )</w:t>
            </w:r>
          </w:p>
        </w:tc>
      </w:tr>
      <w:tr>
        <w:trPr>
          <w:trHeight w:val="20"/>
        </w:trPr>
        <w:tc>
          <w:tcPr>
            <w:tcW w:w="612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50"/>
        </w:trPr>
        <w:tc>
          <w:tcPr>
            <w:tcW w:w="6120" w:type="dxa"/>
            <w:vAlign w:val="bottom"/>
            <w:shd w:val="clear" w:color="auto" w:fill="CFF0FC"/>
          </w:tcPr>
          <w:p>
            <w:pPr>
              <w:ind w:left="360"/>
              <w:spacing w:after="0"/>
              <w:rPr>
                <w:sz w:val="20"/>
                <w:szCs w:val="20"/>
                <w:color w:val="auto"/>
              </w:rPr>
            </w:pPr>
            <w:r>
              <w:rPr>
                <w:rFonts w:ascii="Times New Roman" w:cs="Times New Roman" w:eastAsia="Times New Roman" w:hAnsi="Times New Roman"/>
                <w:sz w:val="18"/>
                <w:szCs w:val="18"/>
                <w:color w:val="auto"/>
              </w:rPr>
              <w:t>Non-GAAP net (loss) income</w:t>
            </w: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(1,294,370 )</w:t>
            </w: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456,752</w:t>
            </w:r>
          </w:p>
        </w:tc>
        <w:tc>
          <w:tcPr>
            <w:tcW w:w="100" w:type="dxa"/>
            <w:vAlign w:val="bottom"/>
            <w:shd w:val="clear" w:color="auto" w:fill="CFF0FC"/>
          </w:tcPr>
          <w:p>
            <w:pPr>
              <w:spacing w:after="0"/>
              <w:rPr>
                <w:sz w:val="21"/>
                <w:szCs w:val="21"/>
                <w:color w:val="auto"/>
              </w:rPr>
            </w:pPr>
          </w:p>
        </w:tc>
      </w:tr>
      <w:tr>
        <w:trPr>
          <w:trHeight w:val="197"/>
        </w:trPr>
        <w:tc>
          <w:tcPr>
            <w:tcW w:w="6120" w:type="dxa"/>
            <w:vAlign w:val="bottom"/>
            <w:tcBorders>
              <w:top w:val="single" w:sz="8" w:color="CFF0FC"/>
            </w:tcBorders>
          </w:tcPr>
          <w:p>
            <w:pPr>
              <w:spacing w:after="0"/>
              <w:rPr>
                <w:sz w:val="17"/>
                <w:szCs w:val="17"/>
                <w:color w:val="auto"/>
              </w:rPr>
            </w:pPr>
          </w:p>
        </w:tc>
        <w:tc>
          <w:tcPr>
            <w:tcW w:w="280" w:type="dxa"/>
            <w:vAlign w:val="bottom"/>
            <w:tcBorders>
              <w:top w:val="single" w:sz="8" w:color="auto"/>
            </w:tcBorders>
          </w:tcPr>
          <w:p>
            <w:pPr>
              <w:spacing w:after="0"/>
              <w:rPr>
                <w:sz w:val="17"/>
                <w:szCs w:val="17"/>
                <w:color w:val="auto"/>
              </w:rPr>
            </w:pPr>
          </w:p>
        </w:tc>
        <w:tc>
          <w:tcPr>
            <w:tcW w:w="980" w:type="dxa"/>
            <w:vAlign w:val="bottom"/>
            <w:tcBorders>
              <w:top w:val="single" w:sz="8" w:color="auto"/>
            </w:tcBorders>
          </w:tcPr>
          <w:p>
            <w:pPr>
              <w:spacing w:after="0"/>
              <w:rPr>
                <w:sz w:val="17"/>
                <w:szCs w:val="17"/>
                <w:color w:val="auto"/>
              </w:rPr>
            </w:pPr>
          </w:p>
        </w:tc>
        <w:tc>
          <w:tcPr>
            <w:tcW w:w="240" w:type="dxa"/>
            <w:vAlign w:val="bottom"/>
            <w:tcBorders>
              <w:top w:val="single" w:sz="8" w:color="CFF0FC"/>
            </w:tcBorders>
          </w:tcPr>
          <w:p>
            <w:pPr>
              <w:spacing w:after="0"/>
              <w:rPr>
                <w:sz w:val="17"/>
                <w:szCs w:val="17"/>
                <w:color w:val="auto"/>
              </w:rPr>
            </w:pPr>
          </w:p>
        </w:tc>
        <w:tc>
          <w:tcPr>
            <w:tcW w:w="280" w:type="dxa"/>
            <w:vAlign w:val="bottom"/>
            <w:tcBorders>
              <w:top w:val="single" w:sz="8" w:color="auto"/>
            </w:tcBorders>
          </w:tcPr>
          <w:p>
            <w:pPr>
              <w:spacing w:after="0"/>
              <w:rPr>
                <w:sz w:val="17"/>
                <w:szCs w:val="17"/>
                <w:color w:val="auto"/>
              </w:rPr>
            </w:pPr>
          </w:p>
        </w:tc>
        <w:tc>
          <w:tcPr>
            <w:tcW w:w="980" w:type="dxa"/>
            <w:vAlign w:val="bottom"/>
            <w:tcBorders>
              <w:top w:val="single" w:sz="8" w:color="auto"/>
            </w:tcBorders>
          </w:tcPr>
          <w:p>
            <w:pPr>
              <w:spacing w:after="0"/>
              <w:rPr>
                <w:sz w:val="17"/>
                <w:szCs w:val="17"/>
                <w:color w:val="auto"/>
              </w:rPr>
            </w:pPr>
          </w:p>
        </w:tc>
        <w:tc>
          <w:tcPr>
            <w:tcW w:w="100" w:type="dxa"/>
            <w:vAlign w:val="bottom"/>
            <w:tcBorders>
              <w:top w:val="single" w:sz="8" w:color="CFF0FC"/>
            </w:tcBorders>
          </w:tcPr>
          <w:p>
            <w:pPr>
              <w:spacing w:after="0"/>
              <w:rPr>
                <w:sz w:val="17"/>
                <w:szCs w:val="17"/>
                <w:color w:val="auto"/>
              </w:rPr>
            </w:pPr>
          </w:p>
        </w:tc>
      </w:tr>
      <w:tr>
        <w:trPr>
          <w:trHeight w:val="216"/>
        </w:trPr>
        <w:tc>
          <w:tcPr>
            <w:tcW w:w="6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b w:val="1"/>
                <w:bCs w:val="1"/>
                <w:color w:val="auto"/>
              </w:rPr>
              <w:t>Reconciliation of non-GAAP diluted (loss) earnings per share (2):</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6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Diluted (loss) earnings per share</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(6.06 )</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2.64</w:t>
            </w:r>
          </w:p>
        </w:tc>
        <w:tc>
          <w:tcPr>
            <w:tcW w:w="100" w:type="dxa"/>
            <w:vAlign w:val="bottom"/>
          </w:tcPr>
          <w:p>
            <w:pPr>
              <w:spacing w:after="0"/>
              <w:rPr>
                <w:sz w:val="18"/>
                <w:szCs w:val="18"/>
                <w:color w:val="auto"/>
              </w:rPr>
            </w:pPr>
          </w:p>
        </w:tc>
      </w:tr>
      <w:tr>
        <w:trPr>
          <w:trHeight w:val="216"/>
        </w:trPr>
        <w:tc>
          <w:tcPr>
            <w:tcW w:w="6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Share-based compensation expense (per diluted share)</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0.40</w:t>
            </w: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0.42</w:t>
            </w:r>
          </w:p>
        </w:tc>
        <w:tc>
          <w:tcPr>
            <w:tcW w:w="100" w:type="dxa"/>
            <w:vAlign w:val="bottom"/>
            <w:shd w:val="clear" w:color="auto" w:fill="CFF0FC"/>
          </w:tcPr>
          <w:p>
            <w:pPr>
              <w:spacing w:after="0"/>
              <w:rPr>
                <w:sz w:val="18"/>
                <w:szCs w:val="18"/>
                <w:color w:val="auto"/>
              </w:rPr>
            </w:pPr>
          </w:p>
        </w:tc>
      </w:tr>
      <w:tr>
        <w:trPr>
          <w:trHeight w:val="198"/>
        </w:trPr>
        <w:tc>
          <w:tcPr>
            <w:tcW w:w="6120" w:type="dxa"/>
            <w:vAlign w:val="bottom"/>
          </w:tcPr>
          <w:p>
            <w:pPr>
              <w:ind w:left="180"/>
              <w:spacing w:after="0" w:line="198" w:lineRule="exact"/>
              <w:rPr>
                <w:sz w:val="20"/>
                <w:szCs w:val="20"/>
                <w:color w:val="auto"/>
              </w:rPr>
            </w:pPr>
            <w:r>
              <w:rPr>
                <w:rFonts w:ascii="Times New Roman" w:cs="Times New Roman" w:eastAsia="Times New Roman" w:hAnsi="Times New Roman"/>
                <w:sz w:val="18"/>
                <w:szCs w:val="18"/>
                <w:color w:val="auto"/>
              </w:rPr>
              <w:t>Interest expense arising from amortization of debt issuance costs (per diluted</w:t>
            </w:r>
          </w:p>
        </w:tc>
        <w:tc>
          <w:tcPr>
            <w:tcW w:w="280" w:type="dxa"/>
            <w:vAlign w:val="bottom"/>
          </w:tcPr>
          <w:p>
            <w:pPr>
              <w:spacing w:after="0"/>
              <w:rPr>
                <w:sz w:val="17"/>
                <w:szCs w:val="17"/>
                <w:color w:val="auto"/>
              </w:rPr>
            </w:pPr>
          </w:p>
        </w:tc>
        <w:tc>
          <w:tcPr>
            <w:tcW w:w="980" w:type="dxa"/>
            <w:vAlign w:val="bottom"/>
          </w:tcPr>
          <w:p>
            <w:pPr>
              <w:spacing w:after="0"/>
              <w:rPr>
                <w:sz w:val="17"/>
                <w:szCs w:val="17"/>
                <w:color w:val="auto"/>
              </w:rPr>
            </w:pPr>
          </w:p>
        </w:tc>
        <w:tc>
          <w:tcPr>
            <w:tcW w:w="24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980" w:type="dxa"/>
            <w:vAlign w:val="bottom"/>
          </w:tcPr>
          <w:p>
            <w:pPr>
              <w:spacing w:after="0"/>
              <w:rPr>
                <w:sz w:val="17"/>
                <w:szCs w:val="17"/>
                <w:color w:val="auto"/>
              </w:rPr>
            </w:pPr>
          </w:p>
        </w:tc>
        <w:tc>
          <w:tcPr>
            <w:tcW w:w="100" w:type="dxa"/>
            <w:vAlign w:val="bottom"/>
          </w:tcPr>
          <w:p>
            <w:pPr>
              <w:spacing w:after="0"/>
              <w:rPr>
                <w:sz w:val="17"/>
                <w:szCs w:val="17"/>
                <w:color w:val="auto"/>
              </w:rPr>
            </w:pPr>
          </w:p>
        </w:tc>
      </w:tr>
      <w:tr>
        <w:trPr>
          <w:trHeight w:val="234"/>
        </w:trPr>
        <w:tc>
          <w:tcPr>
            <w:tcW w:w="6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share) (3)</w:t>
            </w:r>
          </w:p>
        </w:tc>
        <w:tc>
          <w:tcPr>
            <w:tcW w:w="28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0.08</w:t>
            </w:r>
          </w:p>
        </w:tc>
        <w:tc>
          <w:tcPr>
            <w:tcW w:w="24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0.01</w:t>
            </w:r>
          </w:p>
        </w:tc>
        <w:tc>
          <w:tcPr>
            <w:tcW w:w="100" w:type="dxa"/>
            <w:vAlign w:val="bottom"/>
          </w:tcPr>
          <w:p>
            <w:pPr>
              <w:spacing w:after="0"/>
              <w:rPr>
                <w:sz w:val="20"/>
                <w:szCs w:val="20"/>
                <w:color w:val="auto"/>
              </w:rPr>
            </w:pPr>
          </w:p>
        </w:tc>
      </w:tr>
      <w:tr>
        <w:trPr>
          <w:trHeight w:val="216"/>
        </w:trPr>
        <w:tc>
          <w:tcPr>
            <w:tcW w:w="6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Loss (gain) on debt extinguishment (per diluted share)</w:t>
            </w: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0.12</w:t>
            </w:r>
          </w:p>
        </w:tc>
        <w:tc>
          <w:tcPr>
            <w:tcW w:w="2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108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(0.27 )</w:t>
            </w:r>
          </w:p>
        </w:tc>
      </w:tr>
      <w:tr>
        <w:trPr>
          <w:trHeight w:val="216"/>
        </w:trPr>
        <w:tc>
          <w:tcPr>
            <w:tcW w:w="6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Income tax effects (per diluted share) (3)</w:t>
            </w:r>
          </w:p>
        </w:tc>
        <w:tc>
          <w:tcPr>
            <w:tcW w:w="280" w:type="dxa"/>
            <w:vAlign w:val="bottom"/>
          </w:tcPr>
          <w:p>
            <w:pPr>
              <w:spacing w:after="0"/>
              <w:rPr>
                <w:sz w:val="18"/>
                <w:szCs w:val="18"/>
                <w:color w:val="auto"/>
              </w:rPr>
            </w:pPr>
          </w:p>
        </w:tc>
        <w:tc>
          <w:tcPr>
            <w:tcW w:w="12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(1.26 )</w:t>
            </w:r>
          </w:p>
        </w:tc>
        <w:tc>
          <w:tcPr>
            <w:tcW w:w="280" w:type="dxa"/>
            <w:vAlign w:val="bottom"/>
          </w:tcPr>
          <w:p>
            <w:pPr>
              <w:spacing w:after="0"/>
              <w:rPr>
                <w:sz w:val="18"/>
                <w:szCs w:val="18"/>
                <w:color w:val="auto"/>
              </w:rPr>
            </w:pPr>
          </w:p>
        </w:tc>
        <w:tc>
          <w:tcPr>
            <w:tcW w:w="10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(0.02 )</w:t>
            </w:r>
          </w:p>
        </w:tc>
      </w:tr>
      <w:tr>
        <w:trPr>
          <w:trHeight w:val="20"/>
        </w:trPr>
        <w:tc>
          <w:tcPr>
            <w:tcW w:w="612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30"/>
        </w:trPr>
        <w:tc>
          <w:tcPr>
            <w:tcW w:w="6120" w:type="dxa"/>
            <w:vAlign w:val="bottom"/>
            <w:shd w:val="clear" w:color="auto" w:fill="CFF0FC"/>
          </w:tcPr>
          <w:p>
            <w:pPr>
              <w:ind w:left="360"/>
              <w:spacing w:after="0"/>
              <w:rPr>
                <w:sz w:val="20"/>
                <w:szCs w:val="20"/>
                <w:color w:val="auto"/>
              </w:rPr>
            </w:pPr>
            <w:r>
              <w:rPr>
                <w:rFonts w:ascii="Times New Roman" w:cs="Times New Roman" w:eastAsia="Times New Roman" w:hAnsi="Times New Roman"/>
                <w:sz w:val="18"/>
                <w:szCs w:val="18"/>
                <w:color w:val="auto"/>
              </w:rPr>
              <w:t>Non-GAAP diluted (loss) earnings per share</w:t>
            </w: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(6.72 )</w:t>
            </w: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2.78</w:t>
            </w:r>
          </w:p>
        </w:tc>
        <w:tc>
          <w:tcPr>
            <w:tcW w:w="100" w:type="dxa"/>
            <w:vAlign w:val="bottom"/>
            <w:shd w:val="clear" w:color="auto" w:fill="CFF0FC"/>
          </w:tcPr>
          <w:p>
            <w:pPr>
              <w:spacing w:after="0"/>
              <w:rPr>
                <w:sz w:val="19"/>
                <w:szCs w:val="19"/>
                <w:color w:val="auto"/>
              </w:rPr>
            </w:pPr>
          </w:p>
        </w:tc>
      </w:tr>
      <w:tr>
        <w:trPr>
          <w:trHeight w:val="20"/>
        </w:trPr>
        <w:tc>
          <w:tcPr>
            <w:tcW w:w="6120" w:type="dxa"/>
            <w:vAlign w:val="bottom"/>
            <w:tcBorders>
              <w:top w:val="single" w:sz="8" w:color="CFF0FC"/>
            </w:tcBorders>
            <w:shd w:val="clear" w:color="auto" w:fill="CFF0FC"/>
          </w:tcPr>
          <w:p>
            <w:pPr>
              <w:spacing w:after="0" w:line="20" w:lineRule="exact"/>
              <w:rPr>
                <w:sz w:val="1"/>
                <w:szCs w:val="1"/>
                <w:color w:val="auto"/>
              </w:rPr>
            </w:pPr>
          </w:p>
        </w:tc>
        <w:tc>
          <w:tcPr>
            <w:tcW w:w="280" w:type="dxa"/>
            <w:vAlign w:val="bottom"/>
            <w:tcBorders>
              <w:top w:val="single" w:sz="8" w:color="auto"/>
            </w:tcBorders>
            <w:shd w:val="clear" w:color="auto" w:fill="000000"/>
          </w:tcPr>
          <w:p>
            <w:pPr>
              <w:spacing w:after="0" w:line="20" w:lineRule="exact"/>
              <w:rPr>
                <w:sz w:val="1"/>
                <w:szCs w:val="1"/>
                <w:color w:val="auto"/>
              </w:rPr>
            </w:pPr>
          </w:p>
        </w:tc>
        <w:tc>
          <w:tcPr>
            <w:tcW w:w="98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280" w:type="dxa"/>
            <w:vAlign w:val="bottom"/>
            <w:tcBorders>
              <w:top w:val="single" w:sz="8" w:color="auto"/>
            </w:tcBorders>
            <w:shd w:val="clear" w:color="auto" w:fill="000000"/>
          </w:tcPr>
          <w:p>
            <w:pPr>
              <w:spacing w:after="0" w:line="20" w:lineRule="exact"/>
              <w:rPr>
                <w:sz w:val="1"/>
                <w:szCs w:val="1"/>
                <w:color w:val="auto"/>
              </w:rPr>
            </w:pPr>
          </w:p>
        </w:tc>
        <w:tc>
          <w:tcPr>
            <w:tcW w:w="98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5414010</wp:posOffset>
            </wp:positionH>
            <wp:positionV relativeFrom="paragraph">
              <wp:posOffset>-1293495</wp:posOffset>
            </wp:positionV>
            <wp:extent cx="60325" cy="8255"/>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4">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5414010</wp:posOffset>
            </wp:positionH>
            <wp:positionV relativeFrom="paragraph">
              <wp:posOffset>-1276350</wp:posOffset>
            </wp:positionV>
            <wp:extent cx="60325" cy="8255"/>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5">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-1293495</wp:posOffset>
            </wp:positionV>
            <wp:extent cx="59690" cy="8255"/>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6">
                      <a:extLst>
                        <a:ext uri="{28A0092B-C50C-407E-A947-70E740481C1C}"/>
                      </a:extLst>
                    </a:blip>
                    <a:srcRect/>
                    <a:stretch>
                      <a:fillRect/>
                    </a:stretch>
                  </pic:blipFill>
                  <pic:spPr bwMode="auto">
                    <a:xfrm>
                      <a:off x="0" y="0"/>
                      <a:ext cx="59690"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-1276350</wp:posOffset>
            </wp:positionV>
            <wp:extent cx="59690" cy="8255"/>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7">
                      <a:extLst>
                        <a:ext uri="{28A0092B-C50C-407E-A947-70E740481C1C}"/>
                      </a:extLst>
                    </a:blip>
                    <a:srcRect/>
                    <a:stretch>
                      <a:fillRect/>
                    </a:stretch>
                  </pic:blipFill>
                  <pic:spPr bwMode="auto">
                    <a:xfrm>
                      <a:off x="0" y="0"/>
                      <a:ext cx="59690" cy="8255"/>
                    </a:xfrm>
                    <a:prstGeom prst="rect">
                      <a:avLst/>
                    </a:prstGeom>
                    <a:noFill/>
                  </pic:spPr>
                </pic:pic>
              </a:graphicData>
            </a:graphic>
          </wp:anchor>
        </w:drawing>
        <w:drawing>
          <wp:anchor simplePos="0" relativeHeight="251657728" behindDoc="1" locked="0" layoutInCell="0" allowOverlap="1">
            <wp:simplePos x="0" y="0"/>
            <wp:positionH relativeFrom="column">
              <wp:posOffset>5414010</wp:posOffset>
            </wp:positionH>
            <wp:positionV relativeFrom="paragraph">
              <wp:posOffset>-24765</wp:posOffset>
            </wp:positionV>
            <wp:extent cx="60325" cy="8255"/>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8">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5414010</wp:posOffset>
            </wp:positionH>
            <wp:positionV relativeFrom="paragraph">
              <wp:posOffset>-7620</wp:posOffset>
            </wp:positionV>
            <wp:extent cx="60325" cy="8255"/>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9">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-24765</wp:posOffset>
            </wp:positionV>
            <wp:extent cx="59690" cy="8255"/>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0">
                      <a:extLst>
                        <a:ext uri="{28A0092B-C50C-407E-A947-70E740481C1C}"/>
                      </a:extLst>
                    </a:blip>
                    <a:srcRect/>
                    <a:stretch>
                      <a:fillRect/>
                    </a:stretch>
                  </pic:blipFill>
                  <pic:spPr bwMode="auto">
                    <a:xfrm>
                      <a:off x="0" y="0"/>
                      <a:ext cx="59690"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-7620</wp:posOffset>
            </wp:positionV>
            <wp:extent cx="59690" cy="8255"/>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1">
                      <a:extLst>
                        <a:ext uri="{28A0092B-C50C-407E-A947-70E740481C1C}"/>
                      </a:extLst>
                    </a:blip>
                    <a:srcRect/>
                    <a:stretch>
                      <a:fillRect/>
                    </a:stretch>
                  </pic:blipFill>
                  <pic:spPr bwMode="auto">
                    <a:xfrm>
                      <a:off x="0" y="0"/>
                      <a:ext cx="59690" cy="8255"/>
                    </a:xfrm>
                    <a:prstGeom prst="rect">
                      <a:avLst/>
                    </a:prstGeom>
                    <a:noFill/>
                  </pic:spPr>
                </pic:pic>
              </a:graphicData>
            </a:graphic>
          </wp:anchor>
        </w:drawing>
      </w:r>
    </w:p>
    <w:p>
      <w:pPr>
        <w:spacing w:after="0" w:line="209" w:lineRule="exact"/>
        <w:rPr>
          <w:sz w:val="20"/>
          <w:szCs w:val="20"/>
          <w:color w:val="auto"/>
        </w:rPr>
      </w:pPr>
    </w:p>
    <w:p>
      <w:pPr>
        <w:ind w:left="860" w:hanging="373"/>
        <w:spacing w:after="0" w:line="298" w:lineRule="auto"/>
        <w:tabs>
          <w:tab w:leader="none" w:pos="860" w:val="left"/>
        </w:tabs>
        <w:numPr>
          <w:ilvl w:val="0"/>
          <w:numId w:val="3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Income tax effects reflect the net tax effects of share-based compensation, which includes tax benefits and expenses on exercises of stock options and vesting of share-settled restricted stock units, interest expense for amortization of debt issuance costs, and gains and losses on debt extinguishment.</w:t>
      </w:r>
    </w:p>
    <w:p>
      <w:pPr>
        <w:spacing w:after="0" w:line="123" w:lineRule="exact"/>
        <w:rPr>
          <w:rFonts w:ascii="Times New Roman" w:cs="Times New Roman" w:eastAsia="Times New Roman" w:hAnsi="Times New Roman"/>
          <w:sz w:val="16"/>
          <w:szCs w:val="16"/>
          <w:color w:val="auto"/>
        </w:rPr>
      </w:pPr>
    </w:p>
    <w:p>
      <w:pPr>
        <w:jc w:val="both"/>
        <w:ind w:left="860" w:hanging="373"/>
        <w:spacing w:after="0" w:line="275" w:lineRule="auto"/>
        <w:tabs>
          <w:tab w:leader="none" w:pos="860" w:val="left"/>
        </w:tabs>
        <w:numPr>
          <w:ilvl w:val="0"/>
          <w:numId w:val="3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For reconciliation purposes, the non-GAAP diluted earnings (loss) per share calculations use the same weighted average shares outstanding as that used in the GAAP diluted earnings (loss) per share calculations for the same period. For example, in periods of GAAP net loss, otherwise dilutive potential shares of common stock from our share-based compensation arrangements and Convertible Notes are excluded from the GAAP diluted loss per share calculation as they would be antidilutive, and therefore are also excluded from the non-GAAP diluted earnings or loss per share calculation.</w:t>
      </w:r>
    </w:p>
    <w:p>
      <w:pPr>
        <w:spacing w:after="0" w:line="155" w:lineRule="exact"/>
        <w:rPr>
          <w:rFonts w:ascii="Times New Roman" w:cs="Times New Roman" w:eastAsia="Times New Roman" w:hAnsi="Times New Roman"/>
          <w:sz w:val="16"/>
          <w:szCs w:val="16"/>
          <w:color w:val="auto"/>
        </w:rPr>
      </w:pPr>
    </w:p>
    <w:p>
      <w:pPr>
        <w:jc w:val="both"/>
        <w:ind w:left="860" w:hanging="373"/>
        <w:spacing w:after="0" w:line="272" w:lineRule="auto"/>
        <w:tabs>
          <w:tab w:leader="none" w:pos="860" w:val="left"/>
        </w:tabs>
        <w:numPr>
          <w:ilvl w:val="0"/>
          <w:numId w:val="3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For the year ended December 31, 2023, interest expense from the amortization of issuance costs of the Convertible Notes has been added back to the numerator in the GAAP diluted earnings per share calculation (as disclosed in Note 12, Basic and Diluted (Loss) Earnings per Share, to the Consolidated Financial Statements), and therefore the per diluted share effects of the amortization of issuance costs of the Convertible Notes have been excluded from the “Interest expense arising from amortization of debt issuance costs (per diluted share)” and “Income tax effects (per diluted share)” lines in the above reconciliation for the year ending December 31, 2023.</w:t>
      </w:r>
    </w:p>
    <w:p>
      <w:pPr>
        <w:spacing w:after="0" w:line="35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3" w:name="page64"/>
    <w:bookmarkEnd w:id="63"/>
    <w:p>
      <w:pPr>
        <w:spacing w:after="0"/>
        <w:rPr>
          <w:sz w:val="20"/>
          <w:szCs w:val="20"/>
          <w:color w:val="auto"/>
        </w:rPr>
      </w:pPr>
      <w:r>
        <w:rPr>
          <w:rFonts w:ascii="Times New Roman" w:cs="Times New Roman" w:eastAsia="Times New Roman" w:hAnsi="Times New Roman"/>
          <w:sz w:val="18"/>
          <w:szCs w:val="18"/>
          <w:b w:val="1"/>
          <w:bCs w:val="1"/>
          <w:i w:val="1"/>
          <w:iCs w:val="1"/>
          <w:color w:val="auto"/>
        </w:rPr>
        <w:t>Non-GAAP Constant Currency Revenues, Cost of Revenues, and Operating Expenses</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present certain of our revenues, cost of revenues, and operating expenses on a non-GAAP constant currency basis, which excludes certain changes resulting from fluctuations in foreign currency exchange rates. These non-GAAP constant currency metrics allow our management and investors to compare operating results to prior years without the effects of certain changes in foreign currency exchange rates, which are not reflective of our general business performance and may vary significantly between periods. The following are reconciliations of our non-GAAP constant currency revenues, cost of revenues, and operating expenses to their most directly comparable GAAP measures (in thousands) for the periods indicated:</w:t>
      </w:r>
    </w:p>
    <w:p>
      <w:pPr>
        <w:spacing w:after="0" w:line="165"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326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94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4"/>
                <w:szCs w:val="14"/>
                <w:b w:val="1"/>
                <w:bCs w:val="1"/>
                <w:color w:val="auto"/>
              </w:rPr>
              <w:t>Years Ended</w:t>
            </w:r>
          </w:p>
        </w:tc>
        <w:tc>
          <w:tcPr>
            <w:tcW w:w="78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1120" w:type="dxa"/>
            <w:vAlign w:val="bottom"/>
          </w:tcPr>
          <w:p>
            <w:pPr>
              <w:spacing w:after="0"/>
              <w:rPr>
                <w:sz w:val="13"/>
                <w:szCs w:val="13"/>
                <w:color w:val="auto"/>
              </w:rPr>
            </w:pPr>
          </w:p>
        </w:tc>
        <w:tc>
          <w:tcPr>
            <w:tcW w:w="3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73"/>
        </w:trPr>
        <w:tc>
          <w:tcPr>
            <w:tcW w:w="3260" w:type="dxa"/>
            <w:vAlign w:val="bottom"/>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880" w:type="dxa"/>
            <w:vAlign w:val="bottom"/>
            <w:tcBorders>
              <w:bottom w:val="single" w:sz="8" w:color="auto"/>
            </w:tcBorders>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940" w:type="dxa"/>
            <w:vAlign w:val="bottom"/>
            <w:tcBorders>
              <w:bottom w:val="single" w:sz="8" w:color="auto"/>
            </w:tcBorders>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40" w:type="dxa"/>
            <w:vAlign w:val="bottom"/>
            <w:tcBorders>
              <w:bottom w:val="single" w:sz="8" w:color="auto"/>
            </w:tcBorders>
          </w:tcPr>
          <w:p>
            <w:pPr>
              <w:spacing w:after="0"/>
              <w:rPr>
                <w:sz w:val="15"/>
                <w:szCs w:val="15"/>
                <w:color w:val="auto"/>
              </w:rPr>
            </w:pPr>
          </w:p>
        </w:tc>
        <w:tc>
          <w:tcPr>
            <w:tcW w:w="1540" w:type="dxa"/>
            <w:vAlign w:val="bottom"/>
            <w:tcBorders>
              <w:bottom w:val="single" w:sz="8" w:color="auto"/>
            </w:tcBorders>
            <w:gridSpan w:val="3"/>
          </w:tcPr>
          <w:p>
            <w:pPr>
              <w:jc w:val="right"/>
              <w:ind w:right="2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780" w:type="dxa"/>
            <w:vAlign w:val="bottom"/>
            <w:tcBorders>
              <w:bottom w:val="single" w:sz="8" w:color="auto"/>
            </w:tcBorders>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120" w:type="dxa"/>
            <w:vAlign w:val="bottom"/>
            <w:tcBorders>
              <w:bottom w:val="single" w:sz="8" w:color="auto"/>
            </w:tcBorders>
          </w:tcPr>
          <w:p>
            <w:pPr>
              <w:spacing w:after="0"/>
              <w:rPr>
                <w:sz w:val="15"/>
                <w:szCs w:val="15"/>
                <w:color w:val="auto"/>
              </w:rPr>
            </w:pPr>
          </w:p>
        </w:tc>
        <w:tc>
          <w:tcPr>
            <w:tcW w:w="300" w:type="dxa"/>
            <w:vAlign w:val="bottom"/>
            <w:tcBorders>
              <w:bottom w:val="single" w:sz="8" w:color="auto"/>
            </w:tcBorders>
          </w:tcPr>
          <w:p>
            <w:pPr>
              <w:spacing w:after="0"/>
              <w:rPr>
                <w:sz w:val="15"/>
                <w:szCs w:val="15"/>
                <w:color w:val="auto"/>
              </w:rPr>
            </w:pPr>
          </w:p>
        </w:tc>
        <w:tc>
          <w:tcPr>
            <w:tcW w:w="1080" w:type="dxa"/>
            <w:vAlign w:val="bottom"/>
            <w:tcBorders>
              <w:bottom w:val="single" w:sz="8" w:color="auto"/>
            </w:tcBorders>
          </w:tcPr>
          <w:p>
            <w:pPr>
              <w:spacing w:after="0"/>
              <w:rPr>
                <w:sz w:val="15"/>
                <w:szCs w:val="15"/>
                <w:color w:val="auto"/>
              </w:rPr>
            </w:pPr>
          </w:p>
        </w:tc>
        <w:tc>
          <w:tcPr>
            <w:tcW w:w="1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17"/>
        </w:trPr>
        <w:tc>
          <w:tcPr>
            <w:tcW w:w="32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160" w:type="dxa"/>
            <w:vAlign w:val="bottom"/>
          </w:tcPr>
          <w:p>
            <w:pPr>
              <w:spacing w:after="0"/>
              <w:rPr>
                <w:sz w:val="10"/>
                <w:szCs w:val="10"/>
                <w:color w:val="auto"/>
              </w:rPr>
            </w:pPr>
          </w:p>
        </w:tc>
        <w:tc>
          <w:tcPr>
            <w:tcW w:w="1140" w:type="dxa"/>
            <w:vAlign w:val="bottom"/>
            <w:gridSpan w:val="2"/>
          </w:tcPr>
          <w:p>
            <w:pPr>
              <w:jc w:val="center"/>
              <w:ind w:right="420"/>
              <w:spacing w:after="0" w:line="118" w:lineRule="exact"/>
              <w:rPr>
                <w:sz w:val="20"/>
                <w:szCs w:val="20"/>
                <w:color w:val="auto"/>
              </w:rPr>
            </w:pPr>
            <w:r>
              <w:rPr>
                <w:rFonts w:ascii="Times New Roman" w:cs="Times New Roman" w:eastAsia="Times New Roman" w:hAnsi="Times New Roman"/>
                <w:sz w:val="13"/>
                <w:szCs w:val="13"/>
                <w:b w:val="1"/>
                <w:bCs w:val="1"/>
                <w:color w:val="auto"/>
              </w:rPr>
              <w:t>Foreign</w:t>
            </w:r>
          </w:p>
        </w:tc>
        <w:tc>
          <w:tcPr>
            <w:tcW w:w="140" w:type="dxa"/>
            <w:vAlign w:val="bottom"/>
          </w:tcPr>
          <w:p>
            <w:pPr>
              <w:spacing w:after="0"/>
              <w:rPr>
                <w:sz w:val="10"/>
                <w:szCs w:val="10"/>
                <w:color w:val="auto"/>
              </w:rPr>
            </w:pPr>
          </w:p>
        </w:tc>
        <w:tc>
          <w:tcPr>
            <w:tcW w:w="980" w:type="dxa"/>
            <w:vAlign w:val="bottom"/>
            <w:vMerge w:val="restart"/>
          </w:tcPr>
          <w:p>
            <w:pPr>
              <w:jc w:val="center"/>
              <w:ind w:right="56"/>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220" w:type="dxa"/>
            <w:vAlign w:val="bottom"/>
          </w:tcPr>
          <w:p>
            <w:pPr>
              <w:spacing w:after="0"/>
              <w:rPr>
                <w:sz w:val="10"/>
                <w:szCs w:val="10"/>
                <w:color w:val="auto"/>
              </w:rPr>
            </w:pPr>
          </w:p>
        </w:tc>
        <w:tc>
          <w:tcPr>
            <w:tcW w:w="340" w:type="dxa"/>
            <w:vAlign w:val="bottom"/>
          </w:tcPr>
          <w:p>
            <w:pPr>
              <w:spacing w:after="0"/>
              <w:rPr>
                <w:sz w:val="10"/>
                <w:szCs w:val="10"/>
                <w:color w:val="auto"/>
              </w:rPr>
            </w:pPr>
          </w:p>
        </w:tc>
        <w:tc>
          <w:tcPr>
            <w:tcW w:w="78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120" w:type="dxa"/>
            <w:vAlign w:val="bottom"/>
          </w:tcPr>
          <w:p>
            <w:pPr>
              <w:spacing w:after="0"/>
              <w:rPr>
                <w:sz w:val="10"/>
                <w:szCs w:val="10"/>
                <w:color w:val="auto"/>
              </w:rPr>
            </w:pPr>
          </w:p>
        </w:tc>
        <w:tc>
          <w:tcPr>
            <w:tcW w:w="300" w:type="dxa"/>
            <w:vAlign w:val="bottom"/>
          </w:tcPr>
          <w:p>
            <w:pPr>
              <w:spacing w:after="0"/>
              <w:rPr>
                <w:sz w:val="10"/>
                <w:szCs w:val="10"/>
                <w:color w:val="auto"/>
              </w:rPr>
            </w:pPr>
          </w:p>
        </w:tc>
        <w:tc>
          <w:tcPr>
            <w:tcW w:w="1080" w:type="dxa"/>
            <w:vAlign w:val="bottom"/>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Non-GAAP</w:t>
            </w:r>
          </w:p>
        </w:tc>
        <w:tc>
          <w:tcPr>
            <w:tcW w:w="18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9"/>
        </w:trPr>
        <w:tc>
          <w:tcPr>
            <w:tcW w:w="3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140" w:type="dxa"/>
            <w:vAlign w:val="bottom"/>
            <w:gridSpan w:val="2"/>
          </w:tcPr>
          <w:p>
            <w:pPr>
              <w:jc w:val="center"/>
              <w:ind w:right="38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140" w:type="dxa"/>
            <w:vAlign w:val="bottom"/>
          </w:tcPr>
          <w:p>
            <w:pPr>
              <w:spacing w:after="0"/>
              <w:rPr>
                <w:sz w:val="12"/>
                <w:szCs w:val="12"/>
                <w:color w:val="auto"/>
              </w:rPr>
            </w:pPr>
          </w:p>
        </w:tc>
        <w:tc>
          <w:tcPr>
            <w:tcW w:w="98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420" w:type="dxa"/>
            <w:vAlign w:val="bottom"/>
            <w:gridSpan w:val="2"/>
            <w:vMerge w:val="restart"/>
          </w:tcPr>
          <w:p>
            <w:pPr>
              <w:jc w:val="center"/>
              <w:ind w:right="300"/>
              <w:spacing w:after="0"/>
              <w:rPr>
                <w:sz w:val="20"/>
                <w:szCs w:val="20"/>
                <w:color w:val="auto"/>
              </w:rPr>
            </w:pPr>
            <w:r>
              <w:rPr>
                <w:rFonts w:ascii="Times New Roman" w:cs="Times New Roman" w:eastAsia="Times New Roman" w:hAnsi="Times New Roman"/>
                <w:sz w:val="14"/>
                <w:szCs w:val="14"/>
                <w:b w:val="1"/>
                <w:bCs w:val="1"/>
                <w:color w:val="auto"/>
              </w:rPr>
              <w:t>GAAP %</w:t>
            </w:r>
          </w:p>
        </w:tc>
        <w:tc>
          <w:tcPr>
            <w:tcW w:w="1260" w:type="dxa"/>
            <w:vAlign w:val="bottom"/>
            <w:gridSpan w:val="2"/>
          </w:tcPr>
          <w:p>
            <w:pPr>
              <w:jc w:val="center"/>
              <w:ind w:right="18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0" w:type="dxa"/>
            <w:vAlign w:val="bottom"/>
          </w:tcPr>
          <w:p>
            <w:pPr>
              <w:spacing w:after="0"/>
              <w:rPr>
                <w:sz w:val="1"/>
                <w:szCs w:val="1"/>
                <w:color w:val="auto"/>
              </w:rPr>
            </w:pPr>
          </w:p>
        </w:tc>
      </w:tr>
      <w:tr>
        <w:trPr>
          <w:trHeight w:val="148"/>
        </w:trPr>
        <w:tc>
          <w:tcPr>
            <w:tcW w:w="3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80" w:type="dxa"/>
            <w:vAlign w:val="bottom"/>
            <w:vMerge w:val="restart"/>
          </w:tcPr>
          <w:p>
            <w:pPr>
              <w:jc w:val="center"/>
              <w:ind w:right="133"/>
              <w:spacing w:after="0"/>
              <w:rPr>
                <w:sz w:val="20"/>
                <w:szCs w:val="20"/>
                <w:color w:val="auto"/>
              </w:rPr>
            </w:pPr>
            <w:r>
              <w:rPr>
                <w:rFonts w:ascii="Times New Roman" w:cs="Times New Roman" w:eastAsia="Times New Roman" w:hAnsi="Times New Roman"/>
                <w:sz w:val="14"/>
                <w:szCs w:val="14"/>
                <w:b w:val="1"/>
                <w:bCs w:val="1"/>
                <w:color w:val="auto"/>
              </w:rPr>
              <w:t>GAAP</w:t>
            </w:r>
          </w:p>
        </w:tc>
        <w:tc>
          <w:tcPr>
            <w:tcW w:w="240" w:type="dxa"/>
            <w:vAlign w:val="bottom"/>
          </w:tcPr>
          <w:p>
            <w:pPr>
              <w:spacing w:after="0"/>
              <w:rPr>
                <w:sz w:val="12"/>
                <w:szCs w:val="12"/>
                <w:color w:val="auto"/>
              </w:rPr>
            </w:pPr>
          </w:p>
        </w:tc>
        <w:tc>
          <w:tcPr>
            <w:tcW w:w="1300" w:type="dxa"/>
            <w:vAlign w:val="bottom"/>
            <w:gridSpan w:val="3"/>
          </w:tcPr>
          <w:p>
            <w:pPr>
              <w:jc w:val="center"/>
              <w:ind w:right="220"/>
              <w:spacing w:after="0" w:line="149" w:lineRule="exact"/>
              <w:rPr>
                <w:sz w:val="20"/>
                <w:szCs w:val="20"/>
                <w:color w:val="auto"/>
              </w:rPr>
            </w:pPr>
            <w:r>
              <w:rPr>
                <w:rFonts w:ascii="Times New Roman" w:cs="Times New Roman" w:eastAsia="Times New Roman" w:hAnsi="Times New Roman"/>
                <w:sz w:val="14"/>
                <w:szCs w:val="14"/>
                <w:b w:val="1"/>
                <w:bCs w:val="1"/>
                <w:color w:val="auto"/>
              </w:rPr>
              <w:t>Exchange Rate</w:t>
            </w:r>
          </w:p>
        </w:tc>
        <w:tc>
          <w:tcPr>
            <w:tcW w:w="140" w:type="dxa"/>
            <w:vAlign w:val="bottom"/>
          </w:tcPr>
          <w:p>
            <w:pPr>
              <w:spacing w:after="0"/>
              <w:rPr>
                <w:sz w:val="12"/>
                <w:szCs w:val="12"/>
                <w:color w:val="auto"/>
              </w:rPr>
            </w:pPr>
          </w:p>
        </w:tc>
        <w:tc>
          <w:tcPr>
            <w:tcW w:w="980" w:type="dxa"/>
            <w:vAlign w:val="bottom"/>
          </w:tcPr>
          <w:p>
            <w:pPr>
              <w:jc w:val="center"/>
              <w:ind w:right="56"/>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22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780" w:type="dxa"/>
            <w:vAlign w:val="bottom"/>
            <w:vMerge w:val="restart"/>
          </w:tcPr>
          <w:p>
            <w:pPr>
              <w:jc w:val="center"/>
              <w:ind w:right="273"/>
              <w:spacing w:after="0"/>
              <w:rPr>
                <w:sz w:val="20"/>
                <w:szCs w:val="20"/>
                <w:color w:val="auto"/>
              </w:rPr>
            </w:pPr>
            <w:r>
              <w:rPr>
                <w:rFonts w:ascii="Times New Roman" w:cs="Times New Roman" w:eastAsia="Times New Roman" w:hAnsi="Times New Roman"/>
                <w:sz w:val="14"/>
                <w:szCs w:val="14"/>
                <w:b w:val="1"/>
                <w:bCs w:val="1"/>
                <w:color w:val="auto"/>
              </w:rPr>
              <w:t>GAAP</w:t>
            </w:r>
          </w:p>
        </w:tc>
        <w:tc>
          <w:tcPr>
            <w:tcW w:w="200" w:type="dxa"/>
            <w:vAlign w:val="bottom"/>
          </w:tcPr>
          <w:p>
            <w:pPr>
              <w:spacing w:after="0"/>
              <w:rPr>
                <w:sz w:val="12"/>
                <w:szCs w:val="12"/>
                <w:color w:val="auto"/>
              </w:rPr>
            </w:pPr>
          </w:p>
        </w:tc>
        <w:tc>
          <w:tcPr>
            <w:tcW w:w="1420" w:type="dxa"/>
            <w:vAlign w:val="bottom"/>
            <w:gridSpan w:val="2"/>
            <w:vMerge w:val="continue"/>
          </w:tcPr>
          <w:p>
            <w:pPr>
              <w:spacing w:after="0"/>
              <w:rPr>
                <w:sz w:val="12"/>
                <w:szCs w:val="12"/>
                <w:color w:val="auto"/>
              </w:rPr>
            </w:pPr>
          </w:p>
        </w:tc>
        <w:tc>
          <w:tcPr>
            <w:tcW w:w="1260" w:type="dxa"/>
            <w:vAlign w:val="bottom"/>
            <w:gridSpan w:val="2"/>
          </w:tcPr>
          <w:p>
            <w:pPr>
              <w:jc w:val="center"/>
              <w:ind w:right="200"/>
              <w:spacing w:after="0" w:line="149" w:lineRule="exact"/>
              <w:rPr>
                <w:sz w:val="20"/>
                <w:szCs w:val="20"/>
                <w:color w:val="auto"/>
              </w:rPr>
            </w:pPr>
            <w:r>
              <w:rPr>
                <w:rFonts w:ascii="Times New Roman" w:cs="Times New Roman" w:eastAsia="Times New Roman" w:hAnsi="Times New Roman"/>
                <w:sz w:val="14"/>
                <w:szCs w:val="14"/>
                <w:b w:val="1"/>
                <w:bCs w:val="1"/>
                <w:color w:val="auto"/>
              </w:rPr>
              <w:t>Currency %</w:t>
            </w:r>
          </w:p>
        </w:tc>
        <w:tc>
          <w:tcPr>
            <w:tcW w:w="0" w:type="dxa"/>
            <w:vAlign w:val="bottom"/>
          </w:tcPr>
          <w:p>
            <w:pPr>
              <w:spacing w:after="0"/>
              <w:rPr>
                <w:sz w:val="1"/>
                <w:szCs w:val="1"/>
                <w:color w:val="auto"/>
              </w:rPr>
            </w:pPr>
          </w:p>
        </w:tc>
      </w:tr>
      <w:tr>
        <w:trPr>
          <w:trHeight w:val="173"/>
        </w:trPr>
        <w:tc>
          <w:tcPr>
            <w:tcW w:w="326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880" w:type="dxa"/>
            <w:vAlign w:val="bottom"/>
            <w:vMerge w:val="continue"/>
          </w:tcPr>
          <w:p>
            <w:pPr>
              <w:spacing w:after="0"/>
              <w:rPr>
                <w:sz w:val="15"/>
                <w:szCs w:val="15"/>
                <w:color w:val="auto"/>
              </w:rPr>
            </w:pPr>
          </w:p>
        </w:tc>
        <w:tc>
          <w:tcPr>
            <w:tcW w:w="24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140" w:type="dxa"/>
            <w:vAlign w:val="bottom"/>
            <w:gridSpan w:val="2"/>
          </w:tcPr>
          <w:p>
            <w:pPr>
              <w:jc w:val="center"/>
              <w:ind w:right="380"/>
              <w:spacing w:after="0"/>
              <w:rPr>
                <w:sz w:val="20"/>
                <w:szCs w:val="20"/>
                <w:color w:val="auto"/>
              </w:rPr>
            </w:pPr>
            <w:r>
              <w:rPr>
                <w:rFonts w:ascii="Times New Roman" w:cs="Times New Roman" w:eastAsia="Times New Roman" w:hAnsi="Times New Roman"/>
                <w:sz w:val="14"/>
                <w:szCs w:val="14"/>
                <w:b w:val="1"/>
                <w:bCs w:val="1"/>
                <w:color w:val="auto"/>
              </w:rPr>
              <w:t>Impact (1)</w:t>
            </w:r>
          </w:p>
        </w:tc>
        <w:tc>
          <w:tcPr>
            <w:tcW w:w="140" w:type="dxa"/>
            <w:vAlign w:val="bottom"/>
          </w:tcPr>
          <w:p>
            <w:pPr>
              <w:spacing w:after="0"/>
              <w:rPr>
                <w:sz w:val="15"/>
                <w:szCs w:val="15"/>
                <w:color w:val="auto"/>
              </w:rPr>
            </w:pPr>
          </w:p>
        </w:tc>
        <w:tc>
          <w:tcPr>
            <w:tcW w:w="980" w:type="dxa"/>
            <w:vAlign w:val="bottom"/>
          </w:tcPr>
          <w:p>
            <w:pPr>
              <w:jc w:val="center"/>
              <w:ind w:right="56"/>
              <w:spacing w:after="0"/>
              <w:rPr>
                <w:sz w:val="20"/>
                <w:szCs w:val="20"/>
                <w:color w:val="auto"/>
              </w:rPr>
            </w:pPr>
            <w:r>
              <w:rPr>
                <w:rFonts w:ascii="Times New Roman" w:cs="Times New Roman" w:eastAsia="Times New Roman" w:hAnsi="Times New Roman"/>
                <w:sz w:val="14"/>
                <w:szCs w:val="14"/>
                <w:b w:val="1"/>
                <w:bCs w:val="1"/>
                <w:color w:val="auto"/>
              </w:rPr>
              <w:t>Currency (2)</w:t>
            </w:r>
          </w:p>
        </w:tc>
        <w:tc>
          <w:tcPr>
            <w:tcW w:w="220" w:type="dxa"/>
            <w:vAlign w:val="bottom"/>
          </w:tcPr>
          <w:p>
            <w:pPr>
              <w:spacing w:after="0"/>
              <w:rPr>
                <w:sz w:val="15"/>
                <w:szCs w:val="15"/>
                <w:color w:val="auto"/>
              </w:rPr>
            </w:pPr>
          </w:p>
        </w:tc>
        <w:tc>
          <w:tcPr>
            <w:tcW w:w="340" w:type="dxa"/>
            <w:vAlign w:val="bottom"/>
          </w:tcPr>
          <w:p>
            <w:pPr>
              <w:spacing w:after="0"/>
              <w:rPr>
                <w:sz w:val="15"/>
                <w:szCs w:val="15"/>
                <w:color w:val="auto"/>
              </w:rPr>
            </w:pPr>
          </w:p>
        </w:tc>
        <w:tc>
          <w:tcPr>
            <w:tcW w:w="780" w:type="dxa"/>
            <w:vAlign w:val="bottom"/>
            <w:vMerge w:val="continue"/>
          </w:tcPr>
          <w:p>
            <w:pPr>
              <w:spacing w:after="0"/>
              <w:rPr>
                <w:sz w:val="15"/>
                <w:szCs w:val="15"/>
                <w:color w:val="auto"/>
              </w:rPr>
            </w:pPr>
          </w:p>
        </w:tc>
        <w:tc>
          <w:tcPr>
            <w:tcW w:w="200" w:type="dxa"/>
            <w:vAlign w:val="bottom"/>
          </w:tcPr>
          <w:p>
            <w:pPr>
              <w:spacing w:after="0"/>
              <w:rPr>
                <w:sz w:val="15"/>
                <w:szCs w:val="15"/>
                <w:color w:val="auto"/>
              </w:rPr>
            </w:pPr>
          </w:p>
        </w:tc>
        <w:tc>
          <w:tcPr>
            <w:tcW w:w="1420" w:type="dxa"/>
            <w:vAlign w:val="bottom"/>
            <w:gridSpan w:val="2"/>
          </w:tcPr>
          <w:p>
            <w:pPr>
              <w:jc w:val="center"/>
              <w:ind w:right="300"/>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26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Change (3)</w:t>
            </w:r>
          </w:p>
        </w:tc>
        <w:tc>
          <w:tcPr>
            <w:tcW w:w="0" w:type="dxa"/>
            <w:vAlign w:val="bottom"/>
          </w:tcPr>
          <w:p>
            <w:pPr>
              <w:spacing w:after="0"/>
              <w:rPr>
                <w:sz w:val="1"/>
                <w:szCs w:val="1"/>
                <w:color w:val="auto"/>
              </w:rPr>
            </w:pPr>
          </w:p>
        </w:tc>
      </w:tr>
      <w:tr>
        <w:trPr>
          <w:trHeight w:val="142"/>
        </w:trPr>
        <w:tc>
          <w:tcPr>
            <w:tcW w:w="3260" w:type="dxa"/>
            <w:vAlign w:val="bottom"/>
          </w:tcPr>
          <w:p>
            <w:pPr>
              <w:spacing w:after="0"/>
              <w:rPr>
                <w:sz w:val="12"/>
                <w:szCs w:val="12"/>
                <w:color w:val="auto"/>
              </w:rPr>
            </w:pPr>
          </w:p>
        </w:tc>
        <w:tc>
          <w:tcPr>
            <w:tcW w:w="220" w:type="dxa"/>
            <w:vAlign w:val="bottom"/>
            <w:tcBorders>
              <w:top w:val="single" w:sz="8" w:color="auto"/>
              <w:bottom w:val="single" w:sz="8" w:color="auto"/>
            </w:tcBorders>
          </w:tcPr>
          <w:p>
            <w:pPr>
              <w:spacing w:after="0"/>
              <w:rPr>
                <w:sz w:val="12"/>
                <w:szCs w:val="12"/>
                <w:color w:val="auto"/>
              </w:rPr>
            </w:pPr>
          </w:p>
        </w:tc>
        <w:tc>
          <w:tcPr>
            <w:tcW w:w="880" w:type="dxa"/>
            <w:vAlign w:val="bottom"/>
            <w:tcBorders>
              <w:top w:val="single" w:sz="8" w:color="auto"/>
              <w:bottom w:val="single" w:sz="8" w:color="auto"/>
            </w:tcBorders>
          </w:tcPr>
          <w:p>
            <w:pPr>
              <w:jc w:val="center"/>
              <w:ind w:right="133"/>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160" w:type="dxa"/>
            <w:vAlign w:val="bottom"/>
            <w:tcBorders>
              <w:top w:val="single" w:sz="8" w:color="auto"/>
              <w:bottom w:val="single" w:sz="8" w:color="auto"/>
            </w:tcBorders>
          </w:tcPr>
          <w:p>
            <w:pPr>
              <w:spacing w:after="0"/>
              <w:rPr>
                <w:sz w:val="12"/>
                <w:szCs w:val="12"/>
                <w:color w:val="auto"/>
              </w:rPr>
            </w:pPr>
          </w:p>
        </w:tc>
        <w:tc>
          <w:tcPr>
            <w:tcW w:w="940" w:type="dxa"/>
            <w:vAlign w:val="bottom"/>
            <w:tcBorders>
              <w:top w:val="single" w:sz="8" w:color="auto"/>
              <w:bottom w:val="single" w:sz="8" w:color="auto"/>
            </w:tcBorders>
          </w:tcPr>
          <w:p>
            <w:pPr>
              <w:jc w:val="center"/>
              <w:ind w:right="96"/>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200" w:type="dxa"/>
            <w:vAlign w:val="bottom"/>
          </w:tcPr>
          <w:p>
            <w:pPr>
              <w:spacing w:after="0"/>
              <w:rPr>
                <w:sz w:val="12"/>
                <w:szCs w:val="12"/>
                <w:color w:val="auto"/>
              </w:rPr>
            </w:pPr>
          </w:p>
        </w:tc>
        <w:tc>
          <w:tcPr>
            <w:tcW w:w="14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center"/>
              <w:ind w:right="56"/>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220" w:type="dxa"/>
            <w:vAlign w:val="bottom"/>
          </w:tcPr>
          <w:p>
            <w:pPr>
              <w:spacing w:after="0"/>
              <w:rPr>
                <w:sz w:val="12"/>
                <w:szCs w:val="12"/>
                <w:color w:val="auto"/>
              </w:rPr>
            </w:pPr>
          </w:p>
        </w:tc>
        <w:tc>
          <w:tcPr>
            <w:tcW w:w="340" w:type="dxa"/>
            <w:vAlign w:val="bottom"/>
            <w:tcBorders>
              <w:top w:val="single" w:sz="8" w:color="auto"/>
              <w:bottom w:val="single" w:sz="8" w:color="auto"/>
            </w:tcBorders>
          </w:tcPr>
          <w:p>
            <w:pPr>
              <w:spacing w:after="0"/>
              <w:rPr>
                <w:sz w:val="12"/>
                <w:szCs w:val="12"/>
                <w:color w:val="auto"/>
              </w:rPr>
            </w:pPr>
          </w:p>
        </w:tc>
        <w:tc>
          <w:tcPr>
            <w:tcW w:w="780" w:type="dxa"/>
            <w:vAlign w:val="bottom"/>
            <w:tcBorders>
              <w:top w:val="single" w:sz="8" w:color="auto"/>
              <w:bottom w:val="single" w:sz="8" w:color="auto"/>
            </w:tcBorders>
          </w:tcPr>
          <w:p>
            <w:pPr>
              <w:jc w:val="center"/>
              <w:ind w:right="273"/>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1120" w:type="dxa"/>
            <w:vAlign w:val="bottom"/>
            <w:tcBorders>
              <w:top w:val="single" w:sz="8" w:color="auto"/>
              <w:bottom w:val="single" w:sz="8" w:color="auto"/>
            </w:tcBorders>
          </w:tcPr>
          <w:p>
            <w:pPr>
              <w:jc w:val="center"/>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300" w:type="dxa"/>
            <w:vAlign w:val="bottom"/>
          </w:tcPr>
          <w:p>
            <w:pPr>
              <w:spacing w:after="0"/>
              <w:rPr>
                <w:sz w:val="12"/>
                <w:szCs w:val="12"/>
                <w:color w:val="auto"/>
              </w:rPr>
            </w:pPr>
          </w:p>
        </w:tc>
        <w:tc>
          <w:tcPr>
            <w:tcW w:w="1080" w:type="dxa"/>
            <w:vAlign w:val="bottom"/>
            <w:tcBorders>
              <w:top w:val="single" w:sz="8" w:color="auto"/>
              <w:bottom w:val="single" w:sz="8" w:color="auto"/>
            </w:tcBorders>
          </w:tcPr>
          <w:p>
            <w:pPr>
              <w:jc w:val="center"/>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1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licenses revenues</w:t>
            </w:r>
          </w:p>
        </w:tc>
        <w:tc>
          <w:tcPr>
            <w:tcW w:w="220" w:type="dxa"/>
            <w:vAlign w:val="bottom"/>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48,567</w:t>
            </w:r>
          </w:p>
        </w:tc>
        <w:tc>
          <w:tcPr>
            <w:tcW w:w="4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(504 )</w:t>
            </w: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49,071</w:t>
            </w:r>
          </w:p>
        </w:tc>
        <w:tc>
          <w:tcPr>
            <w:tcW w:w="56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75,351</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-35.5 %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-34.9 %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Subscription services revenues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106,776</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w:t>
            </w:r>
          </w:p>
        </w:tc>
        <w:tc>
          <w:tcPr>
            <w:tcW w:w="2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106,711</w:t>
            </w:r>
          </w:p>
        </w:tc>
        <w:tc>
          <w:tcPr>
            <w:tcW w:w="2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81,179</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31.5 %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31.5 %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support revenues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243,805</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1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(214 )</w:t>
            </w:r>
          </w:p>
        </w:tc>
        <w:tc>
          <w:tcPr>
            <w:tcW w:w="14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244,019</w:t>
            </w:r>
          </w:p>
        </w:tc>
        <w:tc>
          <w:tcPr>
            <w:tcW w:w="22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263,888</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-7.6 %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-7.5 %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 revenues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64,308</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(43 )</w:t>
            </w:r>
          </w:p>
        </w:tc>
        <w:tc>
          <w:tcPr>
            <w:tcW w:w="14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64,351</w:t>
            </w:r>
          </w:p>
        </w:tc>
        <w:tc>
          <w:tcPr>
            <w:tcW w:w="2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75,843</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-15.2 %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-15.2 %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Cost of product support revenues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33,289</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w:t>
            </w:r>
          </w:p>
        </w:tc>
        <w:tc>
          <w:tcPr>
            <w:tcW w:w="2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33,255</w:t>
            </w:r>
          </w:p>
        </w:tc>
        <w:tc>
          <w:tcPr>
            <w:tcW w:w="22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22,434</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48.4 %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48.2 %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Cost of other services revenues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50,679</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284</w:t>
            </w:r>
          </w:p>
        </w:tc>
        <w:tc>
          <w:tcPr>
            <w:tcW w:w="2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50,395</w:t>
            </w:r>
          </w:p>
        </w:tc>
        <w:tc>
          <w:tcPr>
            <w:tcW w:w="2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53,805</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-5.8 %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-6.3 %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Sales and marketing expenses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138,081</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1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(273 )</w:t>
            </w:r>
          </w:p>
        </w:tc>
        <w:tc>
          <w:tcPr>
            <w:tcW w:w="14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138,354</w:t>
            </w:r>
          </w:p>
        </w:tc>
        <w:tc>
          <w:tcPr>
            <w:tcW w:w="22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149,671</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-7.7 %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-7.6 %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Research and development expenses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118,486</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(190 )</w:t>
            </w:r>
          </w:p>
        </w:tc>
        <w:tc>
          <w:tcPr>
            <w:tcW w:w="14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118,676</w:t>
            </w:r>
          </w:p>
        </w:tc>
        <w:tc>
          <w:tcPr>
            <w:tcW w:w="2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120,530</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-1.7 %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-1.5 %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General and administrative expenses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140,537</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w:t>
            </w:r>
          </w:p>
        </w:tc>
        <w:tc>
          <w:tcPr>
            <w:tcW w:w="2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140,481</w:t>
            </w:r>
          </w:p>
        </w:tc>
        <w:tc>
          <w:tcPr>
            <w:tcW w:w="22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115,312</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21.9 %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21.8 %</w:t>
            </w:r>
          </w:p>
        </w:tc>
        <w:tc>
          <w:tcPr>
            <w:tcW w:w="0" w:type="dxa"/>
            <w:vAlign w:val="bottom"/>
          </w:tcPr>
          <w:p>
            <w:pPr>
              <w:spacing w:after="0"/>
              <w:rPr>
                <w:sz w:val="1"/>
                <w:szCs w:val="1"/>
                <w:color w:val="auto"/>
              </w:rPr>
            </w:pPr>
          </w:p>
        </w:tc>
      </w:tr>
      <w:tr>
        <w:trPr>
          <w:trHeight w:val="340"/>
        </w:trPr>
        <w:tc>
          <w:tcPr>
            <w:tcW w:w="326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88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140" w:type="dxa"/>
            <w:vAlign w:val="bottom"/>
            <w:gridSpan w:val="2"/>
          </w:tcPr>
          <w:p>
            <w:pPr>
              <w:jc w:val="center"/>
              <w:ind w:right="420"/>
              <w:spacing w:after="0"/>
              <w:rPr>
                <w:sz w:val="20"/>
                <w:szCs w:val="20"/>
                <w:color w:val="auto"/>
              </w:rPr>
            </w:pPr>
            <w:r>
              <w:rPr>
                <w:rFonts w:ascii="Times New Roman" w:cs="Times New Roman" w:eastAsia="Times New Roman" w:hAnsi="Times New Roman"/>
                <w:sz w:val="14"/>
                <w:szCs w:val="14"/>
                <w:b w:val="1"/>
                <w:bCs w:val="1"/>
                <w:color w:val="auto"/>
              </w:rPr>
              <w:t>Foreign</w:t>
            </w:r>
          </w:p>
        </w:tc>
        <w:tc>
          <w:tcPr>
            <w:tcW w:w="140" w:type="dxa"/>
            <w:vAlign w:val="bottom"/>
          </w:tcPr>
          <w:p>
            <w:pPr>
              <w:spacing w:after="0"/>
              <w:rPr>
                <w:sz w:val="24"/>
                <w:szCs w:val="24"/>
                <w:color w:val="auto"/>
              </w:rPr>
            </w:pPr>
          </w:p>
        </w:tc>
        <w:tc>
          <w:tcPr>
            <w:tcW w:w="980" w:type="dxa"/>
            <w:vAlign w:val="bottom"/>
            <w:vMerge w:val="restart"/>
          </w:tcPr>
          <w:p>
            <w:pPr>
              <w:jc w:val="center"/>
              <w:ind w:right="56"/>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220" w:type="dxa"/>
            <w:vAlign w:val="bottom"/>
          </w:tcPr>
          <w:p>
            <w:pPr>
              <w:spacing w:after="0"/>
              <w:rPr>
                <w:sz w:val="24"/>
                <w:szCs w:val="24"/>
                <w:color w:val="auto"/>
              </w:rPr>
            </w:pPr>
          </w:p>
        </w:tc>
        <w:tc>
          <w:tcPr>
            <w:tcW w:w="34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112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126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0" w:type="dxa"/>
            <w:vAlign w:val="bottom"/>
          </w:tcPr>
          <w:p>
            <w:pPr>
              <w:spacing w:after="0"/>
              <w:rPr>
                <w:sz w:val="1"/>
                <w:szCs w:val="1"/>
                <w:color w:val="auto"/>
              </w:rPr>
            </w:pPr>
          </w:p>
        </w:tc>
      </w:tr>
      <w:tr>
        <w:trPr>
          <w:trHeight w:val="149"/>
        </w:trPr>
        <w:tc>
          <w:tcPr>
            <w:tcW w:w="3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140" w:type="dxa"/>
            <w:vAlign w:val="bottom"/>
            <w:gridSpan w:val="2"/>
          </w:tcPr>
          <w:p>
            <w:pPr>
              <w:jc w:val="center"/>
              <w:ind w:right="38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140" w:type="dxa"/>
            <w:vAlign w:val="bottom"/>
          </w:tcPr>
          <w:p>
            <w:pPr>
              <w:spacing w:after="0"/>
              <w:rPr>
                <w:sz w:val="12"/>
                <w:szCs w:val="12"/>
                <w:color w:val="auto"/>
              </w:rPr>
            </w:pPr>
          </w:p>
        </w:tc>
        <w:tc>
          <w:tcPr>
            <w:tcW w:w="98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420" w:type="dxa"/>
            <w:vAlign w:val="bottom"/>
            <w:gridSpan w:val="2"/>
            <w:vMerge w:val="restart"/>
          </w:tcPr>
          <w:p>
            <w:pPr>
              <w:jc w:val="center"/>
              <w:ind w:right="300"/>
              <w:spacing w:after="0"/>
              <w:rPr>
                <w:sz w:val="20"/>
                <w:szCs w:val="20"/>
                <w:color w:val="auto"/>
              </w:rPr>
            </w:pPr>
            <w:r>
              <w:rPr>
                <w:rFonts w:ascii="Times New Roman" w:cs="Times New Roman" w:eastAsia="Times New Roman" w:hAnsi="Times New Roman"/>
                <w:sz w:val="14"/>
                <w:szCs w:val="14"/>
                <w:b w:val="1"/>
                <w:bCs w:val="1"/>
                <w:color w:val="auto"/>
              </w:rPr>
              <w:t>GAAP %</w:t>
            </w:r>
          </w:p>
        </w:tc>
        <w:tc>
          <w:tcPr>
            <w:tcW w:w="1260" w:type="dxa"/>
            <w:vAlign w:val="bottom"/>
            <w:gridSpan w:val="2"/>
          </w:tcPr>
          <w:p>
            <w:pPr>
              <w:jc w:val="center"/>
              <w:ind w:right="18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0" w:type="dxa"/>
            <w:vAlign w:val="bottom"/>
          </w:tcPr>
          <w:p>
            <w:pPr>
              <w:spacing w:after="0"/>
              <w:rPr>
                <w:sz w:val="1"/>
                <w:szCs w:val="1"/>
                <w:color w:val="auto"/>
              </w:rPr>
            </w:pPr>
          </w:p>
        </w:tc>
      </w:tr>
      <w:tr>
        <w:trPr>
          <w:trHeight w:val="148"/>
        </w:trPr>
        <w:tc>
          <w:tcPr>
            <w:tcW w:w="3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80" w:type="dxa"/>
            <w:vAlign w:val="bottom"/>
            <w:vMerge w:val="restart"/>
          </w:tcPr>
          <w:p>
            <w:pPr>
              <w:jc w:val="center"/>
              <w:ind w:right="133"/>
              <w:spacing w:after="0"/>
              <w:rPr>
                <w:sz w:val="20"/>
                <w:szCs w:val="20"/>
                <w:color w:val="auto"/>
              </w:rPr>
            </w:pPr>
            <w:r>
              <w:rPr>
                <w:rFonts w:ascii="Times New Roman" w:cs="Times New Roman" w:eastAsia="Times New Roman" w:hAnsi="Times New Roman"/>
                <w:sz w:val="14"/>
                <w:szCs w:val="14"/>
                <w:b w:val="1"/>
                <w:bCs w:val="1"/>
                <w:color w:val="auto"/>
              </w:rPr>
              <w:t>GAAP</w:t>
            </w:r>
          </w:p>
        </w:tc>
        <w:tc>
          <w:tcPr>
            <w:tcW w:w="240" w:type="dxa"/>
            <w:vAlign w:val="bottom"/>
          </w:tcPr>
          <w:p>
            <w:pPr>
              <w:spacing w:after="0"/>
              <w:rPr>
                <w:sz w:val="12"/>
                <w:szCs w:val="12"/>
                <w:color w:val="auto"/>
              </w:rPr>
            </w:pPr>
          </w:p>
        </w:tc>
        <w:tc>
          <w:tcPr>
            <w:tcW w:w="1300" w:type="dxa"/>
            <w:vAlign w:val="bottom"/>
            <w:gridSpan w:val="3"/>
          </w:tcPr>
          <w:p>
            <w:pPr>
              <w:jc w:val="center"/>
              <w:ind w:right="220"/>
              <w:spacing w:after="0" w:line="149" w:lineRule="exact"/>
              <w:rPr>
                <w:sz w:val="20"/>
                <w:szCs w:val="20"/>
                <w:color w:val="auto"/>
              </w:rPr>
            </w:pPr>
            <w:r>
              <w:rPr>
                <w:rFonts w:ascii="Times New Roman" w:cs="Times New Roman" w:eastAsia="Times New Roman" w:hAnsi="Times New Roman"/>
                <w:sz w:val="14"/>
                <w:szCs w:val="14"/>
                <w:b w:val="1"/>
                <w:bCs w:val="1"/>
                <w:color w:val="auto"/>
              </w:rPr>
              <w:t>Exchange Rate</w:t>
            </w:r>
          </w:p>
        </w:tc>
        <w:tc>
          <w:tcPr>
            <w:tcW w:w="140" w:type="dxa"/>
            <w:vAlign w:val="bottom"/>
          </w:tcPr>
          <w:p>
            <w:pPr>
              <w:spacing w:after="0"/>
              <w:rPr>
                <w:sz w:val="12"/>
                <w:szCs w:val="12"/>
                <w:color w:val="auto"/>
              </w:rPr>
            </w:pPr>
          </w:p>
        </w:tc>
        <w:tc>
          <w:tcPr>
            <w:tcW w:w="980" w:type="dxa"/>
            <w:vAlign w:val="bottom"/>
          </w:tcPr>
          <w:p>
            <w:pPr>
              <w:jc w:val="center"/>
              <w:ind w:right="56"/>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22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780" w:type="dxa"/>
            <w:vAlign w:val="bottom"/>
            <w:vMerge w:val="restart"/>
          </w:tcPr>
          <w:p>
            <w:pPr>
              <w:jc w:val="center"/>
              <w:ind w:right="273"/>
              <w:spacing w:after="0"/>
              <w:rPr>
                <w:sz w:val="20"/>
                <w:szCs w:val="20"/>
                <w:color w:val="auto"/>
              </w:rPr>
            </w:pPr>
            <w:r>
              <w:rPr>
                <w:rFonts w:ascii="Times New Roman" w:cs="Times New Roman" w:eastAsia="Times New Roman" w:hAnsi="Times New Roman"/>
                <w:sz w:val="14"/>
                <w:szCs w:val="14"/>
                <w:b w:val="1"/>
                <w:bCs w:val="1"/>
                <w:color w:val="auto"/>
              </w:rPr>
              <w:t>GAAP</w:t>
            </w:r>
          </w:p>
        </w:tc>
        <w:tc>
          <w:tcPr>
            <w:tcW w:w="200" w:type="dxa"/>
            <w:vAlign w:val="bottom"/>
          </w:tcPr>
          <w:p>
            <w:pPr>
              <w:spacing w:after="0"/>
              <w:rPr>
                <w:sz w:val="12"/>
                <w:szCs w:val="12"/>
                <w:color w:val="auto"/>
              </w:rPr>
            </w:pPr>
          </w:p>
        </w:tc>
        <w:tc>
          <w:tcPr>
            <w:tcW w:w="1420" w:type="dxa"/>
            <w:vAlign w:val="bottom"/>
            <w:gridSpan w:val="2"/>
            <w:vMerge w:val="continue"/>
          </w:tcPr>
          <w:p>
            <w:pPr>
              <w:spacing w:after="0"/>
              <w:rPr>
                <w:sz w:val="12"/>
                <w:szCs w:val="12"/>
                <w:color w:val="auto"/>
              </w:rPr>
            </w:pPr>
          </w:p>
        </w:tc>
        <w:tc>
          <w:tcPr>
            <w:tcW w:w="1260" w:type="dxa"/>
            <w:vAlign w:val="bottom"/>
            <w:gridSpan w:val="2"/>
          </w:tcPr>
          <w:p>
            <w:pPr>
              <w:jc w:val="center"/>
              <w:ind w:right="200"/>
              <w:spacing w:after="0" w:line="149" w:lineRule="exact"/>
              <w:rPr>
                <w:sz w:val="20"/>
                <w:szCs w:val="20"/>
                <w:color w:val="auto"/>
              </w:rPr>
            </w:pPr>
            <w:r>
              <w:rPr>
                <w:rFonts w:ascii="Times New Roman" w:cs="Times New Roman" w:eastAsia="Times New Roman" w:hAnsi="Times New Roman"/>
                <w:sz w:val="14"/>
                <w:szCs w:val="14"/>
                <w:b w:val="1"/>
                <w:bCs w:val="1"/>
                <w:color w:val="auto"/>
              </w:rPr>
              <w:t>Currency %</w:t>
            </w:r>
          </w:p>
        </w:tc>
        <w:tc>
          <w:tcPr>
            <w:tcW w:w="0" w:type="dxa"/>
            <w:vAlign w:val="bottom"/>
          </w:tcPr>
          <w:p>
            <w:pPr>
              <w:spacing w:after="0"/>
              <w:rPr>
                <w:sz w:val="1"/>
                <w:szCs w:val="1"/>
                <w:color w:val="auto"/>
              </w:rPr>
            </w:pPr>
          </w:p>
        </w:tc>
      </w:tr>
      <w:tr>
        <w:trPr>
          <w:trHeight w:val="173"/>
        </w:trPr>
        <w:tc>
          <w:tcPr>
            <w:tcW w:w="326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880" w:type="dxa"/>
            <w:vAlign w:val="bottom"/>
            <w:vMerge w:val="continue"/>
          </w:tcPr>
          <w:p>
            <w:pPr>
              <w:spacing w:after="0"/>
              <w:rPr>
                <w:sz w:val="15"/>
                <w:szCs w:val="15"/>
                <w:color w:val="auto"/>
              </w:rPr>
            </w:pPr>
          </w:p>
        </w:tc>
        <w:tc>
          <w:tcPr>
            <w:tcW w:w="24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140" w:type="dxa"/>
            <w:vAlign w:val="bottom"/>
            <w:gridSpan w:val="2"/>
          </w:tcPr>
          <w:p>
            <w:pPr>
              <w:jc w:val="center"/>
              <w:ind w:right="380"/>
              <w:spacing w:after="0"/>
              <w:rPr>
                <w:sz w:val="20"/>
                <w:szCs w:val="20"/>
                <w:color w:val="auto"/>
              </w:rPr>
            </w:pPr>
            <w:r>
              <w:rPr>
                <w:rFonts w:ascii="Times New Roman" w:cs="Times New Roman" w:eastAsia="Times New Roman" w:hAnsi="Times New Roman"/>
                <w:sz w:val="14"/>
                <w:szCs w:val="14"/>
                <w:b w:val="1"/>
                <w:bCs w:val="1"/>
                <w:color w:val="auto"/>
              </w:rPr>
              <w:t>Impact (1)</w:t>
            </w:r>
          </w:p>
        </w:tc>
        <w:tc>
          <w:tcPr>
            <w:tcW w:w="140" w:type="dxa"/>
            <w:vAlign w:val="bottom"/>
          </w:tcPr>
          <w:p>
            <w:pPr>
              <w:spacing w:after="0"/>
              <w:rPr>
                <w:sz w:val="15"/>
                <w:szCs w:val="15"/>
                <w:color w:val="auto"/>
              </w:rPr>
            </w:pPr>
          </w:p>
        </w:tc>
        <w:tc>
          <w:tcPr>
            <w:tcW w:w="980" w:type="dxa"/>
            <w:vAlign w:val="bottom"/>
          </w:tcPr>
          <w:p>
            <w:pPr>
              <w:jc w:val="center"/>
              <w:ind w:right="56"/>
              <w:spacing w:after="0"/>
              <w:rPr>
                <w:sz w:val="20"/>
                <w:szCs w:val="20"/>
                <w:color w:val="auto"/>
              </w:rPr>
            </w:pPr>
            <w:r>
              <w:rPr>
                <w:rFonts w:ascii="Times New Roman" w:cs="Times New Roman" w:eastAsia="Times New Roman" w:hAnsi="Times New Roman"/>
                <w:sz w:val="14"/>
                <w:szCs w:val="14"/>
                <w:b w:val="1"/>
                <w:bCs w:val="1"/>
                <w:color w:val="auto"/>
              </w:rPr>
              <w:t>Currency (2)</w:t>
            </w:r>
          </w:p>
        </w:tc>
        <w:tc>
          <w:tcPr>
            <w:tcW w:w="220" w:type="dxa"/>
            <w:vAlign w:val="bottom"/>
          </w:tcPr>
          <w:p>
            <w:pPr>
              <w:spacing w:after="0"/>
              <w:rPr>
                <w:sz w:val="15"/>
                <w:szCs w:val="15"/>
                <w:color w:val="auto"/>
              </w:rPr>
            </w:pPr>
          </w:p>
        </w:tc>
        <w:tc>
          <w:tcPr>
            <w:tcW w:w="340" w:type="dxa"/>
            <w:vAlign w:val="bottom"/>
          </w:tcPr>
          <w:p>
            <w:pPr>
              <w:spacing w:after="0"/>
              <w:rPr>
                <w:sz w:val="15"/>
                <w:szCs w:val="15"/>
                <w:color w:val="auto"/>
              </w:rPr>
            </w:pPr>
          </w:p>
        </w:tc>
        <w:tc>
          <w:tcPr>
            <w:tcW w:w="780" w:type="dxa"/>
            <w:vAlign w:val="bottom"/>
            <w:vMerge w:val="continue"/>
          </w:tcPr>
          <w:p>
            <w:pPr>
              <w:spacing w:after="0"/>
              <w:rPr>
                <w:sz w:val="15"/>
                <w:szCs w:val="15"/>
                <w:color w:val="auto"/>
              </w:rPr>
            </w:pPr>
          </w:p>
        </w:tc>
        <w:tc>
          <w:tcPr>
            <w:tcW w:w="200" w:type="dxa"/>
            <w:vAlign w:val="bottom"/>
          </w:tcPr>
          <w:p>
            <w:pPr>
              <w:spacing w:after="0"/>
              <w:rPr>
                <w:sz w:val="15"/>
                <w:szCs w:val="15"/>
                <w:color w:val="auto"/>
              </w:rPr>
            </w:pPr>
          </w:p>
        </w:tc>
        <w:tc>
          <w:tcPr>
            <w:tcW w:w="1420" w:type="dxa"/>
            <w:vAlign w:val="bottom"/>
            <w:gridSpan w:val="2"/>
          </w:tcPr>
          <w:p>
            <w:pPr>
              <w:jc w:val="center"/>
              <w:ind w:right="300"/>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26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Change (3)</w:t>
            </w:r>
          </w:p>
        </w:tc>
        <w:tc>
          <w:tcPr>
            <w:tcW w:w="0" w:type="dxa"/>
            <w:vAlign w:val="bottom"/>
          </w:tcPr>
          <w:p>
            <w:pPr>
              <w:spacing w:after="0"/>
              <w:rPr>
                <w:sz w:val="1"/>
                <w:szCs w:val="1"/>
                <w:color w:val="auto"/>
              </w:rPr>
            </w:pPr>
          </w:p>
        </w:tc>
      </w:tr>
      <w:tr>
        <w:trPr>
          <w:trHeight w:val="142"/>
        </w:trPr>
        <w:tc>
          <w:tcPr>
            <w:tcW w:w="3260" w:type="dxa"/>
            <w:vAlign w:val="bottom"/>
          </w:tcPr>
          <w:p>
            <w:pPr>
              <w:spacing w:after="0"/>
              <w:rPr>
                <w:sz w:val="12"/>
                <w:szCs w:val="12"/>
                <w:color w:val="auto"/>
              </w:rPr>
            </w:pPr>
          </w:p>
        </w:tc>
        <w:tc>
          <w:tcPr>
            <w:tcW w:w="220" w:type="dxa"/>
            <w:vAlign w:val="bottom"/>
            <w:tcBorders>
              <w:top w:val="single" w:sz="8" w:color="auto"/>
              <w:bottom w:val="single" w:sz="8" w:color="auto"/>
            </w:tcBorders>
          </w:tcPr>
          <w:p>
            <w:pPr>
              <w:spacing w:after="0"/>
              <w:rPr>
                <w:sz w:val="12"/>
                <w:szCs w:val="12"/>
                <w:color w:val="auto"/>
              </w:rPr>
            </w:pPr>
          </w:p>
        </w:tc>
        <w:tc>
          <w:tcPr>
            <w:tcW w:w="880" w:type="dxa"/>
            <w:vAlign w:val="bottom"/>
            <w:tcBorders>
              <w:top w:val="single" w:sz="8" w:color="auto"/>
              <w:bottom w:val="single" w:sz="8" w:color="auto"/>
            </w:tcBorders>
          </w:tcPr>
          <w:p>
            <w:pPr>
              <w:jc w:val="center"/>
              <w:ind w:right="133"/>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40" w:type="dxa"/>
            <w:vAlign w:val="bottom"/>
          </w:tcPr>
          <w:p>
            <w:pPr>
              <w:spacing w:after="0"/>
              <w:rPr>
                <w:sz w:val="12"/>
                <w:szCs w:val="12"/>
                <w:color w:val="auto"/>
              </w:rPr>
            </w:pPr>
          </w:p>
        </w:tc>
        <w:tc>
          <w:tcPr>
            <w:tcW w:w="160" w:type="dxa"/>
            <w:vAlign w:val="bottom"/>
            <w:tcBorders>
              <w:top w:val="single" w:sz="8" w:color="auto"/>
              <w:bottom w:val="single" w:sz="8" w:color="auto"/>
            </w:tcBorders>
          </w:tcPr>
          <w:p>
            <w:pPr>
              <w:spacing w:after="0"/>
              <w:rPr>
                <w:sz w:val="12"/>
                <w:szCs w:val="12"/>
                <w:color w:val="auto"/>
              </w:rPr>
            </w:pPr>
          </w:p>
        </w:tc>
        <w:tc>
          <w:tcPr>
            <w:tcW w:w="940" w:type="dxa"/>
            <w:vAlign w:val="bottom"/>
            <w:tcBorders>
              <w:top w:val="single" w:sz="8" w:color="auto"/>
              <w:bottom w:val="single" w:sz="8" w:color="auto"/>
            </w:tcBorders>
          </w:tcPr>
          <w:p>
            <w:pPr>
              <w:jc w:val="center"/>
              <w:ind w:right="96"/>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2023</w:t>
            </w:r>
          </w:p>
        </w:tc>
        <w:tc>
          <w:tcPr>
            <w:tcW w:w="200" w:type="dxa"/>
            <w:vAlign w:val="bottom"/>
          </w:tcPr>
          <w:p>
            <w:pPr>
              <w:spacing w:after="0"/>
              <w:rPr>
                <w:sz w:val="12"/>
                <w:szCs w:val="12"/>
                <w:color w:val="auto"/>
              </w:rPr>
            </w:pPr>
          </w:p>
        </w:tc>
        <w:tc>
          <w:tcPr>
            <w:tcW w:w="14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center"/>
              <w:ind w:right="56"/>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2023</w:t>
            </w:r>
          </w:p>
        </w:tc>
        <w:tc>
          <w:tcPr>
            <w:tcW w:w="220" w:type="dxa"/>
            <w:vAlign w:val="bottom"/>
          </w:tcPr>
          <w:p>
            <w:pPr>
              <w:spacing w:after="0"/>
              <w:rPr>
                <w:sz w:val="12"/>
                <w:szCs w:val="12"/>
                <w:color w:val="auto"/>
              </w:rPr>
            </w:pPr>
          </w:p>
        </w:tc>
        <w:tc>
          <w:tcPr>
            <w:tcW w:w="340" w:type="dxa"/>
            <w:vAlign w:val="bottom"/>
            <w:tcBorders>
              <w:top w:val="single" w:sz="8" w:color="auto"/>
              <w:bottom w:val="single" w:sz="8" w:color="auto"/>
            </w:tcBorders>
          </w:tcPr>
          <w:p>
            <w:pPr>
              <w:spacing w:after="0"/>
              <w:rPr>
                <w:sz w:val="12"/>
                <w:szCs w:val="12"/>
                <w:color w:val="auto"/>
              </w:rPr>
            </w:pPr>
          </w:p>
        </w:tc>
        <w:tc>
          <w:tcPr>
            <w:tcW w:w="780" w:type="dxa"/>
            <w:vAlign w:val="bottom"/>
            <w:tcBorders>
              <w:top w:val="single" w:sz="8" w:color="auto"/>
              <w:bottom w:val="single" w:sz="8" w:color="auto"/>
            </w:tcBorders>
          </w:tcPr>
          <w:p>
            <w:pPr>
              <w:jc w:val="center"/>
              <w:ind w:right="273"/>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200" w:type="dxa"/>
            <w:vAlign w:val="bottom"/>
          </w:tcPr>
          <w:p>
            <w:pPr>
              <w:spacing w:after="0"/>
              <w:rPr>
                <w:sz w:val="12"/>
                <w:szCs w:val="12"/>
                <w:color w:val="auto"/>
              </w:rPr>
            </w:pPr>
          </w:p>
        </w:tc>
        <w:tc>
          <w:tcPr>
            <w:tcW w:w="1120" w:type="dxa"/>
            <w:vAlign w:val="bottom"/>
            <w:tcBorders>
              <w:top w:val="single" w:sz="8" w:color="auto"/>
              <w:bottom w:val="single" w:sz="8" w:color="auto"/>
            </w:tcBorders>
          </w:tcPr>
          <w:p>
            <w:pPr>
              <w:jc w:val="center"/>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2023</w:t>
            </w:r>
          </w:p>
        </w:tc>
        <w:tc>
          <w:tcPr>
            <w:tcW w:w="300" w:type="dxa"/>
            <w:vAlign w:val="bottom"/>
          </w:tcPr>
          <w:p>
            <w:pPr>
              <w:spacing w:after="0"/>
              <w:rPr>
                <w:sz w:val="12"/>
                <w:szCs w:val="12"/>
                <w:color w:val="auto"/>
              </w:rPr>
            </w:pPr>
          </w:p>
        </w:tc>
        <w:tc>
          <w:tcPr>
            <w:tcW w:w="1080" w:type="dxa"/>
            <w:vAlign w:val="bottom"/>
            <w:tcBorders>
              <w:top w:val="single" w:sz="8" w:color="auto"/>
              <w:bottom w:val="single" w:sz="8" w:color="auto"/>
            </w:tcBorders>
          </w:tcPr>
          <w:p>
            <w:pPr>
              <w:jc w:val="center"/>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licenses revenues</w:t>
            </w:r>
          </w:p>
        </w:tc>
        <w:tc>
          <w:tcPr>
            <w:tcW w:w="220" w:type="dxa"/>
            <w:vAlign w:val="bottom"/>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75,351</w:t>
            </w:r>
          </w:p>
        </w:tc>
        <w:tc>
          <w:tcPr>
            <w:tcW w:w="4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300</w:t>
            </w:r>
          </w:p>
        </w:tc>
        <w:tc>
          <w:tcPr>
            <w:tcW w:w="200" w:type="dxa"/>
            <w:vAlign w:val="bottom"/>
            <w:shd w:val="clear" w:color="auto" w:fill="CFF0FC"/>
          </w:tcPr>
          <w:p>
            <w:pPr>
              <w:spacing w:after="0"/>
              <w:rPr>
                <w:sz w:val="18"/>
                <w:szCs w:val="18"/>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75,051</w:t>
            </w:r>
          </w:p>
        </w:tc>
        <w:tc>
          <w:tcPr>
            <w:tcW w:w="56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86,498</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-12.9 %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-13.2 %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Subscription services revenues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81,179</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296</w:t>
            </w:r>
          </w:p>
        </w:tc>
        <w:tc>
          <w:tcPr>
            <w:tcW w:w="2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80,883</w:t>
            </w:r>
          </w:p>
        </w:tc>
        <w:tc>
          <w:tcPr>
            <w:tcW w:w="2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60,746</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33.6 %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33.1 %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support revenues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263,888</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1,514</w:t>
            </w:r>
          </w:p>
        </w:tc>
        <w:tc>
          <w:tcPr>
            <w:tcW w:w="2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262,374</w:t>
            </w:r>
          </w:p>
        </w:tc>
        <w:tc>
          <w:tcPr>
            <w:tcW w:w="22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266,521</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-1.0 %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-1.6 %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 revenues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75,843</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186</w:t>
            </w:r>
          </w:p>
        </w:tc>
        <w:tc>
          <w:tcPr>
            <w:tcW w:w="2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75,657</w:t>
            </w:r>
          </w:p>
        </w:tc>
        <w:tc>
          <w:tcPr>
            <w:tcW w:w="2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85,499</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-11.3 %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-11.5 %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Cost of product support revenues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22,434</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w:t>
            </w:r>
          </w:p>
        </w:tc>
        <w:tc>
          <w:tcPr>
            <w:tcW w:w="2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22,388</w:t>
            </w:r>
          </w:p>
        </w:tc>
        <w:tc>
          <w:tcPr>
            <w:tcW w:w="22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21,264</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5.5 %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5.3 %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Cost of other services revenues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53,805</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666</w:t>
            </w:r>
          </w:p>
        </w:tc>
        <w:tc>
          <w:tcPr>
            <w:tcW w:w="2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53,139</w:t>
            </w:r>
          </w:p>
        </w:tc>
        <w:tc>
          <w:tcPr>
            <w:tcW w:w="2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55,283</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-2.7 %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-3.9 %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Sales and marketing expenses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149,671</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694</w:t>
            </w:r>
          </w:p>
        </w:tc>
        <w:tc>
          <w:tcPr>
            <w:tcW w:w="2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148,977</w:t>
            </w:r>
          </w:p>
        </w:tc>
        <w:tc>
          <w:tcPr>
            <w:tcW w:w="22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146,882</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1.9 %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1.4 %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Research and development expenses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120,530</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(1,163 )</w:t>
            </w:r>
          </w:p>
        </w:tc>
        <w:tc>
          <w:tcPr>
            <w:tcW w:w="14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121,693</w:t>
            </w:r>
          </w:p>
        </w:tc>
        <w:tc>
          <w:tcPr>
            <w:tcW w:w="2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127,428</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-5.4 %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-4.5 %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General and administrative expenses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115,312</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235</w:t>
            </w:r>
          </w:p>
        </w:tc>
        <w:tc>
          <w:tcPr>
            <w:tcW w:w="2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115,077</w:t>
            </w:r>
          </w:p>
        </w:tc>
        <w:tc>
          <w:tcPr>
            <w:tcW w:w="22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111,421</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3.5 %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3.3 %</w:t>
            </w:r>
          </w:p>
        </w:tc>
        <w:tc>
          <w:tcPr>
            <w:tcW w:w="0" w:type="dxa"/>
            <w:vAlign w:val="bottom"/>
          </w:tcPr>
          <w:p>
            <w:pPr>
              <w:spacing w:after="0"/>
              <w:rPr>
                <w:sz w:val="1"/>
                <w:szCs w:val="1"/>
                <w:color w:val="auto"/>
              </w:rPr>
            </w:pPr>
          </w:p>
        </w:tc>
      </w:tr>
    </w:tbl>
    <w:p>
      <w:pPr>
        <w:spacing w:after="0" w:line="364" w:lineRule="exact"/>
        <w:rPr>
          <w:sz w:val="20"/>
          <w:szCs w:val="20"/>
          <w:color w:val="auto"/>
        </w:rPr>
      </w:pPr>
    </w:p>
    <w:p>
      <w:pPr>
        <w:jc w:val="both"/>
        <w:ind w:left="860" w:hanging="373"/>
        <w:spacing w:after="0" w:line="272" w:lineRule="auto"/>
        <w:tabs>
          <w:tab w:leader="none" w:pos="860" w:val="left"/>
        </w:tabs>
        <w:numPr>
          <w:ilvl w:val="0"/>
          <w:numId w:val="37"/>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“Foreign Currency Exchange Rate Impact” reflects the estimated impact of fluctuations in foreign currency exchange rates on international components of our Consolidated Statements of Operations. It shows the increase (decrease) in material international revenues or expenses, as applicable, from the same period in the prior year, based on comparisons to the prior year quarterly average foreign currency exchange rates. The term “international” refers to operations outside of the United States and Canada only where the functional currency is the local currency (i.e., excluding any location whose economy is considered highly inflationary).</w:t>
      </w:r>
    </w:p>
    <w:p>
      <w:pPr>
        <w:spacing w:after="0" w:line="158" w:lineRule="exact"/>
        <w:rPr>
          <w:rFonts w:ascii="Times New Roman" w:cs="Times New Roman" w:eastAsia="Times New Roman" w:hAnsi="Times New Roman"/>
          <w:sz w:val="16"/>
          <w:szCs w:val="16"/>
          <w:color w:val="auto"/>
        </w:rPr>
      </w:pPr>
    </w:p>
    <w:p>
      <w:pPr>
        <w:ind w:left="860" w:hanging="373"/>
        <w:spacing w:after="0"/>
        <w:tabs>
          <w:tab w:leader="none" w:pos="860" w:val="left"/>
        </w:tabs>
        <w:numPr>
          <w:ilvl w:val="0"/>
          <w:numId w:val="37"/>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“Non-GAAP Constant Currency” reflects the current period GAAP amount, less the Foreign Currency Exchange Rate Impact.</w:t>
      </w:r>
    </w:p>
    <w:p>
      <w:pPr>
        <w:spacing w:after="0" w:line="194" w:lineRule="exact"/>
        <w:rPr>
          <w:rFonts w:ascii="Times New Roman" w:cs="Times New Roman" w:eastAsia="Times New Roman" w:hAnsi="Times New Roman"/>
          <w:sz w:val="16"/>
          <w:szCs w:val="16"/>
          <w:color w:val="auto"/>
        </w:rPr>
      </w:pPr>
    </w:p>
    <w:p>
      <w:pPr>
        <w:ind w:left="860" w:hanging="373"/>
        <w:spacing w:after="0" w:line="298" w:lineRule="auto"/>
        <w:tabs>
          <w:tab w:leader="none" w:pos="860" w:val="left"/>
        </w:tabs>
        <w:numPr>
          <w:ilvl w:val="0"/>
          <w:numId w:val="37"/>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“Non-GAAP Constant Currency % Change” reflects the percentage change between the current period Non-GAAP Constant Currency amount and the GAAP amount for the same period in the prior year.</w:t>
      </w:r>
    </w:p>
    <w:p>
      <w:pPr>
        <w:spacing w:after="0" w:line="33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64" w:name="page65"/>
    <w:bookmarkEnd w:id="64"/>
    <w:p>
      <w:pPr>
        <w:spacing w:after="0"/>
        <w:rPr>
          <w:sz w:val="20"/>
          <w:szCs w:val="20"/>
          <w:color w:val="auto"/>
        </w:rPr>
      </w:pPr>
      <w:r>
        <w:rPr>
          <w:rFonts w:ascii="Times New Roman" w:cs="Times New Roman" w:eastAsia="Times New Roman" w:hAnsi="Times New Roman"/>
          <w:sz w:val="18"/>
          <w:szCs w:val="18"/>
          <w:b w:val="1"/>
          <w:bCs w:val="1"/>
          <w:color w:val="auto"/>
        </w:rPr>
        <w:t>Item 7A. Quantitative and Qualitative Disclosures About Market Risk</w:t>
      </w:r>
    </w:p>
    <w:p>
      <w:pPr>
        <w:spacing w:after="0" w:line="121"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The following discussion about our market risk exposures involves forward-looking statements. Actual results could differ materially from those projected in the forward-looking statements.</w:t>
      </w:r>
    </w:p>
    <w:p>
      <w:pPr>
        <w:spacing w:after="0" w:line="16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We are exposed to the impact of market price changes in bitcoin and foreign currency fluctuations.</w:t>
      </w:r>
    </w:p>
    <w:p>
      <w:pPr>
        <w:spacing w:after="0" w:line="22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b w:val="1"/>
          <w:bCs w:val="1"/>
          <w:i w:val="1"/>
          <w:iCs w:val="1"/>
          <w:color w:val="auto"/>
        </w:rPr>
        <w:t xml:space="preserve">Market Price Risk of Bitcoin. </w:t>
      </w:r>
      <w:r>
        <w:rPr>
          <w:rFonts w:ascii="Times New Roman" w:cs="Times New Roman" w:eastAsia="Times New Roman" w:hAnsi="Times New Roman"/>
          <w:sz w:val="18"/>
          <w:szCs w:val="18"/>
          <w:color w:val="auto"/>
        </w:rPr>
        <w:t>We have used a significant portion of our cash, including cash generated from capital raising transactions, to acquire bitcoin</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and, as of December 31, 2024, we held approximately 447,470 bitcoins. The carrying value of our bitcoins as of December 31, 2024 was $23.909 billion, which reflects cumulative impairments of $4.059 billion, on our Consolidated Balance Sheet. As discussed in Note 2(g), Summary of Significant Accounting Policies – Digital Assets, to the Consolidated Financial Statements, we account for our bitcoin as indefinite-lived intangible assets, which are subject to impairment losses if the fair value of our bitcoin decreases below their carrying value at any time since their acquisition. Impairment losses cannot be recovered for any subsequent increase in fair value. For example, the market price of one bitcoin on the Coinbase exchange (our principal market for bitcoin) ranged from a low of $38,501.00 to a high of $108,388.88 during the year ended December 31, 2024, but the carrying value of each bitcoin we held at the end of the reporting period reflects the lowest price of one bitcoin quoted on the active exchange at any time since its acquisition. Therefore, negative swings in the market price of bitcoin could have a material impact on our earnings and on the carrying value of our digital assets. Positive swings in the market price of bitcoin are not reflected in the carrying value of our digital assets and impact earnings only when the bitcoin is sold at a gain. For the year ended December 31, 2024, we incurred impairment losses of $1.790 billion on our bitcoin. However, as previously discussed, the accounting for our digital assets will change upon our adoption of ASU 2023-08 on January 1, 2025. See Note 3, Recent Accounting Standards, to the Consolidated Financial Statements for further information.</w:t>
      </w:r>
    </w:p>
    <w:p>
      <w:pPr>
        <w:spacing w:after="0" w:line="187"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Foreign Currency Risk. </w:t>
      </w:r>
      <w:r>
        <w:rPr>
          <w:rFonts w:ascii="Times New Roman" w:cs="Times New Roman" w:eastAsia="Times New Roman" w:hAnsi="Times New Roman"/>
          <w:sz w:val="18"/>
          <w:szCs w:val="18"/>
          <w:color w:val="auto"/>
        </w:rPr>
        <w:t>We conduct a significant portion of our business in currencies other than the U.S. dollar, the currency in which we report our</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Consolidated Financial Statements. International revenues accounted for 44.0%, 42.7%, and 41.0% of our total revenues for the years ended December 31, 2024, 2023, and 2022, respectively. We anticipate that international revenues will continue to account for a significant portion of our total revenues. The functional currency of each of our foreign subsidiaries is generally the local currency.</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Assets and liabilities of our foreign subsidiaries are translated into U.S. dollars at exchange rates in effect as of the applicable Balance Sheet date and any resulting translation adjustments are included as an adjustment to stockholders’ equity. Revenues and expenses generated from these subsidiaries are translated at average monthly exchange rates during the quarter in which the transactions occur. Transaction gains and losses arising from transactions denominated in a currency other than the functional currency of the entity involved are included in the results of operations.</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a result of transacting in multiple currencies and reporting our Consolidated Financial Statements in U.S. dollars, our operating results may be adversely impacted by currency exchange rate fluctuations in the future. The impact of foreign currency exchange rate fluctuations on current and comparable periods is described in the “Non-GAAP Financial Measures” section under “Item 7. Management’s Discussion and Analysis of Financial Condition and Results of Operations.”</w:t>
      </w:r>
    </w:p>
    <w:p>
      <w:pPr>
        <w:spacing w:after="0" w:line="7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We cannot predict the effect of exchange rate fluctuations upon our future results. We attempt to minimize our foreign currency risk by converting our excess foreign currency held in foreign jurisdictions to U.S. dollar-denominated cash and investment accounts.</w:t>
      </w:r>
    </w:p>
    <w:p>
      <w:pPr>
        <w:spacing w:after="0" w:line="5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of December 31, 2024, a 10% adverse change in foreign currency exchange rates versus the U.S. dollar would have decreased our aggregate reported cash and cash equivalents by 5.7%. If average exchange rates during the year ended December 31, 2024 had changed unfavorably by 10%, our revenues for the year ended December 31, 2024 would have decreased by 3.9%. During the year ended December 31, 2024, our revenues were not significantly impacted by changes in weighted average exchange rates, as compared to the prior year.</w:t>
      </w:r>
    </w:p>
    <w:p>
      <w:pPr>
        <w:spacing w:after="0" w:line="284" w:lineRule="exact"/>
        <w:rPr>
          <w:sz w:val="20"/>
          <w:szCs w:val="20"/>
          <w:color w:val="auto"/>
        </w:rPr>
      </w:pPr>
    </w:p>
    <w:p>
      <w:pPr>
        <w:spacing w:after="0"/>
        <w:tabs>
          <w:tab w:leader="none" w:pos="700" w:val="left"/>
        </w:tabs>
        <w:rPr>
          <w:sz w:val="20"/>
          <w:szCs w:val="20"/>
          <w:color w:val="auto"/>
        </w:rPr>
      </w:pPr>
      <w:r>
        <w:rPr>
          <w:rFonts w:ascii="Times New Roman" w:cs="Times New Roman" w:eastAsia="Times New Roman" w:hAnsi="Times New Roman"/>
          <w:sz w:val="18"/>
          <w:szCs w:val="18"/>
          <w:b w:val="1"/>
          <w:bCs w:val="1"/>
          <w:color w:val="auto"/>
        </w:rPr>
        <w:t>Item 8.</w:t>
        <w:tab/>
        <w:t>Financial Statements and Supplementary Data</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Consolidated Financial Statements, together with the related notes and the associated Reports of Independent Registered Public Accounting Firm, are set forth on the pages indicated in Item 15.</w:t>
      </w:r>
    </w:p>
    <w:p>
      <w:pPr>
        <w:spacing w:after="0" w:line="266" w:lineRule="exact"/>
        <w:rPr>
          <w:sz w:val="20"/>
          <w:szCs w:val="20"/>
          <w:color w:val="auto"/>
        </w:rPr>
      </w:pPr>
    </w:p>
    <w:p>
      <w:pPr>
        <w:ind w:right="3660"/>
        <w:spacing w:after="0" w:line="326" w:lineRule="auto"/>
        <w:rPr>
          <w:sz w:val="20"/>
          <w:szCs w:val="20"/>
          <w:color w:val="auto"/>
        </w:rPr>
      </w:pPr>
      <w:r>
        <w:rPr>
          <w:rFonts w:ascii="Times New Roman" w:cs="Times New Roman" w:eastAsia="Times New Roman" w:hAnsi="Times New Roman"/>
          <w:sz w:val="18"/>
          <w:szCs w:val="18"/>
          <w:b w:val="1"/>
          <w:bCs w:val="1"/>
          <w:color w:val="auto"/>
        </w:rPr>
        <w:t>Item 9.</w:t>
      </w:r>
      <w:r>
        <w:rPr>
          <w:sz w:val="20"/>
          <w:szCs w:val="20"/>
          <w:color w:val="auto"/>
        </w:rPr>
        <w:t xml:space="preserve"> </w:t>
      </w:r>
      <w:r>
        <w:rPr>
          <w:rFonts w:ascii="Times New Roman" w:cs="Times New Roman" w:eastAsia="Times New Roman" w:hAnsi="Times New Roman"/>
          <w:sz w:val="18"/>
          <w:szCs w:val="18"/>
          <w:b w:val="1"/>
          <w:bCs w:val="1"/>
          <w:color w:val="auto"/>
        </w:rPr>
        <w:t xml:space="preserve">Changes in and Disagreements with Accountants on Accounting and Financial Disclosure </w:t>
      </w:r>
      <w:r>
        <w:rPr>
          <w:rFonts w:ascii="Times New Roman" w:cs="Times New Roman" w:eastAsia="Times New Roman" w:hAnsi="Times New Roman"/>
          <w:sz w:val="18"/>
          <w:szCs w:val="18"/>
          <w:color w:val="auto"/>
        </w:rPr>
        <w:t>None.</w:t>
      </w:r>
    </w:p>
    <w:p>
      <w:pPr>
        <w:spacing w:after="0" w:line="200" w:lineRule="exact"/>
        <w:rPr>
          <w:sz w:val="20"/>
          <w:szCs w:val="20"/>
          <w:color w:val="auto"/>
        </w:rPr>
      </w:pPr>
    </w:p>
    <w:p>
      <w:pPr>
        <w:spacing w:after="0" w:line="27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359" w:right="339" w:bottom="1440" w:gutter="0" w:footer="0" w:header="0"/>
        </w:sectPr>
      </w:pPr>
    </w:p>
    <w:bookmarkStart w:id="65" w:name="page66"/>
    <w:bookmarkEnd w:id="65"/>
    <w:p>
      <w:pPr>
        <w:spacing w:after="0"/>
        <w:rPr>
          <w:sz w:val="20"/>
          <w:szCs w:val="20"/>
          <w:color w:val="auto"/>
        </w:rPr>
      </w:pPr>
      <w:r>
        <w:rPr>
          <w:rFonts w:ascii="Times New Roman" w:cs="Times New Roman" w:eastAsia="Times New Roman" w:hAnsi="Times New Roman"/>
          <w:sz w:val="18"/>
          <w:szCs w:val="18"/>
          <w:b w:val="1"/>
          <w:bCs w:val="1"/>
          <w:color w:val="auto"/>
        </w:rPr>
        <w:t>Item 9A. Controls and Procedures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Evaluation of Disclosure Controls and Procedures</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Our management, with the participation of our Chief Executive Officer and Chief Financial Officer, evaluated the effectiveness of our disclosure controls and procedures (as defined in Rules 13a-15(e) and 15d-15(e) under the Exchange Act) as of the end of the period covered by this Annual Report. Management recognizes that any controls and procedures, no matter how well designed and operated, can provide only reasonable assurance of achieving their objectives, and management necessarily applies its judgment in evaluating the cost-benefit relationship of possible controls and procedures. Our disclosure controls and procedures are designed to provide reasonable assurance of achieving their control objectives. Based on the evaluation of our disclosure controls and procedures as of the end of the period covered by this Annual Report, our Chief Executive Officer and Chief Financial Officer concluded that, as of such date, our disclosure controls and procedures were effective at the reasonable assurance level.</w:t>
      </w:r>
    </w:p>
    <w:p>
      <w:pPr>
        <w:spacing w:after="0" w:line="29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Management’s Report on Internal Control Over Financial Reporting</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Our management is responsible for establishing and maintaining adequate internal control over financial reporting. Internal control over financial reporting is defined in Rules 13a-15(f) and 15d-15(f) promulgated under the Exchange Act as a process designed by, or under the supervision of, the Company’s principal executive and principal financial officers and effected by the Company’s Board of Directors, management, and other personnel, to provide reasonable assurance regarding the reliability of financial reporting and the preparation of financial statements for external purposes in accordance with GAAP. Such internal control includes those policies and procedures that (i) pertain to the maintenance of records that, in reasonable detail, accurately and fairly reflect the transactions and dispositions of the assets of the Company, (ii) provide reasonable assurance that transactions are recorded as necessary to permit preparation of financial statements in accordance with GAAP, and that receipts and expenditures of the Company are being made only in accordance with authorizations of management and directors of the Company, and (iii) provide reasonable assurance regarding prevention or timely detection of unauthorized acquisition, use, or disposition of the Company’s assets that could have a material effect on the financial statements.</w:t>
      </w:r>
    </w:p>
    <w:p>
      <w:pPr>
        <w:spacing w:after="0" w:line="80"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Because of its inherent limitations, internal control over financial reporting may not prevent or detect misstatements. Projections of any evaluation of effectiveness to future periods are subject to the risk that the control may become inadequate because of changes in conditions, or that the degree of compliance with the policies or procedures may deteriorate.</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Under the oversight of our Chief Executive Officer and Chief Financial Officer, our management conducted an assessment of the effectiveness of our internal control over financial reporting as of December 31, 2024 based on the criteria set forth in Internal Control-Integrated Framework (2013) issued by the Committee of Sponsoring Organizations of the Treadway Commission (COSO). Based on its assessment, management has determined that, as of December 31, 2024, our internal control over financial reporting is effective based on those criteria.</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Our independent registered public accounting firm, KPMG LLP, which audited the Consolidated Financial Statements included in this Annual Report, has issued an attestation report on our internal control over financial reporting. This report is included in the Reports of Independent Registered Public Accounting Firm in “Item 15. Exhibits, Financial Statement Schedules.”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Changes in Internal Control Over Financial Reporting</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No change in our internal control over financial reporting (as defined in Rules 13a-15(f) and 15d-15(f) under the Exchange Act) occurred during the three months ended December 31, 2024 that has materially affected, or is reasonably likely to materially affect, our internal control over financial reporting.</w:t>
      </w:r>
    </w:p>
    <w:p>
      <w:pPr>
        <w:spacing w:after="0" w:line="36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9B. Other Information</w:t>
      </w:r>
    </w:p>
    <w:p>
      <w:pPr>
        <w:spacing w:after="0" w:line="33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2024 Cash Bonus Determinations for Certain Executive Officers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On February 17, 2025, the Company’s Compensation Committee determined cash bonus awards for the following executive officers of the Company in the amounts set forth opposite their names, with respect to their performance in 2024:</w:t>
      </w:r>
    </w:p>
    <w:p>
      <w:pPr>
        <w:spacing w:after="0" w:line="180"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1920" w:type="dxa"/>
            <w:vAlign w:val="bottom"/>
          </w:tcPr>
          <w:p>
            <w:pPr>
              <w:spacing w:after="0"/>
              <w:rPr>
                <w:sz w:val="18"/>
                <w:szCs w:val="18"/>
                <w:color w:val="auto"/>
              </w:rPr>
            </w:pPr>
          </w:p>
        </w:tc>
        <w:tc>
          <w:tcPr>
            <w:tcW w:w="5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Phong Le</w:t>
            </w:r>
          </w:p>
        </w:tc>
        <w:tc>
          <w:tcPr>
            <w:tcW w:w="34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1500" w:type="dxa"/>
            <w:vAlign w:val="bottom"/>
            <w:shd w:val="clear" w:color="auto" w:fill="CFF0FC"/>
          </w:tcPr>
          <w:p>
            <w:pPr>
              <w:jc w:val="right"/>
              <w:ind w:right="670"/>
              <w:spacing w:after="0"/>
              <w:rPr>
                <w:sz w:val="20"/>
                <w:szCs w:val="20"/>
                <w:color w:val="auto"/>
              </w:rPr>
            </w:pPr>
            <w:r>
              <w:rPr>
                <w:rFonts w:ascii="Times New Roman" w:cs="Times New Roman" w:eastAsia="Times New Roman" w:hAnsi="Times New Roman"/>
                <w:sz w:val="18"/>
                <w:szCs w:val="18"/>
                <w:color w:val="auto"/>
              </w:rPr>
              <w:t>880,000</w:t>
            </w:r>
          </w:p>
        </w:tc>
        <w:tc>
          <w:tcPr>
            <w:tcW w:w="1900" w:type="dxa"/>
            <w:vAlign w:val="bottom"/>
          </w:tcPr>
          <w:p>
            <w:pPr>
              <w:spacing w:after="0"/>
              <w:rPr>
                <w:sz w:val="18"/>
                <w:szCs w:val="18"/>
                <w:color w:val="auto"/>
              </w:rPr>
            </w:pPr>
          </w:p>
        </w:tc>
      </w:tr>
      <w:tr>
        <w:trPr>
          <w:trHeight w:val="216"/>
        </w:trPr>
        <w:tc>
          <w:tcPr>
            <w:tcW w:w="1920" w:type="dxa"/>
            <w:vAlign w:val="bottom"/>
          </w:tcPr>
          <w:p>
            <w:pPr>
              <w:spacing w:after="0"/>
              <w:rPr>
                <w:sz w:val="18"/>
                <w:szCs w:val="18"/>
                <w:color w:val="auto"/>
              </w:rPr>
            </w:pPr>
          </w:p>
        </w:tc>
        <w:tc>
          <w:tcPr>
            <w:tcW w:w="5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i w:val="1"/>
                <w:iCs w:val="1"/>
                <w:color w:val="auto"/>
              </w:rPr>
              <w:t>President &amp; Chief Executive Officer</w:t>
            </w:r>
          </w:p>
        </w:tc>
        <w:tc>
          <w:tcPr>
            <w:tcW w:w="34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900" w:type="dxa"/>
            <w:vAlign w:val="bottom"/>
          </w:tcPr>
          <w:p>
            <w:pPr>
              <w:spacing w:after="0"/>
              <w:rPr>
                <w:sz w:val="18"/>
                <w:szCs w:val="18"/>
                <w:color w:val="auto"/>
              </w:rPr>
            </w:pPr>
          </w:p>
        </w:tc>
      </w:tr>
      <w:tr>
        <w:trPr>
          <w:trHeight w:val="196"/>
        </w:trPr>
        <w:tc>
          <w:tcPr>
            <w:tcW w:w="1920" w:type="dxa"/>
            <w:vAlign w:val="bottom"/>
          </w:tcPr>
          <w:p>
            <w:pPr>
              <w:spacing w:after="0"/>
              <w:rPr>
                <w:sz w:val="17"/>
                <w:szCs w:val="17"/>
                <w:color w:val="auto"/>
              </w:rPr>
            </w:pPr>
          </w:p>
        </w:tc>
        <w:tc>
          <w:tcPr>
            <w:tcW w:w="5580" w:type="dxa"/>
            <w:vAlign w:val="bottom"/>
          </w:tcPr>
          <w:p>
            <w:pPr>
              <w:ind w:left="20"/>
              <w:spacing w:after="0" w:line="195" w:lineRule="exact"/>
              <w:rPr>
                <w:sz w:val="20"/>
                <w:szCs w:val="20"/>
                <w:color w:val="auto"/>
              </w:rPr>
            </w:pPr>
            <w:r>
              <w:rPr>
                <w:rFonts w:ascii="Times New Roman" w:cs="Times New Roman" w:eastAsia="Times New Roman" w:hAnsi="Times New Roman"/>
                <w:sz w:val="18"/>
                <w:szCs w:val="18"/>
                <w:color w:val="auto"/>
              </w:rPr>
              <w:t>Andrew Kang</w:t>
            </w:r>
          </w:p>
        </w:tc>
        <w:tc>
          <w:tcPr>
            <w:tcW w:w="340" w:type="dxa"/>
            <w:vAlign w:val="bottom"/>
          </w:tcPr>
          <w:p>
            <w:pPr>
              <w:jc w:val="right"/>
              <w:ind w:right="70"/>
              <w:spacing w:after="0" w:line="195" w:lineRule="exact"/>
              <w:rPr>
                <w:sz w:val="20"/>
                <w:szCs w:val="20"/>
                <w:color w:val="auto"/>
              </w:rPr>
            </w:pPr>
            <w:r>
              <w:rPr>
                <w:rFonts w:ascii="Times New Roman" w:cs="Times New Roman" w:eastAsia="Times New Roman" w:hAnsi="Times New Roman"/>
                <w:sz w:val="18"/>
                <w:szCs w:val="18"/>
                <w:color w:val="auto"/>
              </w:rPr>
              <w:t>$</w:t>
            </w:r>
          </w:p>
        </w:tc>
        <w:tc>
          <w:tcPr>
            <w:tcW w:w="1500" w:type="dxa"/>
            <w:vAlign w:val="bottom"/>
          </w:tcPr>
          <w:p>
            <w:pPr>
              <w:jc w:val="right"/>
              <w:ind w:right="670"/>
              <w:spacing w:after="0" w:line="195" w:lineRule="exact"/>
              <w:rPr>
                <w:sz w:val="20"/>
                <w:szCs w:val="20"/>
                <w:color w:val="auto"/>
              </w:rPr>
            </w:pPr>
            <w:r>
              <w:rPr>
                <w:rFonts w:ascii="Times New Roman" w:cs="Times New Roman" w:eastAsia="Times New Roman" w:hAnsi="Times New Roman"/>
                <w:sz w:val="18"/>
                <w:szCs w:val="18"/>
                <w:color w:val="auto"/>
              </w:rPr>
              <w:t>550,000</w:t>
            </w:r>
          </w:p>
        </w:tc>
        <w:tc>
          <w:tcPr>
            <w:tcW w:w="1900" w:type="dxa"/>
            <w:vAlign w:val="bottom"/>
          </w:tcPr>
          <w:p>
            <w:pPr>
              <w:spacing w:after="0"/>
              <w:rPr>
                <w:sz w:val="17"/>
                <w:szCs w:val="17"/>
                <w:color w:val="auto"/>
              </w:rPr>
            </w:pPr>
          </w:p>
        </w:tc>
      </w:tr>
      <w:tr>
        <w:trPr>
          <w:trHeight w:val="236"/>
        </w:trPr>
        <w:tc>
          <w:tcPr>
            <w:tcW w:w="1920" w:type="dxa"/>
            <w:vAlign w:val="bottom"/>
          </w:tcPr>
          <w:p>
            <w:pPr>
              <w:spacing w:after="0"/>
              <w:rPr>
                <w:sz w:val="20"/>
                <w:szCs w:val="20"/>
                <w:color w:val="auto"/>
              </w:rPr>
            </w:pPr>
          </w:p>
        </w:tc>
        <w:tc>
          <w:tcPr>
            <w:tcW w:w="5580" w:type="dxa"/>
            <w:vAlign w:val="bottom"/>
          </w:tcPr>
          <w:p>
            <w:pPr>
              <w:ind w:left="20"/>
              <w:spacing w:after="0"/>
              <w:rPr>
                <w:sz w:val="20"/>
                <w:szCs w:val="20"/>
                <w:color w:val="auto"/>
              </w:rPr>
            </w:pPr>
            <w:r>
              <w:rPr>
                <w:rFonts w:ascii="Times New Roman" w:cs="Times New Roman" w:eastAsia="Times New Roman" w:hAnsi="Times New Roman"/>
                <w:sz w:val="18"/>
                <w:szCs w:val="18"/>
                <w:i w:val="1"/>
                <w:iCs w:val="1"/>
                <w:color w:val="auto"/>
              </w:rPr>
              <w:t>Executive Vice President &amp; Chief Financial Officer</w:t>
            </w:r>
          </w:p>
        </w:tc>
        <w:tc>
          <w:tcPr>
            <w:tcW w:w="340" w:type="dxa"/>
            <w:vAlign w:val="bottom"/>
          </w:tcPr>
          <w:p>
            <w:pPr>
              <w:spacing w:after="0"/>
              <w:rPr>
                <w:sz w:val="20"/>
                <w:szCs w:val="20"/>
                <w:color w:val="auto"/>
              </w:rPr>
            </w:pPr>
          </w:p>
        </w:tc>
        <w:tc>
          <w:tcPr>
            <w:tcW w:w="1500" w:type="dxa"/>
            <w:vAlign w:val="bottom"/>
          </w:tcPr>
          <w:p>
            <w:pPr>
              <w:spacing w:after="0"/>
              <w:rPr>
                <w:sz w:val="20"/>
                <w:szCs w:val="20"/>
                <w:color w:val="auto"/>
              </w:rPr>
            </w:pPr>
          </w:p>
        </w:tc>
        <w:tc>
          <w:tcPr>
            <w:tcW w:w="1900" w:type="dxa"/>
            <w:vAlign w:val="bottom"/>
          </w:tcPr>
          <w:p>
            <w:pPr>
              <w:spacing w:after="0"/>
              <w:rPr>
                <w:sz w:val="20"/>
                <w:szCs w:val="20"/>
                <w:color w:val="auto"/>
              </w:rPr>
            </w:pPr>
          </w:p>
        </w:tc>
      </w:tr>
      <w:tr>
        <w:trPr>
          <w:trHeight w:val="216"/>
        </w:trPr>
        <w:tc>
          <w:tcPr>
            <w:tcW w:w="1920" w:type="dxa"/>
            <w:vAlign w:val="bottom"/>
          </w:tcPr>
          <w:p>
            <w:pPr>
              <w:spacing w:after="0"/>
              <w:rPr>
                <w:sz w:val="18"/>
                <w:szCs w:val="18"/>
                <w:color w:val="auto"/>
              </w:rPr>
            </w:pPr>
          </w:p>
        </w:tc>
        <w:tc>
          <w:tcPr>
            <w:tcW w:w="5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W. Ming Shao</w:t>
            </w:r>
          </w:p>
        </w:tc>
        <w:tc>
          <w:tcPr>
            <w:tcW w:w="34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1500" w:type="dxa"/>
            <w:vAlign w:val="bottom"/>
            <w:shd w:val="clear" w:color="auto" w:fill="CFF0FC"/>
          </w:tcPr>
          <w:p>
            <w:pPr>
              <w:jc w:val="right"/>
              <w:ind w:right="670"/>
              <w:spacing w:after="0"/>
              <w:rPr>
                <w:sz w:val="20"/>
                <w:szCs w:val="20"/>
                <w:color w:val="auto"/>
              </w:rPr>
            </w:pPr>
            <w:r>
              <w:rPr>
                <w:rFonts w:ascii="Times New Roman" w:cs="Times New Roman" w:eastAsia="Times New Roman" w:hAnsi="Times New Roman"/>
                <w:sz w:val="18"/>
                <w:szCs w:val="18"/>
                <w:color w:val="auto"/>
              </w:rPr>
              <w:t>550,000</w:t>
            </w:r>
          </w:p>
        </w:tc>
        <w:tc>
          <w:tcPr>
            <w:tcW w:w="1900" w:type="dxa"/>
            <w:vAlign w:val="bottom"/>
          </w:tcPr>
          <w:p>
            <w:pPr>
              <w:spacing w:after="0"/>
              <w:rPr>
                <w:sz w:val="18"/>
                <w:szCs w:val="18"/>
                <w:color w:val="auto"/>
              </w:rPr>
            </w:pPr>
          </w:p>
        </w:tc>
      </w:tr>
      <w:tr>
        <w:trPr>
          <w:trHeight w:val="432"/>
        </w:trPr>
        <w:tc>
          <w:tcPr>
            <w:tcW w:w="1920" w:type="dxa"/>
            <w:vAlign w:val="bottom"/>
          </w:tcPr>
          <w:p>
            <w:pPr>
              <w:spacing w:after="0"/>
              <w:rPr>
                <w:sz w:val="24"/>
                <w:szCs w:val="24"/>
                <w:color w:val="auto"/>
              </w:rPr>
            </w:pPr>
          </w:p>
        </w:tc>
        <w:tc>
          <w:tcPr>
            <w:tcW w:w="5580" w:type="dxa"/>
            <w:vAlign w:val="bottom"/>
          </w:tcPr>
          <w:p>
            <w:pPr>
              <w:ind w:left="3620"/>
              <w:spacing w:after="0"/>
              <w:rPr>
                <w:sz w:val="20"/>
                <w:szCs w:val="20"/>
                <w:color w:val="auto"/>
              </w:rPr>
            </w:pPr>
            <w:r>
              <w:rPr>
                <w:rFonts w:ascii="Times New Roman" w:cs="Times New Roman" w:eastAsia="Times New Roman" w:hAnsi="Times New Roman"/>
                <w:sz w:val="18"/>
                <w:szCs w:val="18"/>
                <w:color w:val="auto"/>
              </w:rPr>
              <w:t>66</w:t>
            </w:r>
          </w:p>
        </w:tc>
        <w:tc>
          <w:tcPr>
            <w:tcW w:w="340" w:type="dxa"/>
            <w:vAlign w:val="bottom"/>
          </w:tcPr>
          <w:p>
            <w:pPr>
              <w:spacing w:after="0"/>
              <w:rPr>
                <w:sz w:val="24"/>
                <w:szCs w:val="24"/>
                <w:color w:val="auto"/>
              </w:rPr>
            </w:pPr>
          </w:p>
        </w:tc>
        <w:tc>
          <w:tcPr>
            <w:tcW w:w="1500" w:type="dxa"/>
            <w:vAlign w:val="bottom"/>
          </w:tcPr>
          <w:p>
            <w:pPr>
              <w:spacing w:after="0"/>
              <w:rPr>
                <w:sz w:val="24"/>
                <w:szCs w:val="24"/>
                <w:color w:val="auto"/>
              </w:rPr>
            </w:pPr>
          </w:p>
        </w:tc>
        <w:tc>
          <w:tcPr>
            <w:tcW w:w="1900" w:type="dxa"/>
            <w:vAlign w:val="bottom"/>
          </w:tcPr>
          <w:p>
            <w:pPr>
              <w:spacing w:after="0"/>
              <w:rPr>
                <w:sz w:val="24"/>
                <w:szCs w:val="24"/>
                <w:color w:val="auto"/>
              </w:rPr>
            </w:pPr>
          </w:p>
        </w:tc>
      </w:tr>
      <w:tr>
        <w:trPr>
          <w:trHeight w:val="763"/>
        </w:trPr>
        <w:tc>
          <w:tcPr>
            <w:tcW w:w="1920" w:type="dxa"/>
            <w:vAlign w:val="bottom"/>
            <w:tcBorders>
              <w:bottom w:val="single" w:sz="8" w:color="9A9A9A"/>
            </w:tcBorders>
          </w:tcPr>
          <w:p>
            <w:pPr>
              <w:spacing w:after="0"/>
              <w:rPr>
                <w:sz w:val="24"/>
                <w:szCs w:val="24"/>
                <w:color w:val="auto"/>
              </w:rPr>
            </w:pPr>
          </w:p>
        </w:tc>
        <w:tc>
          <w:tcPr>
            <w:tcW w:w="5580" w:type="dxa"/>
            <w:vAlign w:val="bottom"/>
            <w:tcBorders>
              <w:bottom w:val="single" w:sz="8" w:color="9A9A9A"/>
            </w:tcBorders>
          </w:tcPr>
          <w:p>
            <w:pPr>
              <w:spacing w:after="0"/>
              <w:rPr>
                <w:sz w:val="24"/>
                <w:szCs w:val="24"/>
                <w:color w:val="auto"/>
              </w:rPr>
            </w:pPr>
          </w:p>
        </w:tc>
        <w:tc>
          <w:tcPr>
            <w:tcW w:w="340" w:type="dxa"/>
            <w:vAlign w:val="bottom"/>
            <w:tcBorders>
              <w:bottom w:val="single" w:sz="8" w:color="9A9A9A"/>
            </w:tcBorders>
          </w:tcPr>
          <w:p>
            <w:pPr>
              <w:spacing w:after="0"/>
              <w:rPr>
                <w:sz w:val="24"/>
                <w:szCs w:val="24"/>
                <w:color w:val="auto"/>
              </w:rPr>
            </w:pPr>
          </w:p>
        </w:tc>
        <w:tc>
          <w:tcPr>
            <w:tcW w:w="1500" w:type="dxa"/>
            <w:vAlign w:val="bottom"/>
            <w:tcBorders>
              <w:bottom w:val="single" w:sz="8" w:color="9A9A9A"/>
            </w:tcBorders>
          </w:tcPr>
          <w:p>
            <w:pPr>
              <w:spacing w:after="0"/>
              <w:rPr>
                <w:sz w:val="24"/>
                <w:szCs w:val="24"/>
                <w:color w:val="auto"/>
              </w:rPr>
            </w:pPr>
          </w:p>
        </w:tc>
        <w:tc>
          <w:tcPr>
            <w:tcW w:w="19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5">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6">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305" w:right="339" w:bottom="1440" w:gutter="0" w:footer="0" w:header="0"/>
        </w:sectPr>
      </w:pPr>
    </w:p>
    <w:bookmarkStart w:id="66" w:name="page67"/>
    <w:bookmarkEnd w:id="66"/>
    <w:p>
      <w:pPr>
        <w:ind w:left="1940"/>
        <w:spacing w:after="0"/>
        <w:rPr>
          <w:sz w:val="20"/>
          <w:szCs w:val="20"/>
          <w:color w:val="auto"/>
        </w:rPr>
      </w:pPr>
      <w:r>
        <w:rPr>
          <w:rFonts w:ascii="Times New Roman" w:cs="Times New Roman" w:eastAsia="Times New Roman" w:hAnsi="Times New Roman"/>
          <w:sz w:val="18"/>
          <w:szCs w:val="18"/>
          <w:i w:val="1"/>
          <w:iCs w:val="1"/>
          <w:color w:val="auto"/>
        </w:rPr>
        <w:t>Executive Vice President &amp; General Counsel</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1222375</wp:posOffset>
            </wp:positionH>
            <wp:positionV relativeFrom="paragraph">
              <wp:posOffset>-118110</wp:posOffset>
            </wp:positionV>
            <wp:extent cx="4705985" cy="13716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7">
                      <a:extLst>
                        <a:ext uri="{28A0092B-C50C-407E-A947-70E740481C1C}"/>
                      </a:extLst>
                    </a:blip>
                    <a:srcRect/>
                    <a:stretch>
                      <a:fillRect/>
                    </a:stretch>
                  </pic:blipFill>
                  <pic:spPr bwMode="auto">
                    <a:xfrm>
                      <a:off x="0" y="0"/>
                      <a:ext cx="4705985" cy="137160"/>
                    </a:xfrm>
                    <a:prstGeom prst="rect">
                      <a:avLst/>
                    </a:prstGeom>
                    <a:noFill/>
                  </pic:spPr>
                </pic:pic>
              </a:graphicData>
            </a:graphic>
          </wp:anchor>
        </w:drawing>
      </w:r>
    </w:p>
    <w:p>
      <w:pPr>
        <w:spacing w:after="0" w:line="207"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Company’s Compensation Committee determined the foregoing awards based on its subjective evaluation of the performance of these executive officers in the context of general economic and industry conditions and Company performance during 2024.</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Salary Determinations for Certain Executive Officers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On February 17, 2025, the Company’s Compensation Committee approved the annual salaries of the following executive officers of the Company, in the amounts set forth opposite their names, effective January 1, 2025:</w:t>
      </w:r>
    </w:p>
    <w:p>
      <w:pPr>
        <w:spacing w:after="0" w:line="169" w:lineRule="exact"/>
        <w:rPr>
          <w:sz w:val="20"/>
          <w:szCs w:val="20"/>
          <w:color w:val="auto"/>
        </w:rPr>
      </w:pPr>
    </w:p>
    <w:tbl>
      <w:tblPr>
        <w:tblLayout w:type="fixed"/>
        <w:tblInd w:w="1880" w:type="dxa"/>
        <w:tblCellMar>
          <w:top w:w="0" w:type="dxa"/>
          <w:left w:w="0" w:type="dxa"/>
          <w:bottom w:w="0" w:type="dxa"/>
          <w:right w:w="0" w:type="dxa"/>
        </w:tblCellMar>
      </w:tblPr>
      <w:tr>
        <w:trPr>
          <w:trHeight w:val="207"/>
        </w:trPr>
        <w:tc>
          <w:tcPr>
            <w:tcW w:w="388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Michael Saylor</w:t>
            </w:r>
          </w:p>
        </w:tc>
        <w:tc>
          <w:tcPr>
            <w:tcW w:w="266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rPr>
              <w:t>1</w:t>
            </w:r>
          </w:p>
        </w:tc>
      </w:tr>
      <w:tr>
        <w:trPr>
          <w:trHeight w:val="236"/>
        </w:trPr>
        <w:tc>
          <w:tcPr>
            <w:tcW w:w="388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i w:val="1"/>
                <w:iCs w:val="1"/>
                <w:color w:val="auto"/>
              </w:rPr>
              <w:t>Executive Chairman</w:t>
            </w:r>
          </w:p>
        </w:tc>
        <w:tc>
          <w:tcPr>
            <w:tcW w:w="2660" w:type="dxa"/>
            <w:vAlign w:val="bottom"/>
            <w:shd w:val="clear" w:color="auto" w:fill="CFF0FC"/>
          </w:tcPr>
          <w:p>
            <w:pPr>
              <w:spacing w:after="0"/>
              <w:rPr>
                <w:sz w:val="20"/>
                <w:szCs w:val="20"/>
                <w:color w:val="auto"/>
              </w:rPr>
            </w:pPr>
          </w:p>
        </w:tc>
        <w:tc>
          <w:tcPr>
            <w:tcW w:w="980" w:type="dxa"/>
            <w:vAlign w:val="bottom"/>
            <w:shd w:val="clear" w:color="auto" w:fill="CFF0FC"/>
          </w:tcPr>
          <w:p>
            <w:pPr>
              <w:spacing w:after="0"/>
              <w:rPr>
                <w:sz w:val="20"/>
                <w:szCs w:val="20"/>
                <w:color w:val="auto"/>
              </w:rPr>
            </w:pPr>
          </w:p>
        </w:tc>
      </w:tr>
      <w:tr>
        <w:trPr>
          <w:trHeight w:val="216"/>
        </w:trPr>
        <w:tc>
          <w:tcPr>
            <w:tcW w:w="3880" w:type="dxa"/>
            <w:vAlign w:val="bottom"/>
          </w:tcPr>
          <w:p>
            <w:pPr>
              <w:spacing w:after="0"/>
              <w:rPr>
                <w:sz w:val="20"/>
                <w:szCs w:val="20"/>
                <w:color w:val="auto"/>
              </w:rPr>
            </w:pPr>
            <w:r>
              <w:rPr>
                <w:rFonts w:ascii="Times New Roman" w:cs="Times New Roman" w:eastAsia="Times New Roman" w:hAnsi="Times New Roman"/>
                <w:sz w:val="18"/>
                <w:szCs w:val="18"/>
                <w:color w:val="auto"/>
              </w:rPr>
              <w:t>Phong Le</w:t>
            </w:r>
          </w:p>
        </w:tc>
        <w:tc>
          <w:tcPr>
            <w:tcW w:w="2660" w:type="dxa"/>
            <w:vAlign w:val="bottom"/>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rPr>
              <w:t>1,100,000</w:t>
            </w:r>
          </w:p>
        </w:tc>
      </w:tr>
      <w:tr>
        <w:trPr>
          <w:trHeight w:val="216"/>
        </w:trPr>
        <w:tc>
          <w:tcPr>
            <w:tcW w:w="388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Andrew Kang</w:t>
            </w:r>
          </w:p>
        </w:tc>
        <w:tc>
          <w:tcPr>
            <w:tcW w:w="266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rPr>
              <w:t>700,000</w:t>
            </w:r>
          </w:p>
        </w:tc>
      </w:tr>
      <w:tr>
        <w:trPr>
          <w:trHeight w:val="234"/>
        </w:trPr>
        <w:tc>
          <w:tcPr>
            <w:tcW w:w="3880" w:type="dxa"/>
            <w:vAlign w:val="bottom"/>
          </w:tcPr>
          <w:p>
            <w:pPr>
              <w:spacing w:after="0"/>
              <w:rPr>
                <w:sz w:val="20"/>
                <w:szCs w:val="20"/>
                <w:color w:val="auto"/>
              </w:rPr>
            </w:pPr>
            <w:r>
              <w:rPr>
                <w:rFonts w:ascii="Times New Roman" w:cs="Times New Roman" w:eastAsia="Times New Roman" w:hAnsi="Times New Roman"/>
                <w:sz w:val="18"/>
                <w:szCs w:val="18"/>
                <w:color w:val="auto"/>
              </w:rPr>
              <w:t>W. Ming Shao</w:t>
            </w:r>
          </w:p>
        </w:tc>
        <w:tc>
          <w:tcPr>
            <w:tcW w:w="2660" w:type="dxa"/>
            <w:vAlign w:val="bottom"/>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rPr>
              <w:t>700,000</w:t>
            </w:r>
          </w:p>
        </w:tc>
      </w:tr>
    </w:tbl>
    <w:p>
      <w:pPr>
        <w:spacing w:after="0" w:line="2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Annual Discretionary Cash Bonus Targets for Certain Executive Officers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On February 17, 2025, the Company’s Compensation Committee established an annual discretionary cash bonus target for 2025 for the following executive officers of the Company in the amounts set forth opposite their names:</w:t>
      </w:r>
    </w:p>
    <w:p>
      <w:pPr>
        <w:spacing w:after="0" w:line="180" w:lineRule="exact"/>
        <w:rPr>
          <w:sz w:val="20"/>
          <w:szCs w:val="20"/>
          <w:color w:val="auto"/>
        </w:rPr>
      </w:pPr>
    </w:p>
    <w:tbl>
      <w:tblPr>
        <w:tblLayout w:type="fixed"/>
        <w:tblInd w:w="1920" w:type="dxa"/>
        <w:tblCellMar>
          <w:top w:w="0" w:type="dxa"/>
          <w:left w:w="0" w:type="dxa"/>
          <w:bottom w:w="0" w:type="dxa"/>
          <w:right w:w="0" w:type="dxa"/>
        </w:tblCellMar>
      </w:tblPr>
      <w:tr>
        <w:trPr>
          <w:trHeight w:val="216"/>
        </w:trPr>
        <w:tc>
          <w:tcPr>
            <w:tcW w:w="36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Phong Le</w:t>
            </w:r>
          </w:p>
        </w:tc>
        <w:tc>
          <w:tcPr>
            <w:tcW w:w="280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rPr>
              <w:t>1,300,000</w:t>
            </w:r>
          </w:p>
        </w:tc>
      </w:tr>
      <w:tr>
        <w:trPr>
          <w:trHeight w:val="216"/>
        </w:trPr>
        <w:tc>
          <w:tcPr>
            <w:tcW w:w="36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Andrew Kang</w:t>
            </w:r>
          </w:p>
        </w:tc>
        <w:tc>
          <w:tcPr>
            <w:tcW w:w="280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rPr>
              <w:t>600,000</w:t>
            </w:r>
          </w:p>
        </w:tc>
      </w:tr>
      <w:tr>
        <w:trPr>
          <w:trHeight w:val="216"/>
        </w:trPr>
        <w:tc>
          <w:tcPr>
            <w:tcW w:w="36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W. Ming Shao</w:t>
            </w:r>
          </w:p>
        </w:tc>
        <w:tc>
          <w:tcPr>
            <w:tcW w:w="280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rPr>
              <w:t>500,000</w:t>
            </w:r>
          </w:p>
        </w:tc>
      </w:tr>
    </w:tbl>
    <w:p>
      <w:pPr>
        <w:spacing w:after="0" w:line="19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Awards pursuant to the foregoing discretionary cash bonus target will be determined by the Company’s Compensation Committee based on its subjective evaluation of the performance of each of the executive officers in the context of general economic and industry conditions and the Company’s performance and achievement of its operational objectives during the year.</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Rule 10b5-1 Information</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None of our directors or officers adopted or terminated a Rule 10b5-1 trading arrangement or a non-Rule 10b5-1 trading arrangement (as defined in Item 408(c) of Regulation S-K) during the fourth quarter of 2024.</w:t>
      </w:r>
    </w:p>
    <w:p>
      <w:pPr>
        <w:spacing w:after="0" w:line="266" w:lineRule="exact"/>
        <w:rPr>
          <w:sz w:val="20"/>
          <w:szCs w:val="20"/>
          <w:color w:val="auto"/>
        </w:rPr>
      </w:pPr>
    </w:p>
    <w:p>
      <w:pPr>
        <w:ind w:right="5260"/>
        <w:spacing w:after="0" w:line="412" w:lineRule="auto"/>
        <w:rPr>
          <w:sz w:val="20"/>
          <w:szCs w:val="20"/>
          <w:color w:val="auto"/>
        </w:rPr>
      </w:pPr>
      <w:r>
        <w:rPr>
          <w:rFonts w:ascii="Times New Roman" w:cs="Times New Roman" w:eastAsia="Times New Roman" w:hAnsi="Times New Roman"/>
          <w:sz w:val="18"/>
          <w:szCs w:val="18"/>
          <w:b w:val="1"/>
          <w:bCs w:val="1"/>
          <w:color w:val="auto"/>
        </w:rPr>
        <w:t xml:space="preserve">Item 9C. Disclosure Regarding Foreign Jurisdictions that Prevent Inspections </w:t>
      </w:r>
      <w:r>
        <w:rPr>
          <w:rFonts w:ascii="Times New Roman" w:cs="Times New Roman" w:eastAsia="Times New Roman" w:hAnsi="Times New Roman"/>
          <w:sz w:val="18"/>
          <w:szCs w:val="18"/>
          <w:color w:val="auto"/>
        </w:rPr>
        <w:t>None.</w:t>
      </w:r>
    </w:p>
    <w:p>
      <w:pPr>
        <w:spacing w:after="0" w:line="4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3" w:right="339" w:bottom="1440" w:gutter="0" w:footer="0" w:header="0"/>
        </w:sectPr>
      </w:pPr>
    </w:p>
    <w:bookmarkStart w:id="67" w:name="page68"/>
    <w:bookmarkEnd w:id="67"/>
    <w:p>
      <w:pPr>
        <w:jc w:val="center"/>
        <w:spacing w:after="0"/>
        <w:rPr>
          <w:sz w:val="20"/>
          <w:szCs w:val="20"/>
          <w:color w:val="auto"/>
        </w:rPr>
      </w:pPr>
      <w:r>
        <w:rPr>
          <w:rFonts w:ascii="Times New Roman" w:cs="Times New Roman" w:eastAsia="Times New Roman" w:hAnsi="Times New Roman"/>
          <w:sz w:val="18"/>
          <w:szCs w:val="18"/>
          <w:b w:val="1"/>
          <w:bCs w:val="1"/>
          <w:color w:val="auto"/>
        </w:rPr>
        <w:t>PART III</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10. Directors, Executive Officers and Corporate Governance</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information required by this Item is incorporated herein by reference to the information provided under the headings “Executive Officers of the Company,” “Election of Directors – Nominees,” and “Corporate Governance and the Board of Directors and its Committees” in our definitive proxy statement for the 2025 Annual Meeting of Stockholders to be filed with the SEC not later than 120 days after the fiscal year ended December 31, 2024 (the “2025 Proxy Statement”).</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11. Executive Compensation</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information required by this Item (other than the information required by Item 402(v) of Regulation S-K) is incorporated herein by reference to the information provided under the headings “Executive and Director Compensation,” “Compensation Committee Report,” and “Corporate Governance and the Board of Directors and its Committees – Compensation Committee” in the 2025 Proxy Statement.</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12. Security Ownership of Certain Beneficial Owners and Management and Related Stockholder Matters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information required by this Item is incorporated herein by reference to the information provided under the headings “Security Ownership of Certain Beneficial Owners and Management” and “Executive and Director Compensation – Equity Compensation Plan Information” in the 2025 Proxy Statement.</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13. Certain Relationships and Related Transactions, and Director Independence</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information required by this Item is incorporated herein by reference to the information provided under the heading “Corporate Governance and the Board of Directors and its Committees” in the 2025 Proxy Statement.</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14. Principal Accountant Fees and Services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information required by this Item is incorporated herein by reference to the information provided under the heading “Independent Registered Public Accounting Firm Fees and Services” in the 2025 Proxy Statement.</w:t>
      </w:r>
    </w:p>
    <w:p>
      <w:pPr>
        <w:spacing w:after="0" w:line="200" w:lineRule="exact"/>
        <w:rPr>
          <w:sz w:val="20"/>
          <w:szCs w:val="20"/>
          <w:color w:val="auto"/>
        </w:rPr>
      </w:pPr>
    </w:p>
    <w:p>
      <w:pPr>
        <w:spacing w:after="0" w:line="3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68" w:name="page69"/>
    <w:bookmarkEnd w:id="68"/>
    <w:p>
      <w:pPr>
        <w:jc w:val="center"/>
        <w:ind w:right="-19"/>
        <w:spacing w:after="0"/>
        <w:rPr>
          <w:sz w:val="20"/>
          <w:szCs w:val="20"/>
          <w:color w:val="auto"/>
        </w:rPr>
      </w:pPr>
      <w:r>
        <w:rPr>
          <w:rFonts w:ascii="Times New Roman" w:cs="Times New Roman" w:eastAsia="Times New Roman" w:hAnsi="Times New Roman"/>
          <w:sz w:val="18"/>
          <w:szCs w:val="18"/>
          <w:b w:val="1"/>
          <w:bCs w:val="1"/>
          <w:color w:val="auto"/>
        </w:rPr>
        <w:t>PART IV</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15. Exhibits, Financial Statement Schedules</w:t>
      </w:r>
    </w:p>
    <w:p>
      <w:pPr>
        <w:spacing w:after="0" w:line="121" w:lineRule="exact"/>
        <w:rPr>
          <w:sz w:val="20"/>
          <w:szCs w:val="20"/>
          <w:color w:val="auto"/>
        </w:rPr>
      </w:pPr>
    </w:p>
    <w:p>
      <w:pPr>
        <w:ind w:left="360" w:hanging="352"/>
        <w:spacing w:after="0"/>
        <w:tabs>
          <w:tab w:leader="none" w:pos="360"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following documents are filed as part of this Annual Report:</w:t>
      </w:r>
    </w:p>
    <w:p>
      <w:pPr>
        <w:spacing w:after="0" w:line="225" w:lineRule="exact"/>
        <w:rPr>
          <w:rFonts w:ascii="Times New Roman" w:cs="Times New Roman" w:eastAsia="Times New Roman" w:hAnsi="Times New Roman"/>
          <w:sz w:val="18"/>
          <w:szCs w:val="18"/>
          <w:color w:val="auto"/>
        </w:rPr>
      </w:pPr>
    </w:p>
    <w:p>
      <w:pPr>
        <w:ind w:left="900" w:hanging="438"/>
        <w:spacing w:after="0"/>
        <w:tabs>
          <w:tab w:leader="none" w:pos="900" w:val="left"/>
        </w:tabs>
        <w:numPr>
          <w:ilvl w:val="1"/>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Consolidated Financial Statements</w:t>
      </w:r>
    </w:p>
    <w:p>
      <w:pPr>
        <w:spacing w:after="0" w:line="1" w:lineRule="exact"/>
        <w:rPr>
          <w:sz w:val="20"/>
          <w:szCs w:val="20"/>
          <w:color w:val="auto"/>
        </w:rPr>
      </w:pPr>
    </w:p>
    <w:tbl>
      <w:tblPr>
        <w:tblLayout w:type="fixed"/>
        <w:tblInd w:w="460" w:type="dxa"/>
        <w:tblCellMar>
          <w:top w:w="0" w:type="dxa"/>
          <w:left w:w="0" w:type="dxa"/>
          <w:bottom w:w="0" w:type="dxa"/>
          <w:right w:w="0" w:type="dxa"/>
        </w:tblCellMar>
      </w:tblPr>
      <w:tr>
        <w:trPr>
          <w:trHeight w:val="161"/>
        </w:trPr>
        <w:tc>
          <w:tcPr>
            <w:tcW w:w="440" w:type="dxa"/>
            <w:vAlign w:val="bottom"/>
          </w:tcPr>
          <w:p>
            <w:pPr>
              <w:spacing w:after="0"/>
              <w:rPr>
                <w:sz w:val="13"/>
                <w:szCs w:val="13"/>
                <w:color w:val="auto"/>
              </w:rPr>
            </w:pPr>
          </w:p>
        </w:tc>
        <w:tc>
          <w:tcPr>
            <w:tcW w:w="10040" w:type="dxa"/>
            <w:vAlign w:val="bottom"/>
            <w:gridSpan w:val="10"/>
            <w:vMerge w:val="restart"/>
          </w:tcPr>
          <w:p>
            <w:pPr>
              <w:spacing w:after="0"/>
              <w:rPr>
                <w:sz w:val="20"/>
                <w:szCs w:val="20"/>
                <w:color w:val="auto"/>
              </w:rPr>
            </w:pPr>
            <w:r>
              <w:rPr>
                <w:rFonts w:ascii="Times New Roman" w:cs="Times New Roman" w:eastAsia="Times New Roman" w:hAnsi="Times New Roman"/>
                <w:sz w:val="18"/>
                <w:szCs w:val="18"/>
                <w:color w:val="0000FF"/>
              </w:rPr>
              <w:t>Reports of Independent Registered Public Accounting Firm</w:t>
            </w:r>
          </w:p>
        </w:tc>
        <w:tc>
          <w:tcPr>
            <w:tcW w:w="2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w w:val="90"/>
              </w:rPr>
              <w:t>Page</w:t>
            </w:r>
          </w:p>
        </w:tc>
        <w:tc>
          <w:tcPr>
            <w:tcW w:w="0" w:type="dxa"/>
            <w:vAlign w:val="bottom"/>
          </w:tcPr>
          <w:p>
            <w:pPr>
              <w:spacing w:after="0"/>
              <w:rPr>
                <w:sz w:val="1"/>
                <w:szCs w:val="1"/>
                <w:color w:val="auto"/>
              </w:rPr>
            </w:pPr>
          </w:p>
        </w:tc>
      </w:tr>
      <w:tr>
        <w:trPr>
          <w:trHeight w:val="169"/>
        </w:trPr>
        <w:tc>
          <w:tcPr>
            <w:tcW w:w="440" w:type="dxa"/>
            <w:vAlign w:val="bottom"/>
          </w:tcPr>
          <w:p>
            <w:pPr>
              <w:spacing w:after="0"/>
              <w:rPr>
                <w:sz w:val="14"/>
                <w:szCs w:val="14"/>
                <w:color w:val="auto"/>
              </w:rPr>
            </w:pPr>
          </w:p>
        </w:tc>
        <w:tc>
          <w:tcPr>
            <w:tcW w:w="10040" w:type="dxa"/>
            <w:vAlign w:val="bottom"/>
            <w:gridSpan w:val="10"/>
            <w:vMerge w:val="continue"/>
          </w:tcPr>
          <w:p>
            <w:pPr>
              <w:spacing w:after="0"/>
              <w:rPr>
                <w:sz w:val="14"/>
                <w:szCs w:val="14"/>
                <w:color w:val="auto"/>
              </w:rPr>
            </w:pPr>
          </w:p>
        </w:tc>
        <w:tc>
          <w:tcPr>
            <w:tcW w:w="280" w:type="dxa"/>
            <w:vAlign w:val="bottom"/>
          </w:tcPr>
          <w:p>
            <w:pPr>
              <w:jc w:val="right"/>
              <w:spacing w:after="0" w:line="169" w:lineRule="exact"/>
              <w:rPr>
                <w:sz w:val="20"/>
                <w:szCs w:val="20"/>
                <w:color w:val="auto"/>
              </w:rPr>
            </w:pPr>
            <w:r>
              <w:rPr>
                <w:rFonts w:ascii="Times New Roman" w:cs="Times New Roman" w:eastAsia="Times New Roman" w:hAnsi="Times New Roman"/>
                <w:sz w:val="18"/>
                <w:szCs w:val="18"/>
                <w:color w:val="auto"/>
              </w:rPr>
              <w:t>70</w:t>
            </w:r>
          </w:p>
        </w:tc>
        <w:tc>
          <w:tcPr>
            <w:tcW w:w="0" w:type="dxa"/>
            <w:vAlign w:val="bottom"/>
          </w:tcPr>
          <w:p>
            <w:pPr>
              <w:spacing w:after="0"/>
              <w:rPr>
                <w:sz w:val="1"/>
                <w:szCs w:val="1"/>
                <w:color w:val="auto"/>
              </w:rPr>
            </w:pPr>
          </w:p>
        </w:tc>
      </w:tr>
      <w:tr>
        <w:trPr>
          <w:trHeight w:val="358"/>
        </w:trPr>
        <w:tc>
          <w:tcPr>
            <w:tcW w:w="440" w:type="dxa"/>
            <w:vAlign w:val="bottom"/>
          </w:tcPr>
          <w:p>
            <w:pPr>
              <w:spacing w:after="0"/>
              <w:rPr>
                <w:sz w:val="24"/>
                <w:szCs w:val="24"/>
                <w:color w:val="auto"/>
              </w:rPr>
            </w:pPr>
          </w:p>
        </w:tc>
        <w:tc>
          <w:tcPr>
            <w:tcW w:w="4280" w:type="dxa"/>
            <w:vAlign w:val="bottom"/>
            <w:tcBorders>
              <w:top w:val="single" w:sz="8" w:color="0000FF"/>
            </w:tcBorders>
            <w:gridSpan w:val="9"/>
          </w:tcPr>
          <w:p>
            <w:pPr>
              <w:spacing w:after="0"/>
              <w:rPr>
                <w:sz w:val="20"/>
                <w:szCs w:val="20"/>
                <w:color w:val="auto"/>
              </w:rPr>
            </w:pPr>
            <w:r>
              <w:rPr>
                <w:rFonts w:ascii="Times New Roman" w:cs="Times New Roman" w:eastAsia="Times New Roman" w:hAnsi="Times New Roman"/>
                <w:sz w:val="18"/>
                <w:szCs w:val="18"/>
                <w:color w:val="auto"/>
              </w:rPr>
              <w:t>Consolidated Financial Statements:</w:t>
            </w:r>
          </w:p>
        </w:tc>
        <w:tc>
          <w:tcPr>
            <w:tcW w:w="576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97"/>
        </w:trPr>
        <w:tc>
          <w:tcPr>
            <w:tcW w:w="44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9580" w:type="dxa"/>
            <w:vAlign w:val="bottom"/>
            <w:gridSpan w:val="9"/>
          </w:tcPr>
          <w:p>
            <w:pPr>
              <w:spacing w:after="0"/>
              <w:rPr>
                <w:sz w:val="20"/>
                <w:szCs w:val="20"/>
                <w:color w:val="auto"/>
              </w:rPr>
            </w:pPr>
            <w:r>
              <w:rPr>
                <w:rFonts w:ascii="Times New Roman" w:cs="Times New Roman" w:eastAsia="Times New Roman" w:hAnsi="Times New Roman"/>
                <w:sz w:val="18"/>
                <w:szCs w:val="18"/>
                <w:color w:val="0000FF"/>
              </w:rPr>
              <w:t>Balance Sheets</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w:t>
            </w:r>
          </w:p>
        </w:tc>
        <w:tc>
          <w:tcPr>
            <w:tcW w:w="0" w:type="dxa"/>
            <w:vAlign w:val="bottom"/>
          </w:tcPr>
          <w:p>
            <w:pPr>
              <w:spacing w:after="0"/>
              <w:rPr>
                <w:sz w:val="1"/>
                <w:szCs w:val="1"/>
                <w:color w:val="auto"/>
              </w:rPr>
            </w:pPr>
          </w:p>
        </w:tc>
      </w:tr>
      <w:tr>
        <w:trPr>
          <w:trHeight w:val="20"/>
        </w:trPr>
        <w:tc>
          <w:tcPr>
            <w:tcW w:w="440" w:type="dxa"/>
            <w:vAlign w:val="bottom"/>
          </w:tcPr>
          <w:p>
            <w:pPr>
              <w:spacing w:after="0" w:line="20" w:lineRule="exact"/>
              <w:rPr>
                <w:sz w:val="1"/>
                <w:szCs w:val="1"/>
                <w:color w:val="auto"/>
              </w:rPr>
            </w:pPr>
          </w:p>
        </w:tc>
        <w:tc>
          <w:tcPr>
            <w:tcW w:w="460" w:type="dxa"/>
            <w:vAlign w:val="bottom"/>
            <w:tcBorders>
              <w:right w:val="single" w:sz="8" w:color="0000EE"/>
            </w:tcBorders>
          </w:tcPr>
          <w:p>
            <w:pPr>
              <w:spacing w:after="0" w:line="20" w:lineRule="exact"/>
              <w:rPr>
                <w:sz w:val="1"/>
                <w:szCs w:val="1"/>
                <w:color w:val="auto"/>
              </w:rPr>
            </w:pPr>
          </w:p>
        </w:tc>
        <w:tc>
          <w:tcPr>
            <w:tcW w:w="1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940" w:type="dxa"/>
            <w:vAlign w:val="bottom"/>
            <w:tcBorders>
              <w:right w:val="single" w:sz="8" w:color="0000EE"/>
            </w:tcBorders>
            <w:shd w:val="clear" w:color="auto" w:fill="0000FF"/>
          </w:tcPr>
          <w:p>
            <w:pPr>
              <w:spacing w:after="0" w:line="20" w:lineRule="exact"/>
              <w:rPr>
                <w:sz w:val="1"/>
                <w:szCs w:val="1"/>
                <w:color w:val="auto"/>
              </w:rPr>
            </w:pPr>
          </w:p>
        </w:tc>
        <w:tc>
          <w:tcPr>
            <w:tcW w:w="7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6380" w:type="dxa"/>
            <w:vAlign w:val="bottom"/>
            <w:gridSpan w:val="2"/>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44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9580" w:type="dxa"/>
            <w:vAlign w:val="bottom"/>
            <w:gridSpan w:val="9"/>
          </w:tcPr>
          <w:p>
            <w:pPr>
              <w:spacing w:after="0"/>
              <w:rPr>
                <w:sz w:val="20"/>
                <w:szCs w:val="20"/>
                <w:color w:val="auto"/>
              </w:rPr>
            </w:pPr>
            <w:r>
              <w:rPr>
                <w:rFonts w:ascii="Times New Roman" w:cs="Times New Roman" w:eastAsia="Times New Roman" w:hAnsi="Times New Roman"/>
                <w:sz w:val="18"/>
                <w:szCs w:val="18"/>
                <w:color w:val="0000FF"/>
              </w:rPr>
              <w:t>Statements of Operations</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74</w:t>
            </w:r>
          </w:p>
        </w:tc>
        <w:tc>
          <w:tcPr>
            <w:tcW w:w="0" w:type="dxa"/>
            <w:vAlign w:val="bottom"/>
          </w:tcPr>
          <w:p>
            <w:pPr>
              <w:spacing w:after="0"/>
              <w:rPr>
                <w:sz w:val="1"/>
                <w:szCs w:val="1"/>
                <w:color w:val="auto"/>
              </w:rPr>
            </w:pPr>
          </w:p>
        </w:tc>
      </w:tr>
      <w:tr>
        <w:trPr>
          <w:trHeight w:val="20"/>
        </w:trPr>
        <w:tc>
          <w:tcPr>
            <w:tcW w:w="440" w:type="dxa"/>
            <w:vAlign w:val="bottom"/>
          </w:tcPr>
          <w:p>
            <w:pPr>
              <w:spacing w:after="0" w:line="20" w:lineRule="exact"/>
              <w:rPr>
                <w:sz w:val="1"/>
                <w:szCs w:val="1"/>
                <w:color w:val="auto"/>
              </w:rPr>
            </w:pPr>
          </w:p>
        </w:tc>
        <w:tc>
          <w:tcPr>
            <w:tcW w:w="460" w:type="dxa"/>
            <w:vAlign w:val="bottom"/>
            <w:tcBorders>
              <w:right w:val="single" w:sz="8" w:color="0000EE"/>
            </w:tcBorders>
          </w:tcPr>
          <w:p>
            <w:pPr>
              <w:spacing w:after="0" w:line="20" w:lineRule="exact"/>
              <w:rPr>
                <w:sz w:val="1"/>
                <w:szCs w:val="1"/>
                <w:color w:val="auto"/>
              </w:rPr>
            </w:pPr>
          </w:p>
        </w:tc>
        <w:tc>
          <w:tcPr>
            <w:tcW w:w="1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660" w:type="dxa"/>
            <w:vAlign w:val="bottom"/>
            <w:tcBorders>
              <w:right w:val="single" w:sz="8" w:color="0000EE"/>
            </w:tcBorders>
            <w:gridSpan w:val="2"/>
            <w:shd w:val="clear" w:color="auto" w:fill="0000FF"/>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6380" w:type="dxa"/>
            <w:vAlign w:val="bottom"/>
            <w:gridSpan w:val="2"/>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44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9580" w:type="dxa"/>
            <w:vAlign w:val="bottom"/>
            <w:gridSpan w:val="9"/>
          </w:tcPr>
          <w:p>
            <w:pPr>
              <w:spacing w:after="0"/>
              <w:rPr>
                <w:sz w:val="20"/>
                <w:szCs w:val="20"/>
                <w:color w:val="auto"/>
              </w:rPr>
            </w:pPr>
            <w:r>
              <w:rPr>
                <w:rFonts w:ascii="Times New Roman" w:cs="Times New Roman" w:eastAsia="Times New Roman" w:hAnsi="Times New Roman"/>
                <w:sz w:val="18"/>
                <w:szCs w:val="18"/>
                <w:color w:val="0000FF"/>
              </w:rPr>
              <w:t>Statements of Comprehensive (Loss) Income</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w:t>
            </w:r>
          </w:p>
        </w:tc>
        <w:tc>
          <w:tcPr>
            <w:tcW w:w="0" w:type="dxa"/>
            <w:vAlign w:val="bottom"/>
          </w:tcPr>
          <w:p>
            <w:pPr>
              <w:spacing w:after="0"/>
              <w:rPr>
                <w:sz w:val="1"/>
                <w:szCs w:val="1"/>
                <w:color w:val="auto"/>
              </w:rPr>
            </w:pPr>
          </w:p>
        </w:tc>
      </w:tr>
      <w:tr>
        <w:trPr>
          <w:trHeight w:val="20"/>
        </w:trPr>
        <w:tc>
          <w:tcPr>
            <w:tcW w:w="440" w:type="dxa"/>
            <w:vAlign w:val="bottom"/>
          </w:tcPr>
          <w:p>
            <w:pPr>
              <w:spacing w:after="0" w:line="20" w:lineRule="exact"/>
              <w:rPr>
                <w:sz w:val="1"/>
                <w:szCs w:val="1"/>
                <w:color w:val="auto"/>
              </w:rPr>
            </w:pPr>
          </w:p>
        </w:tc>
        <w:tc>
          <w:tcPr>
            <w:tcW w:w="460" w:type="dxa"/>
            <w:vAlign w:val="bottom"/>
            <w:tcBorders>
              <w:right w:val="single" w:sz="8" w:color="0000EE"/>
            </w:tcBorders>
          </w:tcPr>
          <w:p>
            <w:pPr>
              <w:spacing w:after="0" w:line="20" w:lineRule="exact"/>
              <w:rPr>
                <w:sz w:val="1"/>
                <w:szCs w:val="1"/>
                <w:color w:val="auto"/>
              </w:rPr>
            </w:pPr>
          </w:p>
        </w:tc>
        <w:tc>
          <w:tcPr>
            <w:tcW w:w="1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700" w:type="dxa"/>
            <w:vAlign w:val="bottom"/>
            <w:gridSpan w:val="3"/>
            <w:shd w:val="clear" w:color="auto" w:fill="0000FF"/>
          </w:tcPr>
          <w:p>
            <w:pPr>
              <w:spacing w:after="0" w:line="20" w:lineRule="exact"/>
              <w:rPr>
                <w:sz w:val="1"/>
                <w:szCs w:val="1"/>
                <w:color w:val="auto"/>
              </w:rPr>
            </w:pPr>
          </w:p>
        </w:tc>
        <w:tc>
          <w:tcPr>
            <w:tcW w:w="820" w:type="dxa"/>
            <w:vAlign w:val="bottom"/>
            <w:shd w:val="clear" w:color="auto" w:fill="0000FF"/>
          </w:tcPr>
          <w:p>
            <w:pPr>
              <w:spacing w:after="0" w:line="20" w:lineRule="exact"/>
              <w:rPr>
                <w:sz w:val="1"/>
                <w:szCs w:val="1"/>
                <w:color w:val="auto"/>
              </w:rPr>
            </w:pPr>
          </w:p>
        </w:tc>
        <w:tc>
          <w:tcPr>
            <w:tcW w:w="520" w:type="dxa"/>
            <w:vAlign w:val="bottom"/>
            <w:shd w:val="clear" w:color="auto" w:fill="0000FF"/>
          </w:tcPr>
          <w:p>
            <w:pPr>
              <w:spacing w:after="0" w:line="20" w:lineRule="exact"/>
              <w:rPr>
                <w:sz w:val="1"/>
                <w:szCs w:val="1"/>
                <w:color w:val="auto"/>
              </w:rPr>
            </w:pPr>
          </w:p>
        </w:tc>
        <w:tc>
          <w:tcPr>
            <w:tcW w:w="6380" w:type="dxa"/>
            <w:vAlign w:val="bottom"/>
            <w:tcBorders>
              <w:left w:val="single" w:sz="8" w:color="0000FF"/>
            </w:tcBorders>
            <w:gridSpan w:val="2"/>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44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9580" w:type="dxa"/>
            <w:vAlign w:val="bottom"/>
            <w:gridSpan w:val="9"/>
          </w:tcPr>
          <w:p>
            <w:pPr>
              <w:spacing w:after="0"/>
              <w:rPr>
                <w:sz w:val="20"/>
                <w:szCs w:val="20"/>
                <w:color w:val="auto"/>
              </w:rPr>
            </w:pPr>
            <w:r>
              <w:rPr>
                <w:rFonts w:ascii="Times New Roman" w:cs="Times New Roman" w:eastAsia="Times New Roman" w:hAnsi="Times New Roman"/>
                <w:sz w:val="18"/>
                <w:szCs w:val="18"/>
                <w:color w:val="0000FF"/>
              </w:rPr>
              <w:t>Statements of Stockholders’ Equity (Deficit)</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76</w:t>
            </w:r>
          </w:p>
        </w:tc>
        <w:tc>
          <w:tcPr>
            <w:tcW w:w="0" w:type="dxa"/>
            <w:vAlign w:val="bottom"/>
          </w:tcPr>
          <w:p>
            <w:pPr>
              <w:spacing w:after="0"/>
              <w:rPr>
                <w:sz w:val="1"/>
                <w:szCs w:val="1"/>
                <w:color w:val="auto"/>
              </w:rPr>
            </w:pPr>
          </w:p>
        </w:tc>
      </w:tr>
      <w:tr>
        <w:trPr>
          <w:trHeight w:val="20"/>
        </w:trPr>
        <w:tc>
          <w:tcPr>
            <w:tcW w:w="440" w:type="dxa"/>
            <w:vAlign w:val="bottom"/>
          </w:tcPr>
          <w:p>
            <w:pPr>
              <w:spacing w:after="0" w:line="20" w:lineRule="exact"/>
              <w:rPr>
                <w:sz w:val="1"/>
                <w:szCs w:val="1"/>
                <w:color w:val="auto"/>
              </w:rPr>
            </w:pPr>
          </w:p>
        </w:tc>
        <w:tc>
          <w:tcPr>
            <w:tcW w:w="460" w:type="dxa"/>
            <w:vAlign w:val="bottom"/>
            <w:tcBorders>
              <w:right w:val="single" w:sz="8" w:color="0000EE"/>
            </w:tcBorders>
          </w:tcPr>
          <w:p>
            <w:pPr>
              <w:spacing w:after="0" w:line="20" w:lineRule="exact"/>
              <w:rPr>
                <w:sz w:val="1"/>
                <w:szCs w:val="1"/>
                <w:color w:val="auto"/>
              </w:rPr>
            </w:pPr>
          </w:p>
        </w:tc>
        <w:tc>
          <w:tcPr>
            <w:tcW w:w="1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700" w:type="dxa"/>
            <w:vAlign w:val="bottom"/>
            <w:gridSpan w:val="3"/>
            <w:shd w:val="clear" w:color="auto" w:fill="0000FF"/>
          </w:tcPr>
          <w:p>
            <w:pPr>
              <w:spacing w:after="0" w:line="20" w:lineRule="exact"/>
              <w:rPr>
                <w:sz w:val="1"/>
                <w:szCs w:val="1"/>
                <w:color w:val="auto"/>
              </w:rPr>
            </w:pPr>
          </w:p>
        </w:tc>
        <w:tc>
          <w:tcPr>
            <w:tcW w:w="820" w:type="dxa"/>
            <w:vAlign w:val="bottom"/>
            <w:shd w:val="clear" w:color="auto" w:fill="0000FF"/>
          </w:tcPr>
          <w:p>
            <w:pPr>
              <w:spacing w:after="0" w:line="20" w:lineRule="exact"/>
              <w:rPr>
                <w:sz w:val="1"/>
                <w:szCs w:val="1"/>
                <w:color w:val="auto"/>
              </w:rPr>
            </w:pPr>
          </w:p>
        </w:tc>
        <w:tc>
          <w:tcPr>
            <w:tcW w:w="520" w:type="dxa"/>
            <w:vAlign w:val="bottom"/>
            <w:shd w:val="clear" w:color="auto" w:fill="0000FF"/>
          </w:tcPr>
          <w:p>
            <w:pPr>
              <w:spacing w:after="0" w:line="20" w:lineRule="exact"/>
              <w:rPr>
                <w:sz w:val="1"/>
                <w:szCs w:val="1"/>
                <w:color w:val="auto"/>
              </w:rPr>
            </w:pPr>
          </w:p>
        </w:tc>
        <w:tc>
          <w:tcPr>
            <w:tcW w:w="6380" w:type="dxa"/>
            <w:vAlign w:val="bottom"/>
            <w:gridSpan w:val="2"/>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44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9580" w:type="dxa"/>
            <w:vAlign w:val="bottom"/>
            <w:gridSpan w:val="9"/>
          </w:tcPr>
          <w:p>
            <w:pPr>
              <w:spacing w:after="0"/>
              <w:rPr>
                <w:sz w:val="20"/>
                <w:szCs w:val="20"/>
                <w:color w:val="auto"/>
              </w:rPr>
            </w:pPr>
            <w:r>
              <w:rPr>
                <w:rFonts w:ascii="Times New Roman" w:cs="Times New Roman" w:eastAsia="Times New Roman" w:hAnsi="Times New Roman"/>
                <w:sz w:val="18"/>
                <w:szCs w:val="18"/>
                <w:color w:val="0000FF"/>
              </w:rPr>
              <w:t>Statements of Cash Flows</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w:t>
            </w:r>
          </w:p>
        </w:tc>
        <w:tc>
          <w:tcPr>
            <w:tcW w:w="0" w:type="dxa"/>
            <w:vAlign w:val="bottom"/>
          </w:tcPr>
          <w:p>
            <w:pPr>
              <w:spacing w:after="0"/>
              <w:rPr>
                <w:sz w:val="1"/>
                <w:szCs w:val="1"/>
                <w:color w:val="auto"/>
              </w:rPr>
            </w:pPr>
          </w:p>
        </w:tc>
      </w:tr>
      <w:tr>
        <w:trPr>
          <w:trHeight w:val="20"/>
        </w:trPr>
        <w:tc>
          <w:tcPr>
            <w:tcW w:w="440" w:type="dxa"/>
            <w:vAlign w:val="bottom"/>
          </w:tcPr>
          <w:p>
            <w:pPr>
              <w:spacing w:after="0" w:line="20" w:lineRule="exact"/>
              <w:rPr>
                <w:sz w:val="1"/>
                <w:szCs w:val="1"/>
                <w:color w:val="auto"/>
              </w:rPr>
            </w:pPr>
          </w:p>
        </w:tc>
        <w:tc>
          <w:tcPr>
            <w:tcW w:w="460" w:type="dxa"/>
            <w:vAlign w:val="bottom"/>
          </w:tcPr>
          <w:p>
            <w:pPr>
              <w:spacing w:after="0" w:line="20" w:lineRule="exact"/>
              <w:rPr>
                <w:sz w:val="1"/>
                <w:szCs w:val="1"/>
                <w:color w:val="auto"/>
              </w:rPr>
            </w:pPr>
          </w:p>
        </w:tc>
        <w:tc>
          <w:tcPr>
            <w:tcW w:w="1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700" w:type="dxa"/>
            <w:vAlign w:val="bottom"/>
            <w:gridSpan w:val="3"/>
            <w:shd w:val="clear" w:color="auto" w:fill="0000FF"/>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6900" w:type="dxa"/>
            <w:vAlign w:val="bottom"/>
            <w:gridSpan w:val="3"/>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440" w:type="dxa"/>
            <w:vAlign w:val="bottom"/>
          </w:tcPr>
          <w:p>
            <w:pPr>
              <w:spacing w:after="0"/>
              <w:rPr>
                <w:sz w:val="24"/>
                <w:szCs w:val="24"/>
                <w:color w:val="auto"/>
              </w:rPr>
            </w:pPr>
          </w:p>
        </w:tc>
        <w:tc>
          <w:tcPr>
            <w:tcW w:w="10040" w:type="dxa"/>
            <w:vAlign w:val="bottom"/>
            <w:gridSpan w:val="10"/>
          </w:tcPr>
          <w:p>
            <w:pPr>
              <w:spacing w:after="0"/>
              <w:rPr>
                <w:sz w:val="20"/>
                <w:szCs w:val="20"/>
                <w:color w:val="auto"/>
              </w:rPr>
            </w:pPr>
            <w:r>
              <w:rPr>
                <w:rFonts w:ascii="Times New Roman" w:cs="Times New Roman" w:eastAsia="Times New Roman" w:hAnsi="Times New Roman"/>
                <w:sz w:val="18"/>
                <w:szCs w:val="18"/>
                <w:color w:val="0000FF"/>
              </w:rPr>
              <w:t>Notes to Consolidated Financial Statements</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w:t>
            </w:r>
          </w:p>
        </w:tc>
        <w:tc>
          <w:tcPr>
            <w:tcW w:w="0" w:type="dxa"/>
            <w:vAlign w:val="bottom"/>
          </w:tcPr>
          <w:p>
            <w:pPr>
              <w:spacing w:after="0"/>
              <w:rPr>
                <w:sz w:val="1"/>
                <w:szCs w:val="1"/>
                <w:color w:val="auto"/>
              </w:rPr>
            </w:pPr>
          </w:p>
        </w:tc>
      </w:tr>
      <w:tr>
        <w:trPr>
          <w:trHeight w:val="318"/>
        </w:trPr>
        <w:tc>
          <w:tcPr>
            <w:tcW w:w="440" w:type="dxa"/>
            <w:vAlign w:val="bottom"/>
          </w:tcPr>
          <w:p>
            <w:pPr>
              <w:jc w:val="right"/>
              <w:ind w:right="210"/>
              <w:spacing w:after="0"/>
              <w:rPr>
                <w:sz w:val="20"/>
                <w:szCs w:val="20"/>
                <w:color w:val="auto"/>
              </w:rPr>
            </w:pPr>
            <w:r>
              <w:rPr>
                <w:rFonts w:ascii="Times New Roman" w:cs="Times New Roman" w:eastAsia="Times New Roman" w:hAnsi="Times New Roman"/>
                <w:sz w:val="18"/>
                <w:szCs w:val="18"/>
                <w:color w:val="auto"/>
                <w:w w:val="88"/>
              </w:rPr>
              <w:t>2.</w:t>
            </w:r>
          </w:p>
        </w:tc>
        <w:tc>
          <w:tcPr>
            <w:tcW w:w="600" w:type="dxa"/>
            <w:vAlign w:val="bottom"/>
            <w:tcBorders>
              <w:top w:val="single" w:sz="8" w:color="0000FF"/>
              <w:bottom w:val="single" w:sz="8" w:color="0000FF"/>
            </w:tcBorders>
            <w:gridSpan w:val="2"/>
          </w:tcPr>
          <w:p>
            <w:pPr>
              <w:spacing w:after="0"/>
              <w:rPr>
                <w:sz w:val="20"/>
                <w:szCs w:val="20"/>
                <w:color w:val="auto"/>
              </w:rPr>
            </w:pPr>
            <w:r>
              <w:rPr>
                <w:rFonts w:ascii="Times New Roman" w:cs="Times New Roman" w:eastAsia="Times New Roman" w:hAnsi="Times New Roman"/>
                <w:sz w:val="18"/>
                <w:szCs w:val="18"/>
                <w:color w:val="0000FF"/>
                <w:w w:val="96"/>
              </w:rPr>
              <w:t>Exhibits</w:t>
            </w:r>
          </w:p>
        </w:tc>
        <w:tc>
          <w:tcPr>
            <w:tcW w:w="20" w:type="dxa"/>
            <w:vAlign w:val="bottom"/>
            <w:tcBorders>
              <w:top w:val="single" w:sz="8" w:color="0000FF"/>
              <w:bottom w:val="single" w:sz="8" w:color="0000EE"/>
            </w:tcBorders>
          </w:tcPr>
          <w:p>
            <w:pPr>
              <w:spacing w:after="0"/>
              <w:rPr>
                <w:sz w:val="24"/>
                <w:szCs w:val="24"/>
                <w:color w:val="auto"/>
              </w:rPr>
            </w:pPr>
          </w:p>
        </w:tc>
        <w:tc>
          <w:tcPr>
            <w:tcW w:w="2520" w:type="dxa"/>
            <w:vAlign w:val="bottom"/>
            <w:tcBorders>
              <w:top w:val="single" w:sz="8" w:color="0000FF"/>
            </w:tcBorders>
            <w:gridSpan w:val="4"/>
          </w:tcPr>
          <w:p>
            <w:pPr>
              <w:spacing w:after="0"/>
              <w:rPr>
                <w:sz w:val="24"/>
                <w:szCs w:val="24"/>
                <w:color w:val="auto"/>
              </w:rPr>
            </w:pPr>
          </w:p>
        </w:tc>
        <w:tc>
          <w:tcPr>
            <w:tcW w:w="6900" w:type="dxa"/>
            <w:vAlign w:val="bottom"/>
            <w:gridSpan w:val="3"/>
          </w:tcPr>
          <w:p>
            <w:pPr>
              <w:spacing w:after="0"/>
              <w:rPr>
                <w:sz w:val="24"/>
                <w:szCs w:val="24"/>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96"/>
              </w:rPr>
              <w:t>119</w:t>
            </w:r>
          </w:p>
        </w:tc>
        <w:tc>
          <w:tcPr>
            <w:tcW w:w="0" w:type="dxa"/>
            <w:vAlign w:val="bottom"/>
          </w:tcPr>
          <w:p>
            <w:pPr>
              <w:spacing w:after="0"/>
              <w:rPr>
                <w:sz w:val="1"/>
                <w:szCs w:val="1"/>
                <w:color w:val="auto"/>
              </w:rPr>
            </w:pPr>
          </w:p>
        </w:tc>
      </w:tr>
    </w:tbl>
    <w:p>
      <w:pPr>
        <w:spacing w:after="0" w:line="130" w:lineRule="exact"/>
        <w:rPr>
          <w:sz w:val="20"/>
          <w:szCs w:val="20"/>
          <w:color w:val="auto"/>
        </w:rPr>
      </w:pPr>
    </w:p>
    <w:p>
      <w:pPr>
        <w:ind w:left="900" w:hanging="438"/>
        <w:spacing w:after="0"/>
        <w:tabs>
          <w:tab w:leader="none" w:pos="900"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Consolidated Financial Statement Schedule</w:t>
      </w:r>
    </w:p>
    <w:p>
      <w:pPr>
        <w:spacing w:after="0" w:line="117" w:lineRule="exact"/>
        <w:rPr>
          <w:sz w:val="20"/>
          <w:szCs w:val="20"/>
          <w:color w:val="auto"/>
        </w:rPr>
      </w:pPr>
    </w:p>
    <w:tbl>
      <w:tblPr>
        <w:tblLayout w:type="fixed"/>
        <w:tblInd w:w="900" w:type="dxa"/>
        <w:tblCellMar>
          <w:top w:w="0" w:type="dxa"/>
          <w:left w:w="0" w:type="dxa"/>
          <w:bottom w:w="0" w:type="dxa"/>
          <w:right w:w="0" w:type="dxa"/>
        </w:tblCellMar>
      </w:tblPr>
      <w:tr>
        <w:trPr>
          <w:trHeight w:val="207"/>
        </w:trPr>
        <w:tc>
          <w:tcPr>
            <w:tcW w:w="3540" w:type="dxa"/>
            <w:vAlign w:val="bottom"/>
            <w:tcBorders>
              <w:bottom w:val="single" w:sz="8" w:color="0000FF"/>
            </w:tcBorders>
          </w:tcPr>
          <w:p>
            <w:pPr>
              <w:spacing w:after="0"/>
              <w:rPr>
                <w:sz w:val="20"/>
                <w:szCs w:val="20"/>
                <w:color w:val="auto"/>
              </w:rPr>
            </w:pPr>
            <w:r>
              <w:rPr>
                <w:rFonts w:ascii="Times New Roman" w:cs="Times New Roman" w:eastAsia="Times New Roman" w:hAnsi="Times New Roman"/>
                <w:sz w:val="18"/>
                <w:szCs w:val="18"/>
                <w:color w:val="0000FF"/>
                <w:w w:val="99"/>
              </w:rPr>
              <w:t>Schedule II - Valuation and Qualifying Accounts</w:t>
            </w:r>
          </w:p>
        </w:tc>
        <w:tc>
          <w:tcPr>
            <w:tcW w:w="20" w:type="dxa"/>
            <w:vAlign w:val="bottom"/>
            <w:tcBorders>
              <w:bottom w:val="single" w:sz="8" w:color="0000EE"/>
            </w:tcBorders>
          </w:tcPr>
          <w:p>
            <w:pPr>
              <w:spacing w:after="0"/>
              <w:rPr>
                <w:sz w:val="17"/>
                <w:szCs w:val="17"/>
                <w:color w:val="auto"/>
              </w:rPr>
            </w:pPr>
          </w:p>
        </w:tc>
        <w:tc>
          <w:tcPr>
            <w:tcW w:w="6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124</w:t>
            </w:r>
          </w:p>
        </w:tc>
      </w:tr>
    </w:tbl>
    <w:p>
      <w:pPr>
        <w:spacing w:after="0" w:line="225" w:lineRule="exact"/>
        <w:rPr>
          <w:sz w:val="20"/>
          <w:szCs w:val="20"/>
          <w:color w:val="auto"/>
        </w:rPr>
      </w:pPr>
    </w:p>
    <w:p>
      <w:pPr>
        <w:spacing w:after="0"/>
        <w:tabs>
          <w:tab w:leader="none" w:pos="340" w:val="left"/>
        </w:tabs>
        <w:rPr>
          <w:sz w:val="20"/>
          <w:szCs w:val="20"/>
          <w:color w:val="auto"/>
        </w:rPr>
      </w:pPr>
      <w:r>
        <w:rPr>
          <w:rFonts w:ascii="Times New Roman" w:cs="Times New Roman" w:eastAsia="Times New Roman" w:hAnsi="Times New Roman"/>
          <w:sz w:val="18"/>
          <w:szCs w:val="18"/>
          <w:color w:val="auto"/>
        </w:rPr>
        <w:t>(b)</w:t>
      </w:r>
      <w:r>
        <w:rPr>
          <w:sz w:val="20"/>
          <w:szCs w:val="20"/>
          <w:color w:val="auto"/>
        </w:rPr>
        <w:tab/>
      </w:r>
      <w:r>
        <w:rPr>
          <w:rFonts w:ascii="Times New Roman" w:cs="Times New Roman" w:eastAsia="Times New Roman" w:hAnsi="Times New Roman"/>
          <w:sz w:val="17"/>
          <w:szCs w:val="17"/>
          <w:color w:val="auto"/>
        </w:rPr>
        <w:t>Exhibits</w:t>
      </w:r>
    </w:p>
    <w:p>
      <w:pPr>
        <w:spacing w:after="0" w:line="117" w:lineRule="exact"/>
        <w:rPr>
          <w:sz w:val="20"/>
          <w:szCs w:val="20"/>
          <w:color w:val="auto"/>
        </w:rPr>
      </w:pPr>
    </w:p>
    <w:p>
      <w:pPr>
        <w:ind w:left="520"/>
        <w:spacing w:after="0"/>
        <w:rPr>
          <w:sz w:val="20"/>
          <w:szCs w:val="20"/>
          <w:color w:val="auto"/>
        </w:rPr>
      </w:pPr>
      <w:r>
        <w:rPr>
          <w:rFonts w:ascii="Times New Roman" w:cs="Times New Roman" w:eastAsia="Times New Roman" w:hAnsi="Times New Roman"/>
          <w:sz w:val="18"/>
          <w:szCs w:val="18"/>
          <w:color w:val="auto"/>
        </w:rPr>
        <w:t>We hereby file as part of this Annual Report the exhibits listed in the Index to Exhibits.</w:t>
      </w:r>
    </w:p>
    <w:p>
      <w:pPr>
        <w:spacing w:after="0" w:line="225" w:lineRule="exact"/>
        <w:rPr>
          <w:sz w:val="20"/>
          <w:szCs w:val="20"/>
          <w:color w:val="auto"/>
        </w:rPr>
      </w:pPr>
    </w:p>
    <w:p>
      <w:pPr>
        <w:spacing w:after="0"/>
        <w:tabs>
          <w:tab w:leader="none" w:pos="340" w:val="left"/>
        </w:tabs>
        <w:rPr>
          <w:sz w:val="20"/>
          <w:szCs w:val="20"/>
          <w:color w:val="auto"/>
        </w:rPr>
      </w:pPr>
      <w:r>
        <w:rPr>
          <w:rFonts w:ascii="Times New Roman" w:cs="Times New Roman" w:eastAsia="Times New Roman" w:hAnsi="Times New Roman"/>
          <w:sz w:val="18"/>
          <w:szCs w:val="18"/>
          <w:color w:val="auto"/>
        </w:rPr>
        <w:t>(c)</w:t>
      </w:r>
      <w:r>
        <w:rPr>
          <w:sz w:val="20"/>
          <w:szCs w:val="20"/>
          <w:color w:val="auto"/>
        </w:rPr>
        <w:tab/>
      </w:r>
      <w:r>
        <w:rPr>
          <w:rFonts w:ascii="Times New Roman" w:cs="Times New Roman" w:eastAsia="Times New Roman" w:hAnsi="Times New Roman"/>
          <w:sz w:val="17"/>
          <w:szCs w:val="17"/>
          <w:color w:val="auto"/>
        </w:rPr>
        <w:t>Financial Statement Schedule</w:t>
      </w:r>
    </w:p>
    <w:p>
      <w:pPr>
        <w:spacing w:after="0" w:line="117" w:lineRule="exact"/>
        <w:rPr>
          <w:sz w:val="20"/>
          <w:szCs w:val="20"/>
          <w:color w:val="auto"/>
        </w:rPr>
      </w:pPr>
    </w:p>
    <w:p>
      <w:pPr>
        <w:ind w:left="520"/>
        <w:spacing w:after="0"/>
        <w:rPr>
          <w:sz w:val="20"/>
          <w:szCs w:val="20"/>
          <w:color w:val="auto"/>
        </w:rPr>
      </w:pPr>
      <w:r>
        <w:rPr>
          <w:rFonts w:ascii="Times New Roman" w:cs="Times New Roman" w:eastAsia="Times New Roman" w:hAnsi="Times New Roman"/>
          <w:sz w:val="18"/>
          <w:szCs w:val="18"/>
          <w:color w:val="auto"/>
        </w:rPr>
        <w:t>The following financial statement schedule is filed herewith:</w:t>
      </w:r>
    </w:p>
    <w:p>
      <w:pPr>
        <w:spacing w:after="0" w:line="117" w:lineRule="exact"/>
        <w:rPr>
          <w:sz w:val="20"/>
          <w:szCs w:val="20"/>
          <w:color w:val="auto"/>
        </w:rPr>
      </w:pPr>
    </w:p>
    <w:p>
      <w:pPr>
        <w:ind w:left="520"/>
        <w:spacing w:after="0"/>
        <w:rPr>
          <w:sz w:val="20"/>
          <w:szCs w:val="20"/>
          <w:color w:val="auto"/>
        </w:rPr>
      </w:pPr>
      <w:r>
        <w:rPr>
          <w:rFonts w:ascii="Times New Roman" w:cs="Times New Roman" w:eastAsia="Times New Roman" w:hAnsi="Times New Roman"/>
          <w:sz w:val="18"/>
          <w:szCs w:val="18"/>
          <w:color w:val="auto"/>
        </w:rPr>
        <w:t>Schedule II—Valuation and Qualifying Accounts</w:t>
      </w:r>
    </w:p>
    <w:p>
      <w:pPr>
        <w:spacing w:after="0" w:line="184" w:lineRule="exact"/>
        <w:rPr>
          <w:sz w:val="20"/>
          <w:szCs w:val="20"/>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All other items included in an Annual Report on Form 10</w:t>
      </w:r>
      <w:r>
        <w:rPr>
          <w:rFonts w:ascii="MS PGothic" w:cs="MS PGothic" w:eastAsia="MS PGothic" w:hAnsi="MS PGothic"/>
          <w:sz w:val="18"/>
          <w:szCs w:val="18"/>
          <w:color w:val="auto"/>
        </w:rPr>
        <w:t>‑</w:t>
      </w:r>
      <w:r>
        <w:rPr>
          <w:rFonts w:ascii="Times New Roman" w:cs="Times New Roman" w:eastAsia="Times New Roman" w:hAnsi="Times New Roman"/>
          <w:sz w:val="18"/>
          <w:szCs w:val="18"/>
          <w:color w:val="auto"/>
        </w:rPr>
        <w:t>K are omitted because they are not applicable or the answers thereto are none.</w:t>
      </w:r>
    </w:p>
    <w:p>
      <w:pPr>
        <w:spacing w:after="0" w:line="37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16. Form 10-K Summary</w:t>
      </w:r>
    </w:p>
    <w:p>
      <w:pPr>
        <w:spacing w:after="0" w:line="2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None.</w:t>
      </w:r>
    </w:p>
    <w:p>
      <w:pPr>
        <w:spacing w:after="0" w:line="200" w:lineRule="exact"/>
        <w:rPr>
          <w:sz w:val="20"/>
          <w:szCs w:val="20"/>
          <w:color w:val="auto"/>
        </w:rPr>
      </w:pPr>
    </w:p>
    <w:p>
      <w:pPr>
        <w:spacing w:after="0" w:line="241"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69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20"/>
          </w:cols>
          <w:pgMar w:left="320" w:top="981" w:right="359" w:bottom="1440" w:gutter="0" w:footer="0" w:header="0"/>
        </w:sectPr>
      </w:pPr>
    </w:p>
    <w:bookmarkStart w:id="69" w:name="page70"/>
    <w:bookmarkEnd w:id="69"/>
    <w:p>
      <w:pPr>
        <w:jc w:val="center"/>
        <w:spacing w:after="0"/>
        <w:rPr>
          <w:sz w:val="20"/>
          <w:szCs w:val="20"/>
          <w:color w:val="auto"/>
        </w:rPr>
      </w:pPr>
      <w:r>
        <w:rPr>
          <w:rFonts w:ascii="Times New Roman" w:cs="Times New Roman" w:eastAsia="Times New Roman" w:hAnsi="Times New Roman"/>
          <w:sz w:val="18"/>
          <w:szCs w:val="18"/>
          <w:b w:val="1"/>
          <w:bCs w:val="1"/>
          <w:color w:val="auto"/>
        </w:rPr>
        <w:t>Report of Independent Registered Public Accounting Firm</w:t>
      </w:r>
    </w:p>
    <w:p>
      <w:pPr>
        <w:spacing w:after="0" w:line="2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the Stockholders and Board of Directors</w:t>
      </w:r>
    </w:p>
    <w:p>
      <w:pPr>
        <w:spacing w:after="0" w:line="5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3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Opinion on Internal Control Over Financial Reporting</w:t>
      </w:r>
    </w:p>
    <w:p>
      <w:pPr>
        <w:spacing w:after="0" w:line="11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 xml:space="preserve">We have audited MicroStrategy Incorporated and subsidiaries' (the Company) internal control over financial reporting as of December 31, 2024, based on criteria established in </w:t>
      </w:r>
      <w:r>
        <w:rPr>
          <w:rFonts w:ascii="Times New Roman" w:cs="Times New Roman" w:eastAsia="Times New Roman" w:hAnsi="Times New Roman"/>
          <w:sz w:val="18"/>
          <w:szCs w:val="18"/>
          <w:i w:val="1"/>
          <w:iCs w:val="1"/>
          <w:color w:val="auto"/>
        </w:rPr>
        <w:t>Internal Control – Integrated Framework (2013)</w:t>
      </w:r>
      <w:r>
        <w:rPr>
          <w:rFonts w:ascii="Times New Roman" w:cs="Times New Roman" w:eastAsia="Times New Roman" w:hAnsi="Times New Roman"/>
          <w:sz w:val="18"/>
          <w:szCs w:val="18"/>
          <w:color w:val="auto"/>
        </w:rPr>
        <w:t xml:space="preserve"> issued by the Committee of Sponsoring Organizations of the Treadway Commission. In our opinion, the Company maintained, in all material respects, effective internal control over financial reporting as of December 31, 2024, based on criteria established in </w:t>
      </w:r>
      <w:r>
        <w:rPr>
          <w:rFonts w:ascii="Times New Roman" w:cs="Times New Roman" w:eastAsia="Times New Roman" w:hAnsi="Times New Roman"/>
          <w:sz w:val="18"/>
          <w:szCs w:val="18"/>
          <w:i w:val="1"/>
          <w:iCs w:val="1"/>
          <w:color w:val="auto"/>
        </w:rPr>
        <w:t>Internal Control – Integrated Framework (2013)</w:t>
      </w:r>
      <w:r>
        <w:rPr>
          <w:rFonts w:ascii="Times New Roman" w:cs="Times New Roman" w:eastAsia="Times New Roman" w:hAnsi="Times New Roman"/>
          <w:sz w:val="18"/>
          <w:szCs w:val="18"/>
          <w:color w:val="auto"/>
        </w:rPr>
        <w:t xml:space="preserve"> issued by the Committee of Sponsoring Organizations of the Treadway Commission.</w:t>
      </w:r>
    </w:p>
    <w:p>
      <w:pPr>
        <w:spacing w:after="0" w:line="7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also have audited, in accordance with the standards of the Public Company Accounting Oversight Board (United States) (PCAOB), the consolidated balance sheets of the Company as of December 31, 2024 and 2023, the related consolidated statements of operations, comprehensive (loss) income, stockholders’ equity (deficit), and cash flows for each of the years in the three-year period ended December 31, 2024, and the related notes and the financial statement schedule, Schedule II, Valuation and Qualifying Accounts (collectively, the consolidated financial statements), and our report dated February 18, 2025 expressed an unqualified opinion on those consolidated financial statements.</w:t>
      </w:r>
    </w:p>
    <w:p>
      <w:pPr>
        <w:spacing w:after="0" w:line="28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Basis for Opinion</w:t>
      </w:r>
    </w:p>
    <w:p>
      <w:pPr>
        <w:spacing w:after="0" w:line="11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Company’s management is responsible for maintaining effective internal control over financial reporting and for its assessment of the effectiveness of internal control over financial reporting, included in the accompanying Management’s Report on Internal Control Over Financial Reporting. Our responsibility is to express an opinion on the Company’s internal control over financial reporting based on our audit. We are a public accounting firm registered with the PCAOB and are required to be independent with respect to the Company in accordance with the U.S. federal securities laws and the applicable rules and regulations of the Securities and Exchange Commission and the PCAOB.</w:t>
      </w:r>
    </w:p>
    <w:p>
      <w:pPr>
        <w:spacing w:after="0" w:line="29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conducted our audit in accordance with the standards of the PCAOB. Those standards require that we plan and perform the audit to obtain reasonable assurance about whether effective internal control over financial reporting was maintained in all material respects. Our audit of internal control over financial reporting included obtaining an understanding of internal control over financial reporting, assessing the risk that a material weakness exists, and testing and evaluating the design and operating effectiveness of internal control based on the assessed risk. Our audit also included performing such other procedures as we considered necessary in the circumstances. We believe that our audit provides a reasonable basis for our opinion.</w:t>
      </w:r>
    </w:p>
    <w:p>
      <w:pPr>
        <w:spacing w:after="0" w:line="28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Definition and Limitations of Internal Control Over Financial Reporting</w:t>
      </w:r>
    </w:p>
    <w:p>
      <w:pPr>
        <w:spacing w:after="0" w:line="11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 company’s internal control over financial reporting is a process designed to provide reasonable assurance regarding the reliability of financial reporting and the preparation of financial statements for external purposes in accordance with generally accepted accounting principles. A company’s internal control over financial reporting includes those policies and procedures that (1) pertain to the maintenance of records that, in reasonable detail, accurately and fairly reflect the transactions and dispositions of the assets of the company; (2) provide reasonable assurance that transactions are recorded as necessary to permit preparation of financial statements in accordance with generally accepted accounting principles, and that receipts and expenditures of the company are being made only in accordance with authorizations of management and directors of the company; and (3) provide reasonable assurance regarding prevention or timely detection of unauthorized acquisition, use, or disposition of the company’s assets that could have a material effect on the financial statements.</w:t>
      </w:r>
    </w:p>
    <w:p>
      <w:pPr>
        <w:spacing w:after="0" w:line="19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Because of its inherent limitations, internal control over financial reporting may not prevent or detect misstatements. Also, projections of any evaluation of effectiveness to future periods are subject to the risk that controls may become inadequate because of changes in conditions, or that the degree of compliance with the policies or procedures may deteriorate.</w:t>
      </w:r>
    </w:p>
    <w:p>
      <w:pPr>
        <w:spacing w:after="0" w:line="24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 KPMG LLP</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McLean, Virginia</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February 18, 2025</w:t>
      </w:r>
    </w:p>
    <w:p>
      <w:pPr>
        <w:spacing w:after="0" w:line="20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70" w:name="page71"/>
    <w:bookmarkEnd w:id="70"/>
    <w:p>
      <w:pPr>
        <w:jc w:val="center"/>
        <w:spacing w:after="0"/>
        <w:rPr>
          <w:sz w:val="20"/>
          <w:szCs w:val="20"/>
          <w:color w:val="auto"/>
        </w:rPr>
      </w:pPr>
      <w:r>
        <w:rPr>
          <w:rFonts w:ascii="Times New Roman" w:cs="Times New Roman" w:eastAsia="Times New Roman" w:hAnsi="Times New Roman"/>
          <w:sz w:val="18"/>
          <w:szCs w:val="18"/>
          <w:b w:val="1"/>
          <w:bCs w:val="1"/>
          <w:color w:val="auto"/>
        </w:rPr>
        <w:t>Report of Independent Registered Public Accounting Firm</w:t>
      </w:r>
    </w:p>
    <w:p>
      <w:pPr>
        <w:spacing w:after="0" w:line="25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the Stockholders and Board of Directors</w:t>
      </w:r>
    </w:p>
    <w:p>
      <w:pPr>
        <w:spacing w:after="0" w:line="3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3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Opinion on the Consolidated Financial Statements</w:t>
      </w:r>
    </w:p>
    <w:p>
      <w:pPr>
        <w:spacing w:after="0" w:line="11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have audited the accompanying consolidated balance sheets of MicroStrategy Incorporated and subsidiaries (the Company) as of December 31, 2024 and 2023, the related consolidated statements of operations, comprehensive (loss) income, stockholders’ equity (deficit), and cash flows for each of the years in the three-year period ended December 31, 2024, and the related notes and financial statement schedule, Schedule II, Valuation and Qualifying Accounts, (collectively, the consolidated financial statements). In our opinion, the consolidated financial statements present fairly, in all material respects, the financial position of the Company as of December 31, 2024 and 2023, and the results of its operations and its cash flows for each of the years in the three-year period ended December 31, 2024, in conformity with U.S. generally accepted accounting principles.</w:t>
      </w:r>
    </w:p>
    <w:p>
      <w:pPr>
        <w:spacing w:after="0" w:line="187"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 xml:space="preserve">We also have audited, in accordance with the standards of the Public Company Accounting Oversight Board (United States) (PCAOB), the Company’s internal control over financial reporting as of December 31, 2024, based on criteria established in </w:t>
      </w:r>
      <w:r>
        <w:rPr>
          <w:rFonts w:ascii="Times New Roman" w:cs="Times New Roman" w:eastAsia="Times New Roman" w:hAnsi="Times New Roman"/>
          <w:sz w:val="18"/>
          <w:szCs w:val="18"/>
          <w:i w:val="1"/>
          <w:iCs w:val="1"/>
          <w:color w:val="auto"/>
        </w:rPr>
        <w:t>Internal Control – Integrated Framework (2013)</w:t>
      </w:r>
      <w:r>
        <w:rPr>
          <w:rFonts w:ascii="Times New Roman" w:cs="Times New Roman" w:eastAsia="Times New Roman" w:hAnsi="Times New Roman"/>
          <w:sz w:val="18"/>
          <w:szCs w:val="18"/>
          <w:color w:val="auto"/>
        </w:rPr>
        <w:t xml:space="preserve"> issued by the Committee of Sponsoring Organizations of the Treadway Commission, and our report dated February 18, 2025 expressed an unqualified opinion on the effectiveness of the Company’s internal control over financial reporting.</w:t>
      </w:r>
    </w:p>
    <w:p>
      <w:pPr>
        <w:spacing w:after="0" w:line="28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Basis for Opinion</w:t>
      </w:r>
    </w:p>
    <w:p>
      <w:pPr>
        <w:spacing w:after="0" w:line="11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These consolidated financial statements are the responsibility of the Company’s management. Our responsibility is to express an opinion on these consolidated financial statements based on our audits. We are a public accounting firm registered with the PCAOB and are required to be independent with respect to the Company in accordance with the U.S. federal securities laws and the applicable rules and regulations of the Securities and Exchange Commission and the PCAOB.</w:t>
      </w:r>
    </w:p>
    <w:p>
      <w:pPr>
        <w:spacing w:after="0" w:line="288"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conducted our audits in accordance with the standards of the PCAOB. Those standards require that we plan and perform the audit to obtain reasonable assurance about whether the consolidated financial statements are free of material misstatement, whether due to error or fraud. Our audits included performing procedures to assess the risks of material misstatement of the consolidated financial statements, whether due to error or fraud, and performing procedures that respond to those risks. Such procedures included examining, on a test basis, evidence regarding the amounts and disclosures in the consolidated financial statements. Our audits also included evaluating the accounting principles used and significant estimates made by management, as well as evaluating the overall presentation of the consolidated financial statements. We believe that our audits provide a reasonable basis for our opinion.</w:t>
      </w:r>
    </w:p>
    <w:p>
      <w:pPr>
        <w:spacing w:after="0" w:line="29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Critical Audit Matters</w:t>
      </w:r>
    </w:p>
    <w:p>
      <w:pPr>
        <w:spacing w:after="0" w:line="11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critical audit matters communicated below are matters arising from the current period audit of the consolidated financial statements that were communicated or required to be communicated to the audit committee and that: (1) relate to accounts or disclosures that are material to the consolidated financial statements and (2) involved our especially challenging, subjective, or complex judgments. The communication of critical audit matters does not alter in any way our opinion on the consolidated financial statements, taken as a whole, and we are not, by communicating the critical audit matters below, providing separate opinions on the critical audit matters or on the accounts or disclosures to which they relate.</w:t>
      </w:r>
    </w:p>
    <w:p>
      <w:pPr>
        <w:spacing w:after="0" w:line="289"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i w:val="1"/>
          <w:iCs w:val="1"/>
          <w:color w:val="auto"/>
        </w:rPr>
        <w:t>Evaluation of audit evidence pertaining to the existence and control of the digital assets</w:t>
      </w:r>
    </w:p>
    <w:p>
      <w:pPr>
        <w:spacing w:after="0" w:line="119" w:lineRule="exact"/>
        <w:rPr>
          <w:sz w:val="20"/>
          <w:szCs w:val="20"/>
          <w:color w:val="auto"/>
        </w:rPr>
      </w:pPr>
    </w:p>
    <w:p>
      <w:pPr>
        <w:jc w:val="both"/>
        <w:ind w:left="760"/>
        <w:spacing w:after="0" w:line="266" w:lineRule="auto"/>
        <w:rPr>
          <w:sz w:val="20"/>
          <w:szCs w:val="20"/>
          <w:color w:val="auto"/>
        </w:rPr>
      </w:pPr>
      <w:r>
        <w:rPr>
          <w:rFonts w:ascii="Times New Roman" w:cs="Times New Roman" w:eastAsia="Times New Roman" w:hAnsi="Times New Roman"/>
          <w:sz w:val="18"/>
          <w:szCs w:val="18"/>
          <w:color w:val="auto"/>
        </w:rPr>
        <w:t>As discussed in Notes 2(g) and 4 to the consolidated financial statements, the Company accounts for its digital assets as indefinite-lived intangible assets. The digital assets are recorded at cost, net of any impairment losses incurred since acquisition. As of December 31, 2024, the carrying value of the Company’s digital assets was $23.909 billion, net of $4.059 billion in cumulative impairments.</w:t>
      </w:r>
    </w:p>
    <w:p>
      <w:pPr>
        <w:spacing w:after="0" w:line="68" w:lineRule="exact"/>
        <w:rPr>
          <w:sz w:val="20"/>
          <w:szCs w:val="20"/>
          <w:color w:val="auto"/>
        </w:rPr>
      </w:pPr>
    </w:p>
    <w:p>
      <w:pPr>
        <w:jc w:val="both"/>
        <w:ind w:left="760"/>
        <w:spacing w:after="0" w:line="256" w:lineRule="auto"/>
        <w:rPr>
          <w:sz w:val="20"/>
          <w:szCs w:val="20"/>
          <w:color w:val="auto"/>
        </w:rPr>
      </w:pPr>
      <w:r>
        <w:rPr>
          <w:rFonts w:ascii="Times New Roman" w:cs="Times New Roman" w:eastAsia="Times New Roman" w:hAnsi="Times New Roman"/>
          <w:sz w:val="18"/>
          <w:szCs w:val="18"/>
          <w:color w:val="auto"/>
        </w:rPr>
        <w:t>We identified the evaluation of audit evidence pertaining to the existence of the digital assets and whether the Company controls the digital assets as a critical audit matter. Especially subjective auditor judgment was involved in determining the nature and extent of evidence required to assess the existence of the digital assets and whether the Company controls the digital assets, as control over the digital assets is provided through private cryptographic keys stored using third-party custodial services at multiple locations that are geographically dispersed. In addition, information technology (IT) professionals with specialized skills and knowledge in blockchain technology were needed to assist in the evaluation of the sufficiency of certain audit procedures.</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71" w:name="page72"/>
    <w:bookmarkEnd w:id="71"/>
    <w:p>
      <w:pPr>
        <w:jc w:val="both"/>
        <w:ind w:left="760"/>
        <w:spacing w:after="0" w:line="253" w:lineRule="auto"/>
        <w:rPr>
          <w:sz w:val="20"/>
          <w:szCs w:val="20"/>
          <w:color w:val="auto"/>
        </w:rPr>
      </w:pPr>
      <w:r>
        <w:rPr>
          <w:rFonts w:ascii="Times New Roman" w:cs="Times New Roman" w:eastAsia="Times New Roman" w:hAnsi="Times New Roman"/>
          <w:sz w:val="18"/>
          <w:szCs w:val="18"/>
          <w:color w:val="auto"/>
        </w:rPr>
        <w:t>The following are the primary procedures we performed to address this critical audit matter. We evaluated the design and tested the operating effectiveness of certain internal controls over the digital assets process, including a control over the comparison of the Company’s records of digital assets held to the custodial records. We involved IT professionals with specialized skills and knowledge in blockchain technology, who assisted in evaluating certain internal controls over the digital assets process performed at the custodial locations, related specifically to the generation of the private cryptographic keys, the storing of these keys, and the reconciliation of digital assets per the custodial service ledgers to the public blockchain. We obtained confirmation of the Company’s digital assets in custody as of December 31, 2024 and compared the total digital assets confirmed to the Company’s record of digital asset holdings. We also compared the Company’s record of digital asset transactions to the records on the public blockchain using a software audit tool. We applied auditor judgment in determining the nature and extent of audit evidence required, especially related to assessing the existence of the digital assets and whether the Company controls the digital assets. We evaluated the sufficiency and appropriateness of audit evidence obtained by assessing the results of procedures performed over the digital assets.</w:t>
      </w:r>
    </w:p>
    <w:p>
      <w:pPr>
        <w:spacing w:after="0" w:line="84"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i w:val="1"/>
          <w:iCs w:val="1"/>
          <w:color w:val="auto"/>
        </w:rPr>
        <w:t>Evaluation of standalone selling price for standard product support</w:t>
      </w:r>
    </w:p>
    <w:p>
      <w:pPr>
        <w:spacing w:after="0" w:line="119" w:lineRule="exact"/>
        <w:rPr>
          <w:sz w:val="20"/>
          <w:szCs w:val="20"/>
          <w:color w:val="auto"/>
        </w:rPr>
      </w:pPr>
    </w:p>
    <w:p>
      <w:pPr>
        <w:ind w:left="760" w:right="20"/>
        <w:spacing w:after="0" w:line="254" w:lineRule="auto"/>
        <w:rPr>
          <w:sz w:val="20"/>
          <w:szCs w:val="20"/>
          <w:color w:val="auto"/>
        </w:rPr>
      </w:pPr>
      <w:r>
        <w:rPr>
          <w:rFonts w:ascii="Times New Roman" w:cs="Times New Roman" w:eastAsia="Times New Roman" w:hAnsi="Times New Roman"/>
          <w:sz w:val="18"/>
          <w:szCs w:val="18"/>
          <w:color w:val="auto"/>
        </w:rPr>
        <w:t>As discussed in Note 2(n) to the consolidated financial statements, the Company typically sells its software licenses (product licenses) together with technical support services and rights to when-and-if available software upgrades (standard product support). Product license revenue is recognized at the point when control to the license is transferred to the customer while standard product support revenue is recognized ratably over the term of the product support period. The accounting for revenue from contracts with multiple performance obligations requires the transaction price to be allocated to each distinct performance obligation based on their respective relative standalone selling price (SSP). Because product licenses are not sold on a standalone basis and because pricing is highly variable, the Company establishes SSP of product licenses using a residual approach after first establishing the SSP of standard product support based on observable standalone sales with pricing within a narrow range as a percentage of the net license fee.</w:t>
      </w:r>
    </w:p>
    <w:p>
      <w:pPr>
        <w:spacing w:after="0" w:line="84" w:lineRule="exact"/>
        <w:rPr>
          <w:sz w:val="20"/>
          <w:szCs w:val="20"/>
          <w:color w:val="auto"/>
        </w:rPr>
      </w:pPr>
    </w:p>
    <w:p>
      <w:pPr>
        <w:ind w:left="760" w:right="340"/>
        <w:spacing w:after="0" w:line="261" w:lineRule="auto"/>
        <w:rPr>
          <w:sz w:val="20"/>
          <w:szCs w:val="20"/>
          <w:color w:val="auto"/>
        </w:rPr>
      </w:pPr>
      <w:r>
        <w:rPr>
          <w:rFonts w:ascii="Times New Roman" w:cs="Times New Roman" w:eastAsia="Times New Roman" w:hAnsi="Times New Roman"/>
          <w:sz w:val="18"/>
          <w:szCs w:val="18"/>
          <w:color w:val="auto"/>
        </w:rPr>
        <w:t>We identified the evaluation of the SSP for standard product support as a critical audit matter. Especially subjective auditor judgment was required in evaluating the range of prices used to establish the SSP for standard product support which directly affects the amount of product license revenue recognized using a residual approach. Changes to the product support fee range could have a significant impact on the determination of the SSP for standard product support, impacting the amount and timing of revenues recognized.</w:t>
      </w:r>
    </w:p>
    <w:p>
      <w:pPr>
        <w:spacing w:after="0" w:line="72" w:lineRule="exact"/>
        <w:rPr>
          <w:sz w:val="20"/>
          <w:szCs w:val="20"/>
          <w:color w:val="auto"/>
        </w:rPr>
      </w:pPr>
    </w:p>
    <w:p>
      <w:pPr>
        <w:ind w:left="760" w:right="20"/>
        <w:spacing w:after="0" w:line="277" w:lineRule="auto"/>
        <w:rPr>
          <w:sz w:val="20"/>
          <w:szCs w:val="20"/>
          <w:color w:val="auto"/>
        </w:rPr>
      </w:pPr>
      <w:r>
        <w:rPr>
          <w:rFonts w:ascii="Times New Roman" w:cs="Times New Roman" w:eastAsia="Times New Roman" w:hAnsi="Times New Roman"/>
          <w:sz w:val="17"/>
          <w:szCs w:val="17"/>
          <w:color w:val="auto"/>
        </w:rPr>
        <w:t>The following are the primary procedures we performed to address this critical audit matter. We evaluated the design and tested the operating effectiveness of certain internal controls over the Company’s revenue process, including controls over the methodology used to determine the standard product support SSP and controls over the Company’s validation of the underlying data used in the SSP analysis. We assessed the range of prices based on observable inputs the Company used to determine SSP of standard product support by comparing them to the selling prices of standalone renewals for standard product support and evaluating whether the standalone prices were sufficiently clustered within a narrow range.</w:t>
      </w:r>
    </w:p>
    <w:p>
      <w:pPr>
        <w:spacing w:after="0" w:line="1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 KPMG LLP</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We have served as the Company’s auditor since 2013.</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McLean, Virginia</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February 18, 2025</w:t>
      </w:r>
    </w:p>
    <w:p>
      <w:pPr>
        <w:spacing w:after="0" w:line="20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72" w:name="page73"/>
    <w:bookmarkEnd w:id="72"/>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BALANCE SHEETS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 except per share data)</w:t>
      </w:r>
    </w:p>
    <w:p>
      <w:pPr>
        <w:spacing w:after="0" w:line="188"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772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620" w:type="dxa"/>
            <w:vAlign w:val="bottom"/>
            <w:gridSpan w:val="2"/>
          </w:tcPr>
          <w:p>
            <w:pPr>
              <w:jc w:val="right"/>
              <w:ind w:right="64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240" w:type="dxa"/>
            <w:vAlign w:val="bottom"/>
          </w:tcPr>
          <w:p>
            <w:pPr>
              <w:spacing w:after="0"/>
              <w:rPr>
                <w:sz w:val="13"/>
                <w:szCs w:val="13"/>
                <w:color w:val="auto"/>
              </w:rPr>
            </w:pPr>
          </w:p>
        </w:tc>
        <w:tc>
          <w:tcPr>
            <w:tcW w:w="144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73"/>
        </w:trPr>
        <w:tc>
          <w:tcPr>
            <w:tcW w:w="7720" w:type="dxa"/>
            <w:vAlign w:val="bottom"/>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1340" w:type="dxa"/>
            <w:vAlign w:val="bottom"/>
            <w:tcBorders>
              <w:bottom w:val="single" w:sz="8" w:color="auto"/>
            </w:tcBorders>
          </w:tcPr>
          <w:p>
            <w:pPr>
              <w:jc w:val="right"/>
              <w:ind w:right="551"/>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1340" w:type="dxa"/>
            <w:vAlign w:val="bottom"/>
            <w:tcBorders>
              <w:bottom w:val="single" w:sz="8" w:color="auto"/>
            </w:tcBorders>
          </w:tcPr>
          <w:p>
            <w:pPr>
              <w:jc w:val="right"/>
              <w:ind w:right="57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5"/>
                <w:szCs w:val="15"/>
                <w:color w:val="auto"/>
              </w:rPr>
            </w:pPr>
          </w:p>
        </w:tc>
      </w:tr>
      <w:tr>
        <w:trPr>
          <w:trHeight w:val="142"/>
        </w:trPr>
        <w:tc>
          <w:tcPr>
            <w:tcW w:w="772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1340" w:type="dxa"/>
            <w:vAlign w:val="bottom"/>
          </w:tcPr>
          <w:p>
            <w:pPr>
              <w:spacing w:after="0"/>
              <w:rPr>
                <w:sz w:val="12"/>
                <w:szCs w:val="12"/>
                <w:color w:val="auto"/>
              </w:rPr>
            </w:pPr>
          </w:p>
        </w:tc>
        <w:tc>
          <w:tcPr>
            <w:tcW w:w="2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340" w:type="dxa"/>
            <w:vAlign w:val="bottom"/>
          </w:tcPr>
          <w:p>
            <w:pPr>
              <w:spacing w:after="0"/>
              <w:rPr>
                <w:sz w:val="12"/>
                <w:szCs w:val="12"/>
                <w:color w:val="auto"/>
              </w:rPr>
            </w:pPr>
          </w:p>
        </w:tc>
        <w:tc>
          <w:tcPr>
            <w:tcW w:w="100" w:type="dxa"/>
            <w:vAlign w:val="bottom"/>
          </w:tcPr>
          <w:p>
            <w:pPr>
              <w:spacing w:after="0"/>
              <w:rPr>
                <w:sz w:val="12"/>
                <w:szCs w:val="12"/>
                <w:color w:val="auto"/>
              </w:rPr>
            </w:pPr>
          </w:p>
        </w:tc>
      </w:tr>
      <w:tr>
        <w:trPr>
          <w:trHeight w:val="216"/>
        </w:trPr>
        <w:tc>
          <w:tcPr>
            <w:tcW w:w="7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Assets</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Current assets:</w:t>
            </w:r>
          </w:p>
        </w:tc>
        <w:tc>
          <w:tcPr>
            <w:tcW w:w="220" w:type="dxa"/>
            <w:vAlign w:val="bottom"/>
          </w:tcPr>
          <w:p>
            <w:pPr>
              <w:spacing w:after="0"/>
              <w:rPr>
                <w:sz w:val="18"/>
                <w:szCs w:val="18"/>
                <w:color w:val="auto"/>
              </w:rPr>
            </w:pPr>
          </w:p>
        </w:tc>
        <w:tc>
          <w:tcPr>
            <w:tcW w:w="13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Cash and cash equivalents</w:t>
            </w:r>
          </w:p>
        </w:tc>
        <w:tc>
          <w:tcPr>
            <w:tcW w:w="220" w:type="dxa"/>
            <w:vAlign w:val="bottom"/>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38,117</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46,817</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Restricted cash</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1,780</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1,856</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Accounts receivable, net</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181,203</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183,815</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Prepaid expenses and other current assets</w:t>
            </w:r>
          </w:p>
        </w:tc>
        <w:tc>
          <w:tcPr>
            <w:tcW w:w="22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31,224</w:t>
            </w:r>
          </w:p>
        </w:tc>
        <w:tc>
          <w:tcPr>
            <w:tcW w:w="28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35,407</w:t>
            </w:r>
          </w:p>
        </w:tc>
        <w:tc>
          <w:tcPr>
            <w:tcW w:w="100" w:type="dxa"/>
            <w:vAlign w:val="bottom"/>
          </w:tcPr>
          <w:p>
            <w:pPr>
              <w:spacing w:after="0"/>
              <w:rPr>
                <w:sz w:val="18"/>
                <w:szCs w:val="18"/>
                <w:color w:val="auto"/>
              </w:rPr>
            </w:pPr>
          </w:p>
        </w:tc>
      </w:tr>
      <w:tr>
        <w:trPr>
          <w:trHeight w:val="209"/>
        </w:trPr>
        <w:tc>
          <w:tcPr>
            <w:tcW w:w="7720" w:type="dxa"/>
            <w:vAlign w:val="bottom"/>
            <w:shd w:val="clear" w:color="auto" w:fill="CFF0FC"/>
          </w:tcPr>
          <w:p>
            <w:pPr>
              <w:ind w:left="560"/>
              <w:spacing w:after="0"/>
              <w:rPr>
                <w:sz w:val="20"/>
                <w:szCs w:val="20"/>
                <w:color w:val="auto"/>
              </w:rPr>
            </w:pPr>
            <w:r>
              <w:rPr>
                <w:rFonts w:ascii="Times New Roman" w:cs="Times New Roman" w:eastAsia="Times New Roman" w:hAnsi="Times New Roman"/>
                <w:sz w:val="18"/>
                <w:szCs w:val="18"/>
                <w:color w:val="auto"/>
              </w:rPr>
              <w:t>Total current assets</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252,324</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267,895</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assets</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23,909,373</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3,626,476</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Property and equipment, net</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26,327</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28,941</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Right-of-use assets</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54,560</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57,343</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Deposits and other assets</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75,794</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24,300</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Deferred tax assets, net</w:t>
            </w:r>
          </w:p>
        </w:tc>
        <w:tc>
          <w:tcPr>
            <w:tcW w:w="22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1,525,307</w:t>
            </w:r>
          </w:p>
        </w:tc>
        <w:tc>
          <w:tcPr>
            <w:tcW w:w="28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757,573</w:t>
            </w:r>
          </w:p>
        </w:tc>
        <w:tc>
          <w:tcPr>
            <w:tcW w:w="100" w:type="dxa"/>
            <w:vAlign w:val="bottom"/>
          </w:tcPr>
          <w:p>
            <w:pPr>
              <w:spacing w:after="0"/>
              <w:rPr>
                <w:sz w:val="18"/>
                <w:szCs w:val="18"/>
                <w:color w:val="auto"/>
              </w:rPr>
            </w:pPr>
          </w:p>
        </w:tc>
      </w:tr>
      <w:tr>
        <w:trPr>
          <w:trHeight w:val="249"/>
        </w:trPr>
        <w:tc>
          <w:tcPr>
            <w:tcW w:w="7720" w:type="dxa"/>
            <w:vAlign w:val="bottom"/>
            <w:tcBorders>
              <w:bottom w:val="single" w:sz="8" w:color="CFF0FC"/>
            </w:tcBorders>
            <w:shd w:val="clear" w:color="auto" w:fill="CFF0FC"/>
          </w:tcPr>
          <w:p>
            <w:pPr>
              <w:ind w:left="560"/>
              <w:spacing w:after="0"/>
              <w:rPr>
                <w:sz w:val="20"/>
                <w:szCs w:val="20"/>
                <w:color w:val="auto"/>
              </w:rPr>
            </w:pPr>
            <w:r>
              <w:rPr>
                <w:rFonts w:ascii="Times New Roman" w:cs="Times New Roman" w:eastAsia="Times New Roman" w:hAnsi="Times New Roman"/>
                <w:sz w:val="18"/>
                <w:szCs w:val="18"/>
                <w:b w:val="1"/>
                <w:bCs w:val="1"/>
                <w:color w:val="auto"/>
              </w:rPr>
              <w:t>Total assets</w:t>
            </w:r>
          </w:p>
        </w:tc>
        <w:tc>
          <w:tcPr>
            <w:tcW w:w="220" w:type="dxa"/>
            <w:vAlign w:val="bottom"/>
            <w:tcBorders>
              <w:bottom w:val="single" w:sz="8" w:color="auto"/>
            </w:tcBorders>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25,843,685</w:t>
            </w:r>
          </w:p>
        </w:tc>
        <w:tc>
          <w:tcPr>
            <w:tcW w:w="280" w:type="dxa"/>
            <w:vAlign w:val="bottom"/>
            <w:tcBorders>
              <w:bottom w:val="single" w:sz="8" w:color="CFF0FC"/>
            </w:tcBorders>
            <w:shd w:val="clear" w:color="auto" w:fill="CFF0FC"/>
          </w:tcPr>
          <w:p>
            <w:pPr>
              <w:spacing w:after="0"/>
              <w:rPr>
                <w:sz w:val="21"/>
                <w:szCs w:val="21"/>
                <w:color w:val="auto"/>
              </w:rPr>
            </w:pPr>
          </w:p>
        </w:tc>
        <w:tc>
          <w:tcPr>
            <w:tcW w:w="240" w:type="dxa"/>
            <w:vAlign w:val="bottom"/>
            <w:tcBorders>
              <w:bottom w:val="single" w:sz="8" w:color="auto"/>
            </w:tcBorders>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4,762,528</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197"/>
        </w:trPr>
        <w:tc>
          <w:tcPr>
            <w:tcW w:w="7720" w:type="dxa"/>
            <w:vAlign w:val="bottom"/>
          </w:tcPr>
          <w:p>
            <w:pPr>
              <w:ind w:left="20"/>
              <w:spacing w:after="0" w:line="196" w:lineRule="exact"/>
              <w:rPr>
                <w:sz w:val="20"/>
                <w:szCs w:val="20"/>
                <w:color w:val="auto"/>
              </w:rPr>
            </w:pPr>
            <w:r>
              <w:rPr>
                <w:rFonts w:ascii="Times New Roman" w:cs="Times New Roman" w:eastAsia="Times New Roman" w:hAnsi="Times New Roman"/>
                <w:sz w:val="18"/>
                <w:szCs w:val="18"/>
                <w:b w:val="1"/>
                <w:bCs w:val="1"/>
                <w:color w:val="auto"/>
              </w:rPr>
              <w:t>Liabilities and Stockholders’ Equity</w:t>
            </w:r>
          </w:p>
        </w:tc>
        <w:tc>
          <w:tcPr>
            <w:tcW w:w="220" w:type="dxa"/>
            <w:vAlign w:val="bottom"/>
          </w:tcPr>
          <w:p>
            <w:pPr>
              <w:spacing w:after="0"/>
              <w:rPr>
                <w:sz w:val="17"/>
                <w:szCs w:val="17"/>
                <w:color w:val="auto"/>
              </w:rPr>
            </w:pPr>
          </w:p>
        </w:tc>
        <w:tc>
          <w:tcPr>
            <w:tcW w:w="134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240" w:type="dxa"/>
            <w:vAlign w:val="bottom"/>
          </w:tcPr>
          <w:p>
            <w:pPr>
              <w:spacing w:after="0"/>
              <w:rPr>
                <w:sz w:val="17"/>
                <w:szCs w:val="17"/>
                <w:color w:val="auto"/>
              </w:rPr>
            </w:pPr>
          </w:p>
        </w:tc>
        <w:tc>
          <w:tcPr>
            <w:tcW w:w="1340" w:type="dxa"/>
            <w:vAlign w:val="bottom"/>
          </w:tcPr>
          <w:p>
            <w:pPr>
              <w:spacing w:after="0"/>
              <w:rPr>
                <w:sz w:val="17"/>
                <w:szCs w:val="17"/>
                <w:color w:val="auto"/>
              </w:rPr>
            </w:pPr>
          </w:p>
        </w:tc>
        <w:tc>
          <w:tcPr>
            <w:tcW w:w="100" w:type="dxa"/>
            <w:vAlign w:val="bottom"/>
          </w:tcPr>
          <w:p>
            <w:pPr>
              <w:spacing w:after="0"/>
              <w:rPr>
                <w:sz w:val="17"/>
                <w:szCs w:val="17"/>
                <w:color w:val="auto"/>
              </w:rPr>
            </w:pPr>
          </w:p>
        </w:tc>
      </w:tr>
      <w:tr>
        <w:trPr>
          <w:trHeight w:val="216"/>
        </w:trPr>
        <w:tc>
          <w:tcPr>
            <w:tcW w:w="77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Current liabilities:</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Accounts payable, accrued expenses, and operating lease liabilities</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52,982</w:t>
            </w:r>
          </w:p>
        </w:tc>
        <w:tc>
          <w:tcPr>
            <w:tcW w:w="280" w:type="dxa"/>
            <w:vAlign w:val="bottom"/>
          </w:tcPr>
          <w:p>
            <w:pPr>
              <w:spacing w:after="0"/>
              <w:rPr>
                <w:sz w:val="18"/>
                <w:szCs w:val="18"/>
                <w:color w:val="auto"/>
              </w:rPr>
            </w:pP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43,090</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Accrued compensation and employee benefits</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58,362</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50,045</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Accrued interest</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5,549</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1,493</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Current portion of long-term debt, net</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517</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483</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Deferred revenue and advance payments</w:t>
            </w:r>
          </w:p>
        </w:tc>
        <w:tc>
          <w:tcPr>
            <w:tcW w:w="22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237,974</w:t>
            </w:r>
          </w:p>
        </w:tc>
        <w:tc>
          <w:tcPr>
            <w:tcW w:w="28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100" w:type="dxa"/>
            <w:vAlign w:val="bottom"/>
          </w:tcPr>
          <w:p>
            <w:pPr>
              <w:spacing w:after="0"/>
              <w:rPr>
                <w:sz w:val="18"/>
                <w:szCs w:val="18"/>
                <w:color w:val="auto"/>
              </w:rPr>
            </w:pPr>
          </w:p>
        </w:tc>
      </w:tr>
      <w:tr>
        <w:trPr>
          <w:trHeight w:val="210"/>
        </w:trPr>
        <w:tc>
          <w:tcPr>
            <w:tcW w:w="7720" w:type="dxa"/>
            <w:vAlign w:val="bottom"/>
            <w:shd w:val="clear" w:color="auto" w:fill="CFF0FC"/>
          </w:tcPr>
          <w:p>
            <w:pPr>
              <w:ind w:left="560"/>
              <w:spacing w:after="0"/>
              <w:rPr>
                <w:sz w:val="20"/>
                <w:szCs w:val="20"/>
                <w:color w:val="auto"/>
              </w:rPr>
            </w:pPr>
            <w:r>
              <w:rPr>
                <w:rFonts w:ascii="Times New Roman" w:cs="Times New Roman" w:eastAsia="Times New Roman" w:hAnsi="Times New Roman"/>
                <w:sz w:val="18"/>
                <w:szCs w:val="18"/>
                <w:color w:val="auto"/>
              </w:rPr>
              <w:t>Total current liabilities</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355,384</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323,273</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Long-term debt, net</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7,191,158</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2,182,108</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Deferred revenue and advance payments</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4,970</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Operating lease liabilities</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56,403</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61,086</w:t>
            </w: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Other long-term liabilities</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5,379</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22,208</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Deferred tax liabilities</w:t>
            </w:r>
          </w:p>
        </w:tc>
        <w:tc>
          <w:tcPr>
            <w:tcW w:w="22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407</w:t>
            </w:r>
          </w:p>
        </w:tc>
        <w:tc>
          <w:tcPr>
            <w:tcW w:w="28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357</w:t>
            </w:r>
          </w:p>
        </w:tc>
        <w:tc>
          <w:tcPr>
            <w:tcW w:w="100" w:type="dxa"/>
            <w:vAlign w:val="bottom"/>
          </w:tcPr>
          <w:p>
            <w:pPr>
              <w:spacing w:after="0"/>
              <w:rPr>
                <w:sz w:val="18"/>
                <w:szCs w:val="18"/>
                <w:color w:val="auto"/>
              </w:rPr>
            </w:pPr>
          </w:p>
        </w:tc>
      </w:tr>
      <w:tr>
        <w:trPr>
          <w:trHeight w:val="209"/>
        </w:trPr>
        <w:tc>
          <w:tcPr>
            <w:tcW w:w="7720" w:type="dxa"/>
            <w:vAlign w:val="bottom"/>
            <w:tcBorders>
              <w:bottom w:val="single" w:sz="8" w:color="CFF0FC"/>
            </w:tcBorders>
            <w:shd w:val="clear" w:color="auto" w:fill="CFF0FC"/>
          </w:tcPr>
          <w:p>
            <w:pPr>
              <w:ind w:left="560"/>
              <w:spacing w:after="0"/>
              <w:rPr>
                <w:sz w:val="20"/>
                <w:szCs w:val="20"/>
                <w:color w:val="auto"/>
              </w:rPr>
            </w:pPr>
            <w:r>
              <w:rPr>
                <w:rFonts w:ascii="Times New Roman" w:cs="Times New Roman" w:eastAsia="Times New Roman" w:hAnsi="Times New Roman"/>
                <w:sz w:val="18"/>
                <w:szCs w:val="18"/>
                <w:b w:val="1"/>
                <w:bCs w:val="1"/>
                <w:color w:val="auto"/>
              </w:rPr>
              <w:t>Total liabilities</w:t>
            </w:r>
          </w:p>
        </w:tc>
        <w:tc>
          <w:tcPr>
            <w:tcW w:w="220" w:type="dxa"/>
            <w:vAlign w:val="bottom"/>
            <w:tcBorders>
              <w:bottom w:val="single" w:sz="8" w:color="auto"/>
            </w:tcBorders>
            <w:shd w:val="clear" w:color="auto" w:fill="CFF0FC"/>
          </w:tcPr>
          <w:p>
            <w:pPr>
              <w:spacing w:after="0"/>
              <w:rPr>
                <w:sz w:val="18"/>
                <w:szCs w:val="18"/>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7,613,701</w:t>
            </w:r>
          </w:p>
        </w:tc>
        <w:tc>
          <w:tcPr>
            <w:tcW w:w="280" w:type="dxa"/>
            <w:vAlign w:val="bottom"/>
            <w:tcBorders>
              <w:bottom w:val="single" w:sz="8" w:color="CFF0FC"/>
            </w:tcBorders>
            <w:shd w:val="clear" w:color="auto" w:fill="CFF0FC"/>
          </w:tcPr>
          <w:p>
            <w:pPr>
              <w:spacing w:after="0"/>
              <w:rPr>
                <w:sz w:val="18"/>
                <w:szCs w:val="18"/>
                <w:color w:val="auto"/>
              </w:rPr>
            </w:pPr>
          </w:p>
        </w:tc>
        <w:tc>
          <w:tcPr>
            <w:tcW w:w="240" w:type="dxa"/>
            <w:vAlign w:val="bottom"/>
            <w:tcBorders>
              <w:bottom w:val="single" w:sz="8" w:color="auto"/>
            </w:tcBorders>
            <w:shd w:val="clear" w:color="auto" w:fill="CFF0FC"/>
          </w:tcPr>
          <w:p>
            <w:pPr>
              <w:spacing w:after="0"/>
              <w:rPr>
                <w:sz w:val="18"/>
                <w:szCs w:val="18"/>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2,597,556</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772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Commitments and Contingencies</w:t>
            </w:r>
          </w:p>
        </w:tc>
        <w:tc>
          <w:tcPr>
            <w:tcW w:w="220" w:type="dxa"/>
            <w:vAlign w:val="bottom"/>
          </w:tcPr>
          <w:p>
            <w:pPr>
              <w:spacing w:after="0"/>
              <w:rPr>
                <w:sz w:val="18"/>
                <w:szCs w:val="18"/>
                <w:color w:val="auto"/>
              </w:rPr>
            </w:pPr>
          </w:p>
        </w:tc>
        <w:tc>
          <w:tcPr>
            <w:tcW w:w="13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7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Stockholders’ Equity</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198"/>
        </w:trPr>
        <w:tc>
          <w:tcPr>
            <w:tcW w:w="7720" w:type="dxa"/>
            <w:vAlign w:val="bottom"/>
          </w:tcPr>
          <w:p>
            <w:pPr>
              <w:ind w:left="200"/>
              <w:spacing w:after="0" w:line="198" w:lineRule="exact"/>
              <w:rPr>
                <w:sz w:val="20"/>
                <w:szCs w:val="20"/>
                <w:color w:val="auto"/>
              </w:rPr>
            </w:pPr>
            <w:r>
              <w:rPr>
                <w:rFonts w:ascii="Times New Roman" w:cs="Times New Roman" w:eastAsia="Times New Roman" w:hAnsi="Times New Roman"/>
                <w:sz w:val="18"/>
                <w:szCs w:val="18"/>
                <w:color w:val="auto"/>
              </w:rPr>
              <w:t>Preferred stock undesignated, $0.001 par value; 5,000 shares authorized; no shares issued or</w:t>
            </w:r>
          </w:p>
        </w:tc>
        <w:tc>
          <w:tcPr>
            <w:tcW w:w="220" w:type="dxa"/>
            <w:vAlign w:val="bottom"/>
          </w:tcPr>
          <w:p>
            <w:pPr>
              <w:spacing w:after="0"/>
              <w:rPr>
                <w:sz w:val="17"/>
                <w:szCs w:val="17"/>
                <w:color w:val="auto"/>
              </w:rPr>
            </w:pPr>
          </w:p>
        </w:tc>
        <w:tc>
          <w:tcPr>
            <w:tcW w:w="134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240" w:type="dxa"/>
            <w:vAlign w:val="bottom"/>
          </w:tcPr>
          <w:p>
            <w:pPr>
              <w:spacing w:after="0"/>
              <w:rPr>
                <w:sz w:val="17"/>
                <w:szCs w:val="17"/>
                <w:color w:val="auto"/>
              </w:rPr>
            </w:pPr>
          </w:p>
        </w:tc>
        <w:tc>
          <w:tcPr>
            <w:tcW w:w="1340" w:type="dxa"/>
            <w:vAlign w:val="bottom"/>
          </w:tcPr>
          <w:p>
            <w:pPr>
              <w:spacing w:after="0"/>
              <w:rPr>
                <w:sz w:val="17"/>
                <w:szCs w:val="17"/>
                <w:color w:val="auto"/>
              </w:rPr>
            </w:pPr>
          </w:p>
        </w:tc>
        <w:tc>
          <w:tcPr>
            <w:tcW w:w="100" w:type="dxa"/>
            <w:vAlign w:val="bottom"/>
          </w:tcPr>
          <w:p>
            <w:pPr>
              <w:spacing w:after="0"/>
              <w:rPr>
                <w:sz w:val="17"/>
                <w:szCs w:val="17"/>
                <w:color w:val="auto"/>
              </w:rPr>
            </w:pPr>
          </w:p>
        </w:tc>
      </w:tr>
      <w:tr>
        <w:trPr>
          <w:trHeight w:val="234"/>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outstanding</w:t>
            </w:r>
          </w:p>
        </w:tc>
        <w:tc>
          <w:tcPr>
            <w:tcW w:w="22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r>
      <w:tr>
        <w:trPr>
          <w:trHeight w:val="198"/>
        </w:trPr>
        <w:tc>
          <w:tcPr>
            <w:tcW w:w="7720" w:type="dxa"/>
            <w:vAlign w:val="bottom"/>
            <w:shd w:val="clear" w:color="auto" w:fill="CFF0FC"/>
          </w:tcPr>
          <w:p>
            <w:pPr>
              <w:ind w:left="200"/>
              <w:spacing w:after="0" w:line="198" w:lineRule="exact"/>
              <w:rPr>
                <w:sz w:val="20"/>
                <w:szCs w:val="20"/>
                <w:color w:val="auto"/>
              </w:rPr>
            </w:pPr>
            <w:r>
              <w:rPr>
                <w:rFonts w:ascii="Times New Roman" w:cs="Times New Roman" w:eastAsia="Times New Roman" w:hAnsi="Times New Roman"/>
                <w:sz w:val="18"/>
                <w:szCs w:val="18"/>
                <w:color w:val="auto"/>
              </w:rPr>
              <w:t>Class A common stock, $0.001 par value; 330,000 shares authorized; 226,138 shares issued and</w:t>
            </w:r>
          </w:p>
        </w:tc>
        <w:tc>
          <w:tcPr>
            <w:tcW w:w="220" w:type="dxa"/>
            <w:vAlign w:val="bottom"/>
            <w:shd w:val="clear" w:color="auto" w:fill="CFF0FC"/>
          </w:tcPr>
          <w:p>
            <w:pPr>
              <w:spacing w:after="0"/>
              <w:rPr>
                <w:sz w:val="17"/>
                <w:szCs w:val="17"/>
                <w:color w:val="auto"/>
              </w:rPr>
            </w:pPr>
          </w:p>
        </w:tc>
        <w:tc>
          <w:tcPr>
            <w:tcW w:w="134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240" w:type="dxa"/>
            <w:vAlign w:val="bottom"/>
            <w:shd w:val="clear" w:color="auto" w:fill="CFF0FC"/>
          </w:tcPr>
          <w:p>
            <w:pPr>
              <w:spacing w:after="0"/>
              <w:rPr>
                <w:sz w:val="17"/>
                <w:szCs w:val="17"/>
                <w:color w:val="auto"/>
              </w:rPr>
            </w:pPr>
          </w:p>
        </w:tc>
        <w:tc>
          <w:tcPr>
            <w:tcW w:w="134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r>
      <w:tr>
        <w:trPr>
          <w:trHeight w:val="234"/>
        </w:trPr>
        <w:tc>
          <w:tcPr>
            <w:tcW w:w="77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226,138 shares outstanding, and 157,725 shares issued and 149,041 shares outstanding, respectively</w:t>
            </w:r>
          </w:p>
        </w:tc>
        <w:tc>
          <w:tcPr>
            <w:tcW w:w="220" w:type="dxa"/>
            <w:vAlign w:val="bottom"/>
            <w:shd w:val="clear" w:color="auto" w:fill="CFF0FC"/>
          </w:tcPr>
          <w:p>
            <w:pPr>
              <w:spacing w:after="0"/>
              <w:rPr>
                <w:sz w:val="20"/>
                <w:szCs w:val="20"/>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226</w:t>
            </w:r>
          </w:p>
        </w:tc>
        <w:tc>
          <w:tcPr>
            <w:tcW w:w="28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w:t>
            </w:r>
          </w:p>
        </w:tc>
        <w:tc>
          <w:tcPr>
            <w:tcW w:w="100" w:type="dxa"/>
            <w:vAlign w:val="bottom"/>
            <w:shd w:val="clear" w:color="auto" w:fill="CFF0FC"/>
          </w:tcPr>
          <w:p>
            <w:pPr>
              <w:spacing w:after="0"/>
              <w:rPr>
                <w:sz w:val="20"/>
                <w:szCs w:val="20"/>
                <w:color w:val="auto"/>
              </w:rPr>
            </w:pPr>
          </w:p>
        </w:tc>
      </w:tr>
      <w:tr>
        <w:trPr>
          <w:trHeight w:val="198"/>
        </w:trPr>
        <w:tc>
          <w:tcPr>
            <w:tcW w:w="7720" w:type="dxa"/>
            <w:vAlign w:val="bottom"/>
          </w:tcPr>
          <w:p>
            <w:pPr>
              <w:ind w:left="200"/>
              <w:spacing w:after="0" w:line="198" w:lineRule="exact"/>
              <w:rPr>
                <w:sz w:val="20"/>
                <w:szCs w:val="20"/>
                <w:color w:val="auto"/>
              </w:rPr>
            </w:pPr>
            <w:r>
              <w:rPr>
                <w:rFonts w:ascii="Times New Roman" w:cs="Times New Roman" w:eastAsia="Times New Roman" w:hAnsi="Times New Roman"/>
                <w:sz w:val="18"/>
                <w:szCs w:val="18"/>
                <w:color w:val="auto"/>
              </w:rPr>
              <w:t>Class B convertible common stock, $0.001 par value; 165,000 shares authorized; 19,640 shares</w:t>
            </w:r>
          </w:p>
        </w:tc>
        <w:tc>
          <w:tcPr>
            <w:tcW w:w="220" w:type="dxa"/>
            <w:vAlign w:val="bottom"/>
          </w:tcPr>
          <w:p>
            <w:pPr>
              <w:spacing w:after="0"/>
              <w:rPr>
                <w:sz w:val="17"/>
                <w:szCs w:val="17"/>
                <w:color w:val="auto"/>
              </w:rPr>
            </w:pPr>
          </w:p>
        </w:tc>
        <w:tc>
          <w:tcPr>
            <w:tcW w:w="134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240" w:type="dxa"/>
            <w:vAlign w:val="bottom"/>
          </w:tcPr>
          <w:p>
            <w:pPr>
              <w:spacing w:after="0"/>
              <w:rPr>
                <w:sz w:val="17"/>
                <w:szCs w:val="17"/>
                <w:color w:val="auto"/>
              </w:rPr>
            </w:pPr>
          </w:p>
        </w:tc>
        <w:tc>
          <w:tcPr>
            <w:tcW w:w="1340" w:type="dxa"/>
            <w:vAlign w:val="bottom"/>
          </w:tcPr>
          <w:p>
            <w:pPr>
              <w:spacing w:after="0"/>
              <w:rPr>
                <w:sz w:val="17"/>
                <w:szCs w:val="17"/>
                <w:color w:val="auto"/>
              </w:rPr>
            </w:pPr>
          </w:p>
        </w:tc>
        <w:tc>
          <w:tcPr>
            <w:tcW w:w="100" w:type="dxa"/>
            <w:vAlign w:val="bottom"/>
          </w:tcPr>
          <w:p>
            <w:pPr>
              <w:spacing w:after="0"/>
              <w:rPr>
                <w:sz w:val="17"/>
                <w:szCs w:val="17"/>
                <w:color w:val="auto"/>
              </w:rPr>
            </w:pPr>
          </w:p>
        </w:tc>
      </w:tr>
      <w:tr>
        <w:trPr>
          <w:trHeight w:val="234"/>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issued and outstanding, and 19,640 shares issued and outstanding, respectively</w:t>
            </w:r>
          </w:p>
        </w:tc>
        <w:tc>
          <w:tcPr>
            <w:tcW w:w="22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w:t>
            </w:r>
          </w:p>
        </w:tc>
        <w:tc>
          <w:tcPr>
            <w:tcW w:w="100" w:type="dxa"/>
            <w:vAlign w:val="bottom"/>
          </w:tcPr>
          <w:p>
            <w:pPr>
              <w:spacing w:after="0"/>
              <w:rPr>
                <w:sz w:val="20"/>
                <w:szCs w:val="20"/>
                <w:color w:val="auto"/>
              </w:rPr>
            </w:pPr>
          </w:p>
        </w:tc>
      </w:tr>
      <w:tr>
        <w:trPr>
          <w:trHeight w:val="216"/>
        </w:trPr>
        <w:tc>
          <w:tcPr>
            <w:tcW w:w="77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Additional paid-in capital</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20,411,998</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3,957,728</w:t>
            </w:r>
          </w:p>
        </w:tc>
        <w:tc>
          <w:tcPr>
            <w:tcW w:w="100" w:type="dxa"/>
            <w:vAlign w:val="bottom"/>
            <w:shd w:val="clear" w:color="auto" w:fill="CFF0FC"/>
          </w:tcPr>
          <w:p>
            <w:pPr>
              <w:spacing w:after="0"/>
              <w:rPr>
                <w:sz w:val="18"/>
                <w:szCs w:val="18"/>
                <w:color w:val="auto"/>
              </w:rPr>
            </w:pPr>
          </w:p>
        </w:tc>
      </w:tr>
      <w:tr>
        <w:trPr>
          <w:trHeight w:val="216"/>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Treasury stock, at cost; 0 shares and 8,684 shares, respectively</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4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(782,104 )</w:t>
            </w:r>
          </w:p>
        </w:tc>
      </w:tr>
      <w:tr>
        <w:trPr>
          <w:trHeight w:val="216"/>
        </w:trPr>
        <w:tc>
          <w:tcPr>
            <w:tcW w:w="77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Accumulated other comprehensive loss</w:t>
            </w:r>
          </w:p>
        </w:tc>
        <w:tc>
          <w:tcPr>
            <w:tcW w:w="220" w:type="dxa"/>
            <w:vAlign w:val="bottom"/>
            <w:shd w:val="clear" w:color="auto" w:fill="CFF0FC"/>
          </w:tcPr>
          <w:p>
            <w:pPr>
              <w:spacing w:after="0"/>
              <w:rPr>
                <w:sz w:val="18"/>
                <w:szCs w:val="18"/>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(15,384 )</w:t>
            </w:r>
          </w:p>
        </w:tc>
        <w:tc>
          <w:tcPr>
            <w:tcW w:w="240" w:type="dxa"/>
            <w:vAlign w:val="bottom"/>
            <w:shd w:val="clear" w:color="auto" w:fill="CFF0FC"/>
          </w:tcPr>
          <w:p>
            <w:pPr>
              <w:spacing w:after="0"/>
              <w:rPr>
                <w:sz w:val="18"/>
                <w:szCs w:val="18"/>
                <w:color w:val="auto"/>
              </w:rPr>
            </w:pPr>
          </w:p>
        </w:tc>
        <w:tc>
          <w:tcPr>
            <w:tcW w:w="144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(11,444 )</w:t>
            </w:r>
          </w:p>
        </w:tc>
      </w:tr>
      <w:tr>
        <w:trPr>
          <w:trHeight w:val="216"/>
        </w:trPr>
        <w:tc>
          <w:tcPr>
            <w:tcW w:w="7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Accumulated deficit</w:t>
            </w:r>
          </w:p>
        </w:tc>
        <w:tc>
          <w:tcPr>
            <w:tcW w:w="220" w:type="dxa"/>
            <w:vAlign w:val="bottom"/>
          </w:tcPr>
          <w:p>
            <w:pPr>
              <w:spacing w:after="0"/>
              <w:rPr>
                <w:sz w:val="18"/>
                <w:szCs w:val="18"/>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(2,166,876 )</w:t>
            </w:r>
          </w:p>
        </w:tc>
        <w:tc>
          <w:tcPr>
            <w:tcW w:w="240" w:type="dxa"/>
            <w:vAlign w:val="bottom"/>
          </w:tcPr>
          <w:p>
            <w:pPr>
              <w:spacing w:after="0"/>
              <w:rPr>
                <w:sz w:val="18"/>
                <w:szCs w:val="18"/>
                <w:color w:val="auto"/>
              </w:rPr>
            </w:pPr>
          </w:p>
        </w:tc>
        <w:tc>
          <w:tcPr>
            <w:tcW w:w="144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(999,234 )</w:t>
            </w:r>
          </w:p>
        </w:tc>
      </w:tr>
      <w:tr>
        <w:trPr>
          <w:trHeight w:val="210"/>
        </w:trPr>
        <w:tc>
          <w:tcPr>
            <w:tcW w:w="7720" w:type="dxa"/>
            <w:vAlign w:val="bottom"/>
            <w:tcBorders>
              <w:bottom w:val="single" w:sz="8" w:color="CFF0FC"/>
            </w:tcBorders>
            <w:shd w:val="clear" w:color="auto" w:fill="CFF0FC"/>
          </w:tcPr>
          <w:p>
            <w:pPr>
              <w:ind w:left="560"/>
              <w:spacing w:after="0"/>
              <w:rPr>
                <w:sz w:val="20"/>
                <w:szCs w:val="20"/>
                <w:color w:val="auto"/>
              </w:rPr>
            </w:pPr>
            <w:r>
              <w:rPr>
                <w:rFonts w:ascii="Times New Roman" w:cs="Times New Roman" w:eastAsia="Times New Roman" w:hAnsi="Times New Roman"/>
                <w:sz w:val="18"/>
                <w:szCs w:val="18"/>
                <w:b w:val="1"/>
                <w:bCs w:val="1"/>
                <w:color w:val="auto"/>
              </w:rPr>
              <w:t>Total stockholders’ equity</w:t>
            </w:r>
          </w:p>
        </w:tc>
        <w:tc>
          <w:tcPr>
            <w:tcW w:w="220" w:type="dxa"/>
            <w:vAlign w:val="bottom"/>
            <w:tcBorders>
              <w:top w:val="single" w:sz="8" w:color="auto"/>
              <w:bottom w:val="single" w:sz="8" w:color="auto"/>
            </w:tcBorders>
            <w:shd w:val="clear" w:color="auto" w:fill="CFF0FC"/>
          </w:tcPr>
          <w:p>
            <w:pPr>
              <w:spacing w:after="0"/>
              <w:rPr>
                <w:sz w:val="18"/>
                <w:szCs w:val="18"/>
                <w:color w:val="auto"/>
              </w:rPr>
            </w:pPr>
          </w:p>
        </w:tc>
        <w:tc>
          <w:tcPr>
            <w:tcW w:w="13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18,229,984</w:t>
            </w:r>
          </w:p>
        </w:tc>
        <w:tc>
          <w:tcPr>
            <w:tcW w:w="280" w:type="dxa"/>
            <w:vAlign w:val="bottom"/>
            <w:tcBorders>
              <w:bottom w:val="single" w:sz="8" w:color="CFF0FC"/>
            </w:tcBorders>
            <w:shd w:val="clear" w:color="auto" w:fill="CFF0FC"/>
          </w:tcPr>
          <w:p>
            <w:pPr>
              <w:spacing w:after="0"/>
              <w:rPr>
                <w:sz w:val="18"/>
                <w:szCs w:val="18"/>
                <w:color w:val="auto"/>
              </w:rPr>
            </w:pPr>
          </w:p>
        </w:tc>
        <w:tc>
          <w:tcPr>
            <w:tcW w:w="240" w:type="dxa"/>
            <w:vAlign w:val="bottom"/>
            <w:tcBorders>
              <w:top w:val="single" w:sz="8" w:color="auto"/>
              <w:bottom w:val="single" w:sz="8" w:color="auto"/>
            </w:tcBorders>
            <w:shd w:val="clear" w:color="auto" w:fill="CFF0FC"/>
          </w:tcPr>
          <w:p>
            <w:pPr>
              <w:spacing w:after="0"/>
              <w:rPr>
                <w:sz w:val="18"/>
                <w:szCs w:val="18"/>
                <w:color w:val="auto"/>
              </w:rPr>
            </w:pPr>
          </w:p>
        </w:tc>
        <w:tc>
          <w:tcPr>
            <w:tcW w:w="13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2,164,972</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7720" w:type="dxa"/>
            <w:vAlign w:val="bottom"/>
          </w:tcPr>
          <w:p>
            <w:pPr>
              <w:ind w:left="560"/>
              <w:spacing w:after="0"/>
              <w:rPr>
                <w:sz w:val="20"/>
                <w:szCs w:val="20"/>
                <w:color w:val="auto"/>
              </w:rPr>
            </w:pPr>
            <w:r>
              <w:rPr>
                <w:rFonts w:ascii="Times New Roman" w:cs="Times New Roman" w:eastAsia="Times New Roman" w:hAnsi="Times New Roman"/>
                <w:sz w:val="18"/>
                <w:szCs w:val="18"/>
                <w:b w:val="1"/>
                <w:bCs w:val="1"/>
                <w:color w:val="auto"/>
              </w:rPr>
              <w:t>Total liabilities and stockholders’ equity</w:t>
            </w:r>
          </w:p>
        </w:tc>
        <w:tc>
          <w:tcPr>
            <w:tcW w:w="220" w:type="dxa"/>
            <w:vAlign w:val="bottom"/>
            <w:tcBorders>
              <w:bottom w:val="single" w:sz="8" w:color="auto"/>
            </w:tcBorders>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25,843,685</w:t>
            </w:r>
          </w:p>
        </w:tc>
        <w:tc>
          <w:tcPr>
            <w:tcW w:w="280" w:type="dxa"/>
            <w:vAlign w:val="bottom"/>
          </w:tcPr>
          <w:p>
            <w:pPr>
              <w:spacing w:after="0"/>
              <w:rPr>
                <w:sz w:val="18"/>
                <w:szCs w:val="18"/>
                <w:color w:val="auto"/>
              </w:rPr>
            </w:pPr>
          </w:p>
        </w:tc>
        <w:tc>
          <w:tcPr>
            <w:tcW w:w="240" w:type="dxa"/>
            <w:vAlign w:val="bottom"/>
            <w:tcBorders>
              <w:bottom w:val="single" w:sz="8" w:color="auto"/>
            </w:tcBorders>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4,762,528</w:t>
            </w:r>
          </w:p>
        </w:tc>
        <w:tc>
          <w:tcPr>
            <w:tcW w:w="100" w:type="dxa"/>
            <w:vAlign w:val="bottom"/>
          </w:tcPr>
          <w:p>
            <w:pPr>
              <w:spacing w:after="0"/>
              <w:rPr>
                <w:sz w:val="18"/>
                <w:szCs w:val="18"/>
                <w:color w:val="auto"/>
              </w:rPr>
            </w:pPr>
          </w:p>
        </w:tc>
      </w:tr>
      <w:tr>
        <w:trPr>
          <w:trHeight w:val="20"/>
        </w:trPr>
        <w:tc>
          <w:tcPr>
            <w:tcW w:w="7720" w:type="dxa"/>
            <w:vAlign w:val="bottom"/>
          </w:tcPr>
          <w:p>
            <w:pPr>
              <w:spacing w:after="0" w:line="20" w:lineRule="exact"/>
              <w:rPr>
                <w:sz w:val="1"/>
                <w:szCs w:val="1"/>
                <w:color w:val="auto"/>
              </w:rPr>
            </w:pPr>
          </w:p>
        </w:tc>
        <w:tc>
          <w:tcPr>
            <w:tcW w:w="220" w:type="dxa"/>
            <w:vAlign w:val="bottom"/>
            <w:tcBorders>
              <w:bottom w:val="single" w:sz="8" w:color="auto"/>
            </w:tcBorders>
          </w:tcPr>
          <w:p>
            <w:pPr>
              <w:spacing w:after="0" w:line="20" w:lineRule="exact"/>
              <w:rPr>
                <w:sz w:val="1"/>
                <w:szCs w:val="1"/>
                <w:color w:val="auto"/>
              </w:rPr>
            </w:pPr>
          </w:p>
        </w:tc>
        <w:tc>
          <w:tcPr>
            <w:tcW w:w="1340" w:type="dxa"/>
            <w:vAlign w:val="bottom"/>
            <w:tcBorders>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240" w:type="dxa"/>
            <w:vAlign w:val="bottom"/>
            <w:tcBorders>
              <w:bottom w:val="single" w:sz="8" w:color="auto"/>
            </w:tcBorders>
          </w:tcPr>
          <w:p>
            <w:pPr>
              <w:spacing w:after="0" w:line="20" w:lineRule="exact"/>
              <w:rPr>
                <w:sz w:val="1"/>
                <w:szCs w:val="1"/>
                <w:color w:val="auto"/>
              </w:rPr>
            </w:pPr>
          </w:p>
        </w:tc>
        <w:tc>
          <w:tcPr>
            <w:tcW w:w="134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5894070</wp:posOffset>
            </wp:positionH>
            <wp:positionV relativeFrom="paragraph">
              <wp:posOffset>-3933825</wp:posOffset>
            </wp:positionV>
            <wp:extent cx="68580" cy="8255"/>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5894070</wp:posOffset>
            </wp:positionH>
            <wp:positionV relativeFrom="paragraph">
              <wp:posOffset>-3916680</wp:posOffset>
            </wp:positionV>
            <wp:extent cx="68580" cy="8255"/>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-3933825</wp:posOffset>
            </wp:positionV>
            <wp:extent cx="68580" cy="8255"/>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-3916680</wp:posOffset>
            </wp:positionV>
            <wp:extent cx="68580" cy="8255"/>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5894070</wp:posOffset>
            </wp:positionH>
            <wp:positionV relativeFrom="paragraph">
              <wp:posOffset>-1971040</wp:posOffset>
            </wp:positionV>
            <wp:extent cx="68580" cy="889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-1971040</wp:posOffset>
            </wp:positionV>
            <wp:extent cx="68580" cy="8890"/>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5894070</wp:posOffset>
            </wp:positionH>
            <wp:positionV relativeFrom="paragraph">
              <wp:posOffset>-170815</wp:posOffset>
            </wp:positionV>
            <wp:extent cx="68580" cy="8255"/>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-170815</wp:posOffset>
            </wp:positionV>
            <wp:extent cx="68580" cy="8255"/>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1">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The accompanying notes are an integral part of these Consolidated Financial Statements.</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73" w:name="page74"/>
    <w:bookmarkEnd w:id="73"/>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STATEMENTS OF OPERATIONS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 except per share data)</w:t>
      </w:r>
    </w:p>
    <w:p>
      <w:pPr>
        <w:spacing w:after="0" w:line="200"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640" w:type="dxa"/>
            <w:vAlign w:val="bottom"/>
          </w:tcPr>
          <w:p>
            <w:pPr>
              <w:spacing w:after="0"/>
              <w:rPr>
                <w:sz w:val="15"/>
                <w:szCs w:val="15"/>
                <w:color w:val="auto"/>
              </w:rPr>
            </w:pPr>
          </w:p>
        </w:tc>
        <w:tc>
          <w:tcPr>
            <w:tcW w:w="300" w:type="dxa"/>
            <w:vAlign w:val="bottom"/>
            <w:tcBorders>
              <w:bottom w:val="single" w:sz="8" w:color="auto"/>
            </w:tcBorders>
          </w:tcPr>
          <w:p>
            <w:pPr>
              <w:spacing w:after="0"/>
              <w:rPr>
                <w:sz w:val="15"/>
                <w:szCs w:val="15"/>
                <w:color w:val="auto"/>
              </w:rPr>
            </w:pPr>
          </w:p>
        </w:tc>
        <w:tc>
          <w:tcPr>
            <w:tcW w:w="1040" w:type="dxa"/>
            <w:vAlign w:val="bottom"/>
            <w:tcBorders>
              <w:bottom w:val="single" w:sz="8" w:color="auto"/>
            </w:tcBorders>
          </w:tcPr>
          <w:p>
            <w:pPr>
              <w:spacing w:after="0"/>
              <w:rPr>
                <w:sz w:val="15"/>
                <w:szCs w:val="15"/>
                <w:color w:val="auto"/>
              </w:rPr>
            </w:pPr>
          </w:p>
        </w:tc>
        <w:tc>
          <w:tcPr>
            <w:tcW w:w="1820" w:type="dxa"/>
            <w:vAlign w:val="bottom"/>
            <w:tcBorders>
              <w:bottom w:val="single" w:sz="8" w:color="auto"/>
            </w:tcBorders>
            <w:gridSpan w:val="4"/>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320" w:type="dxa"/>
            <w:vAlign w:val="bottom"/>
            <w:tcBorders>
              <w:bottom w:val="single" w:sz="8" w:color="auto"/>
            </w:tcBorders>
          </w:tcPr>
          <w:p>
            <w:pPr>
              <w:spacing w:after="0"/>
              <w:rPr>
                <w:sz w:val="15"/>
                <w:szCs w:val="15"/>
                <w:color w:val="auto"/>
              </w:rPr>
            </w:pPr>
          </w:p>
        </w:tc>
        <w:tc>
          <w:tcPr>
            <w:tcW w:w="102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6640" w:type="dxa"/>
            <w:vAlign w:val="bottom"/>
          </w:tcPr>
          <w:p>
            <w:pPr>
              <w:spacing w:after="0"/>
              <w:rPr>
                <w:sz w:val="12"/>
                <w:szCs w:val="12"/>
                <w:color w:val="auto"/>
              </w:rPr>
            </w:pPr>
          </w:p>
        </w:tc>
        <w:tc>
          <w:tcPr>
            <w:tcW w:w="300" w:type="dxa"/>
            <w:vAlign w:val="bottom"/>
            <w:tcBorders>
              <w:bottom w:val="single" w:sz="8" w:color="auto"/>
            </w:tcBorders>
          </w:tcPr>
          <w:p>
            <w:pPr>
              <w:spacing w:after="0"/>
              <w:rPr>
                <w:sz w:val="12"/>
                <w:szCs w:val="12"/>
                <w:color w:val="auto"/>
              </w:rPr>
            </w:pPr>
          </w:p>
        </w:tc>
        <w:tc>
          <w:tcPr>
            <w:tcW w:w="1040" w:type="dxa"/>
            <w:vAlign w:val="bottom"/>
            <w:tcBorders>
              <w:bottom w:val="single" w:sz="8" w:color="auto"/>
            </w:tcBorders>
          </w:tcPr>
          <w:p>
            <w:pPr>
              <w:jc w:val="right"/>
              <w:ind w:right="451"/>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1"/>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4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1"/>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100" w:type="dxa"/>
            <w:vAlign w:val="bottom"/>
          </w:tcPr>
          <w:p>
            <w:pPr>
              <w:spacing w:after="0"/>
              <w:rPr>
                <w:sz w:val="12"/>
                <w:szCs w:val="12"/>
                <w:color w:val="auto"/>
              </w:rPr>
            </w:pPr>
          </w:p>
        </w:tc>
      </w:tr>
      <w:tr>
        <w:trPr>
          <w:trHeight w:val="210"/>
        </w:trPr>
        <w:tc>
          <w:tcPr>
            <w:tcW w:w="66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66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Product licenses</w:t>
            </w:r>
          </w:p>
        </w:tc>
        <w:tc>
          <w:tcPr>
            <w:tcW w:w="30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48,567</w:t>
            </w:r>
          </w:p>
        </w:tc>
        <w:tc>
          <w:tcPr>
            <w:tcW w:w="240" w:type="dxa"/>
            <w:vAlign w:val="bottom"/>
          </w:tcPr>
          <w:p>
            <w:pPr>
              <w:spacing w:after="0"/>
              <w:rPr>
                <w:sz w:val="18"/>
                <w:szCs w:val="18"/>
                <w:color w:val="auto"/>
              </w:rPr>
            </w:pP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75,351</w:t>
            </w:r>
          </w:p>
        </w:tc>
        <w:tc>
          <w:tcPr>
            <w:tcW w:w="240" w:type="dxa"/>
            <w:vAlign w:val="bottom"/>
          </w:tcPr>
          <w:p>
            <w:pPr>
              <w:spacing w:after="0"/>
              <w:rPr>
                <w:sz w:val="18"/>
                <w:szCs w:val="18"/>
                <w:color w:val="auto"/>
              </w:rPr>
            </w:pP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86,498</w:t>
            </w:r>
          </w:p>
        </w:tc>
        <w:tc>
          <w:tcPr>
            <w:tcW w:w="100" w:type="dxa"/>
            <w:vAlign w:val="bottom"/>
          </w:tcPr>
          <w:p>
            <w:pPr>
              <w:spacing w:after="0"/>
              <w:rPr>
                <w:sz w:val="18"/>
                <w:szCs w:val="18"/>
                <w:color w:val="auto"/>
              </w:rPr>
            </w:pPr>
          </w:p>
        </w:tc>
      </w:tr>
      <w:tr>
        <w:trPr>
          <w:trHeight w:val="216"/>
        </w:trPr>
        <w:tc>
          <w:tcPr>
            <w:tcW w:w="6640" w:type="dxa"/>
            <w:vAlign w:val="bottom"/>
            <w:tcBorders>
              <w:bottom w:val="single" w:sz="8" w:color="CFF0FC"/>
            </w:tcBorders>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Subscription services</w:t>
            </w:r>
          </w:p>
        </w:tc>
        <w:tc>
          <w:tcPr>
            <w:tcW w:w="300" w:type="dxa"/>
            <w:vAlign w:val="bottom"/>
            <w:tcBorders>
              <w:bottom w:val="single" w:sz="8" w:color="auto"/>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106,776</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81,179</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60,746</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64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30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155,343</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156,530</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147,244</w:t>
            </w:r>
          </w:p>
        </w:tc>
        <w:tc>
          <w:tcPr>
            <w:tcW w:w="100" w:type="dxa"/>
            <w:vAlign w:val="bottom"/>
          </w:tcPr>
          <w:p>
            <w:pPr>
              <w:spacing w:after="0"/>
              <w:rPr>
                <w:sz w:val="18"/>
                <w:szCs w:val="18"/>
                <w:color w:val="auto"/>
              </w:rPr>
            </w:pPr>
          </w:p>
        </w:tc>
      </w:tr>
      <w:tr>
        <w:trPr>
          <w:trHeight w:val="216"/>
        </w:trPr>
        <w:tc>
          <w:tcPr>
            <w:tcW w:w="66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Product support</w:t>
            </w: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243,805</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263,888</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266,521</w:t>
            </w:r>
          </w:p>
        </w:tc>
        <w:tc>
          <w:tcPr>
            <w:tcW w:w="100" w:type="dxa"/>
            <w:vAlign w:val="bottom"/>
            <w:shd w:val="clear" w:color="auto" w:fill="CFF0FC"/>
          </w:tcPr>
          <w:p>
            <w:pPr>
              <w:spacing w:after="0"/>
              <w:rPr>
                <w:sz w:val="18"/>
                <w:szCs w:val="18"/>
                <w:color w:val="auto"/>
              </w:rPr>
            </w:pPr>
          </w:p>
        </w:tc>
      </w:tr>
      <w:tr>
        <w:trPr>
          <w:trHeight w:val="216"/>
        </w:trPr>
        <w:tc>
          <w:tcPr>
            <w:tcW w:w="66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Other services</w:t>
            </w:r>
          </w:p>
        </w:tc>
        <w:tc>
          <w:tcPr>
            <w:tcW w:w="300" w:type="dxa"/>
            <w:vAlign w:val="bottom"/>
            <w:tcBorders>
              <w:bottom w:val="single" w:sz="8" w:color="auto"/>
            </w:tcBorders>
          </w:tcPr>
          <w:p>
            <w:pPr>
              <w:spacing w:after="0"/>
              <w:rPr>
                <w:sz w:val="18"/>
                <w:szCs w:val="18"/>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64,308</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75,843</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85,499</w:t>
            </w:r>
          </w:p>
        </w:tc>
        <w:tc>
          <w:tcPr>
            <w:tcW w:w="100" w:type="dxa"/>
            <w:vAlign w:val="bottom"/>
          </w:tcPr>
          <w:p>
            <w:pPr>
              <w:spacing w:after="0"/>
              <w:rPr>
                <w:sz w:val="18"/>
                <w:szCs w:val="18"/>
                <w:color w:val="auto"/>
              </w:rPr>
            </w:pPr>
          </w:p>
        </w:tc>
      </w:tr>
      <w:tr>
        <w:trPr>
          <w:trHeight w:val="209"/>
        </w:trPr>
        <w:tc>
          <w:tcPr>
            <w:tcW w:w="6640" w:type="dxa"/>
            <w:vAlign w:val="bottom"/>
            <w:tcBorders>
              <w:bottom w:val="single" w:sz="8" w:color="CFF0FC"/>
            </w:tcBorders>
            <w:shd w:val="clear" w:color="auto" w:fill="CFF0FC"/>
          </w:tcPr>
          <w:p>
            <w:pPr>
              <w:ind w:left="38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300" w:type="dxa"/>
            <w:vAlign w:val="bottom"/>
            <w:tcBorders>
              <w:bottom w:val="single" w:sz="8" w:color="auto"/>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463,456</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496,261</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499,264</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66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Cost of revenues:</w:t>
            </w:r>
          </w:p>
        </w:tc>
        <w:tc>
          <w:tcPr>
            <w:tcW w:w="300" w:type="dxa"/>
            <w:vAlign w:val="bottom"/>
          </w:tcPr>
          <w:p>
            <w:pPr>
              <w:spacing w:after="0"/>
              <w:rPr>
                <w:sz w:val="18"/>
                <w:szCs w:val="18"/>
                <w:color w:val="auto"/>
              </w:rPr>
            </w:pPr>
          </w:p>
        </w:tc>
        <w:tc>
          <w:tcPr>
            <w:tcW w:w="104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66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Product licenses</w:t>
            </w: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3,060</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1,929</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1,672</w:t>
            </w:r>
          </w:p>
        </w:tc>
        <w:tc>
          <w:tcPr>
            <w:tcW w:w="100" w:type="dxa"/>
            <w:vAlign w:val="bottom"/>
            <w:shd w:val="clear" w:color="auto" w:fill="CFF0FC"/>
          </w:tcPr>
          <w:p>
            <w:pPr>
              <w:spacing w:after="0"/>
              <w:rPr>
                <w:sz w:val="18"/>
                <w:szCs w:val="18"/>
                <w:color w:val="auto"/>
              </w:rPr>
            </w:pPr>
          </w:p>
        </w:tc>
      </w:tr>
      <w:tr>
        <w:trPr>
          <w:trHeight w:val="216"/>
        </w:trPr>
        <w:tc>
          <w:tcPr>
            <w:tcW w:w="66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Subscription services</w:t>
            </w:r>
          </w:p>
        </w:tc>
        <w:tc>
          <w:tcPr>
            <w:tcW w:w="300" w:type="dxa"/>
            <w:vAlign w:val="bottom"/>
            <w:tcBorders>
              <w:bottom w:val="single" w:sz="8" w:color="auto"/>
            </w:tcBorders>
          </w:tcPr>
          <w:p>
            <w:pPr>
              <w:spacing w:after="0"/>
              <w:rPr>
                <w:sz w:val="18"/>
                <w:szCs w:val="18"/>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42,440</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31,776</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24,770</w:t>
            </w:r>
          </w:p>
        </w:tc>
        <w:tc>
          <w:tcPr>
            <w:tcW w:w="100" w:type="dxa"/>
            <w:vAlign w:val="bottom"/>
          </w:tcPr>
          <w:p>
            <w:pPr>
              <w:spacing w:after="0"/>
              <w:rPr>
                <w:sz w:val="18"/>
                <w:szCs w:val="18"/>
                <w:color w:val="auto"/>
              </w:rPr>
            </w:pPr>
          </w:p>
        </w:tc>
      </w:tr>
      <w:tr>
        <w:trPr>
          <w:trHeight w:val="209"/>
        </w:trPr>
        <w:tc>
          <w:tcPr>
            <w:tcW w:w="664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45,500</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33,705</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26,442</w:t>
            </w:r>
          </w:p>
        </w:tc>
        <w:tc>
          <w:tcPr>
            <w:tcW w:w="100" w:type="dxa"/>
            <w:vAlign w:val="bottom"/>
            <w:shd w:val="clear" w:color="auto" w:fill="CFF0FC"/>
          </w:tcPr>
          <w:p>
            <w:pPr>
              <w:spacing w:after="0"/>
              <w:rPr>
                <w:sz w:val="18"/>
                <w:szCs w:val="18"/>
                <w:color w:val="auto"/>
              </w:rPr>
            </w:pPr>
          </w:p>
        </w:tc>
      </w:tr>
      <w:tr>
        <w:trPr>
          <w:trHeight w:val="216"/>
        </w:trPr>
        <w:tc>
          <w:tcPr>
            <w:tcW w:w="66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Product support</w:t>
            </w:r>
          </w:p>
        </w:tc>
        <w:tc>
          <w:tcPr>
            <w:tcW w:w="30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33,289</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22,434</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21,264</w:t>
            </w:r>
          </w:p>
        </w:tc>
        <w:tc>
          <w:tcPr>
            <w:tcW w:w="100" w:type="dxa"/>
            <w:vAlign w:val="bottom"/>
          </w:tcPr>
          <w:p>
            <w:pPr>
              <w:spacing w:after="0"/>
              <w:rPr>
                <w:sz w:val="18"/>
                <w:szCs w:val="18"/>
                <w:color w:val="auto"/>
              </w:rPr>
            </w:pPr>
          </w:p>
        </w:tc>
      </w:tr>
      <w:tr>
        <w:trPr>
          <w:trHeight w:val="216"/>
        </w:trPr>
        <w:tc>
          <w:tcPr>
            <w:tcW w:w="6640" w:type="dxa"/>
            <w:vAlign w:val="bottom"/>
            <w:tcBorders>
              <w:bottom w:val="single" w:sz="8" w:color="CFF0FC"/>
            </w:tcBorders>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Other services</w:t>
            </w:r>
          </w:p>
        </w:tc>
        <w:tc>
          <w:tcPr>
            <w:tcW w:w="300" w:type="dxa"/>
            <w:vAlign w:val="bottom"/>
            <w:tcBorders>
              <w:bottom w:val="single" w:sz="8" w:color="auto"/>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50,679</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53,805</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55,283</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640" w:type="dxa"/>
            <w:vAlign w:val="bottom"/>
          </w:tcPr>
          <w:p>
            <w:pPr>
              <w:ind w:left="380"/>
              <w:spacing w:after="0"/>
              <w:rPr>
                <w:sz w:val="20"/>
                <w:szCs w:val="20"/>
                <w:color w:val="auto"/>
              </w:rPr>
            </w:pPr>
            <w:r>
              <w:rPr>
                <w:rFonts w:ascii="Times New Roman" w:cs="Times New Roman" w:eastAsia="Times New Roman" w:hAnsi="Times New Roman"/>
                <w:sz w:val="18"/>
                <w:szCs w:val="18"/>
                <w:b w:val="1"/>
                <w:bCs w:val="1"/>
                <w:color w:val="auto"/>
              </w:rPr>
              <w:t>Total cost of revenues</w:t>
            </w:r>
          </w:p>
        </w:tc>
        <w:tc>
          <w:tcPr>
            <w:tcW w:w="300" w:type="dxa"/>
            <w:vAlign w:val="bottom"/>
            <w:tcBorders>
              <w:bottom w:val="single" w:sz="8" w:color="auto"/>
            </w:tcBorders>
          </w:tcPr>
          <w:p>
            <w:pPr>
              <w:spacing w:after="0"/>
              <w:rPr>
                <w:sz w:val="18"/>
                <w:szCs w:val="18"/>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129,468</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109,944</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102,989</w:t>
            </w:r>
          </w:p>
        </w:tc>
        <w:tc>
          <w:tcPr>
            <w:tcW w:w="100" w:type="dxa"/>
            <w:vAlign w:val="bottom"/>
          </w:tcPr>
          <w:p>
            <w:pPr>
              <w:spacing w:after="0"/>
              <w:rPr>
                <w:sz w:val="18"/>
                <w:szCs w:val="18"/>
                <w:color w:val="auto"/>
              </w:rPr>
            </w:pPr>
          </w:p>
        </w:tc>
      </w:tr>
      <w:tr>
        <w:trPr>
          <w:trHeight w:val="209"/>
        </w:trPr>
        <w:tc>
          <w:tcPr>
            <w:tcW w:w="664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Gross profit</w:t>
            </w:r>
          </w:p>
        </w:tc>
        <w:tc>
          <w:tcPr>
            <w:tcW w:w="300" w:type="dxa"/>
            <w:vAlign w:val="bottom"/>
            <w:tcBorders>
              <w:bottom w:val="single" w:sz="8" w:color="auto"/>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333,988</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386,317</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396,275</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66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Operating expenses:</w:t>
            </w:r>
          </w:p>
        </w:tc>
        <w:tc>
          <w:tcPr>
            <w:tcW w:w="300" w:type="dxa"/>
            <w:vAlign w:val="bottom"/>
          </w:tcPr>
          <w:p>
            <w:pPr>
              <w:spacing w:after="0"/>
              <w:rPr>
                <w:sz w:val="18"/>
                <w:szCs w:val="18"/>
                <w:color w:val="auto"/>
              </w:rPr>
            </w:pPr>
          </w:p>
        </w:tc>
        <w:tc>
          <w:tcPr>
            <w:tcW w:w="104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66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Sales and marketing</w:t>
            </w: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138,081</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149,671</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146,882</w:t>
            </w:r>
          </w:p>
        </w:tc>
        <w:tc>
          <w:tcPr>
            <w:tcW w:w="100" w:type="dxa"/>
            <w:vAlign w:val="bottom"/>
            <w:shd w:val="clear" w:color="auto" w:fill="CFF0FC"/>
          </w:tcPr>
          <w:p>
            <w:pPr>
              <w:spacing w:after="0"/>
              <w:rPr>
                <w:sz w:val="18"/>
                <w:szCs w:val="18"/>
                <w:color w:val="auto"/>
              </w:rPr>
            </w:pPr>
          </w:p>
        </w:tc>
      </w:tr>
      <w:tr>
        <w:trPr>
          <w:trHeight w:val="216"/>
        </w:trPr>
        <w:tc>
          <w:tcPr>
            <w:tcW w:w="66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Research and development</w:t>
            </w:r>
          </w:p>
        </w:tc>
        <w:tc>
          <w:tcPr>
            <w:tcW w:w="30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118,486</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120,530</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127,428</w:t>
            </w:r>
          </w:p>
        </w:tc>
        <w:tc>
          <w:tcPr>
            <w:tcW w:w="100" w:type="dxa"/>
            <w:vAlign w:val="bottom"/>
          </w:tcPr>
          <w:p>
            <w:pPr>
              <w:spacing w:after="0"/>
              <w:rPr>
                <w:sz w:val="18"/>
                <w:szCs w:val="18"/>
                <w:color w:val="auto"/>
              </w:rPr>
            </w:pPr>
          </w:p>
        </w:tc>
      </w:tr>
      <w:tr>
        <w:trPr>
          <w:trHeight w:val="216"/>
        </w:trPr>
        <w:tc>
          <w:tcPr>
            <w:tcW w:w="66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140,537</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115,312</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111,421</w:t>
            </w:r>
          </w:p>
        </w:tc>
        <w:tc>
          <w:tcPr>
            <w:tcW w:w="100" w:type="dxa"/>
            <w:vAlign w:val="bottom"/>
            <w:shd w:val="clear" w:color="auto" w:fill="CFF0FC"/>
          </w:tcPr>
          <w:p>
            <w:pPr>
              <w:spacing w:after="0"/>
              <w:rPr>
                <w:sz w:val="18"/>
                <w:szCs w:val="18"/>
                <w:color w:val="auto"/>
              </w:rPr>
            </w:pPr>
          </w:p>
        </w:tc>
      </w:tr>
      <w:tr>
        <w:trPr>
          <w:trHeight w:val="216"/>
        </w:trPr>
        <w:tc>
          <w:tcPr>
            <w:tcW w:w="66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 impairment losses (gains on sale), net</w:t>
            </w:r>
          </w:p>
        </w:tc>
        <w:tc>
          <w:tcPr>
            <w:tcW w:w="300" w:type="dxa"/>
            <w:vAlign w:val="bottom"/>
            <w:tcBorders>
              <w:bottom w:val="single" w:sz="8" w:color="auto"/>
            </w:tcBorders>
          </w:tcPr>
          <w:p>
            <w:pPr>
              <w:spacing w:after="0"/>
              <w:rPr>
                <w:sz w:val="18"/>
                <w:szCs w:val="18"/>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1,789,862</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115,851</w:t>
            </w:r>
          </w:p>
        </w:tc>
        <w:tc>
          <w:tcPr>
            <w:tcW w:w="2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1,286,286</w:t>
            </w:r>
          </w:p>
        </w:tc>
        <w:tc>
          <w:tcPr>
            <w:tcW w:w="100" w:type="dxa"/>
            <w:vAlign w:val="bottom"/>
          </w:tcPr>
          <w:p>
            <w:pPr>
              <w:spacing w:after="0"/>
              <w:rPr>
                <w:sz w:val="18"/>
                <w:szCs w:val="18"/>
                <w:color w:val="auto"/>
              </w:rPr>
            </w:pPr>
          </w:p>
        </w:tc>
      </w:tr>
      <w:tr>
        <w:trPr>
          <w:trHeight w:val="210"/>
        </w:trPr>
        <w:tc>
          <w:tcPr>
            <w:tcW w:w="6640" w:type="dxa"/>
            <w:vAlign w:val="bottom"/>
            <w:tcBorders>
              <w:bottom w:val="single" w:sz="8" w:color="CFF0FC"/>
            </w:tcBorders>
            <w:shd w:val="clear" w:color="auto" w:fill="CFF0FC"/>
          </w:tcPr>
          <w:p>
            <w:pPr>
              <w:ind w:left="380"/>
              <w:spacing w:after="0"/>
              <w:rPr>
                <w:sz w:val="20"/>
                <w:szCs w:val="20"/>
                <w:color w:val="auto"/>
              </w:rPr>
            </w:pPr>
            <w:r>
              <w:rPr>
                <w:rFonts w:ascii="Times New Roman" w:cs="Times New Roman" w:eastAsia="Times New Roman" w:hAnsi="Times New Roman"/>
                <w:sz w:val="18"/>
                <w:szCs w:val="18"/>
                <w:b w:val="1"/>
                <w:bCs w:val="1"/>
                <w:color w:val="auto"/>
              </w:rPr>
              <w:t>Total operating expenses</w:t>
            </w:r>
          </w:p>
        </w:tc>
        <w:tc>
          <w:tcPr>
            <w:tcW w:w="300" w:type="dxa"/>
            <w:vAlign w:val="bottom"/>
            <w:tcBorders>
              <w:bottom w:val="single" w:sz="8" w:color="auto"/>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2,186,966</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501,364</w:t>
            </w:r>
          </w:p>
        </w:tc>
        <w:tc>
          <w:tcPr>
            <w:tcW w:w="2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1,672,017</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66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from operations</w:t>
            </w:r>
          </w:p>
        </w:tc>
        <w:tc>
          <w:tcPr>
            <w:tcW w:w="300" w:type="dxa"/>
            <w:vAlign w:val="bottom"/>
          </w:tcPr>
          <w:p>
            <w:pPr>
              <w:spacing w:after="0"/>
              <w:rPr>
                <w:sz w:val="18"/>
                <w:szCs w:val="18"/>
                <w:color w:val="auto"/>
              </w:rPr>
            </w:pPr>
          </w:p>
        </w:tc>
        <w:tc>
          <w:tcPr>
            <w:tcW w:w="1280" w:type="dxa"/>
            <w:vAlign w:val="bottom"/>
            <w:gridSpan w:val="2"/>
          </w:tcPr>
          <w:p>
            <w:pPr>
              <w:jc w:val="right"/>
              <w:ind w:right="108"/>
              <w:spacing w:after="0"/>
              <w:rPr>
                <w:sz w:val="20"/>
                <w:szCs w:val="20"/>
                <w:color w:val="auto"/>
              </w:rPr>
            </w:pPr>
            <w:r>
              <w:rPr>
                <w:rFonts w:ascii="Times New Roman" w:cs="Times New Roman" w:eastAsia="Times New Roman" w:hAnsi="Times New Roman"/>
                <w:sz w:val="18"/>
                <w:szCs w:val="18"/>
                <w:color w:val="auto"/>
              </w:rPr>
              <w:t>(1,852,978 )</w:t>
            </w:r>
          </w:p>
        </w:tc>
        <w:tc>
          <w:tcPr>
            <w:tcW w:w="320" w:type="dxa"/>
            <w:vAlign w:val="bottom"/>
          </w:tcPr>
          <w:p>
            <w:pPr>
              <w:spacing w:after="0"/>
              <w:rPr>
                <w:sz w:val="18"/>
                <w:szCs w:val="18"/>
                <w:color w:val="auto"/>
              </w:rPr>
            </w:pPr>
          </w:p>
        </w:tc>
        <w:tc>
          <w:tcPr>
            <w:tcW w:w="126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(115,047 )</w:t>
            </w:r>
          </w:p>
        </w:tc>
        <w:tc>
          <w:tcPr>
            <w:tcW w:w="320" w:type="dxa"/>
            <w:vAlign w:val="bottom"/>
          </w:tcPr>
          <w:p>
            <w:pPr>
              <w:spacing w:after="0"/>
              <w:rPr>
                <w:sz w:val="18"/>
                <w:szCs w:val="18"/>
                <w:color w:val="auto"/>
              </w:rPr>
            </w:pPr>
          </w:p>
        </w:tc>
        <w:tc>
          <w:tcPr>
            <w:tcW w:w="112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(1,275,742 )</w:t>
            </w:r>
          </w:p>
        </w:tc>
      </w:tr>
      <w:tr>
        <w:trPr>
          <w:trHeight w:val="216"/>
        </w:trPr>
        <w:tc>
          <w:tcPr>
            <w:tcW w:w="66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Interest expense, net</w:t>
            </w:r>
          </w:p>
        </w:tc>
        <w:tc>
          <w:tcPr>
            <w:tcW w:w="300" w:type="dxa"/>
            <w:vAlign w:val="bottom"/>
            <w:shd w:val="clear" w:color="auto" w:fill="CFF0FC"/>
          </w:tcPr>
          <w:p>
            <w:pPr>
              <w:spacing w:after="0"/>
              <w:rPr>
                <w:sz w:val="18"/>
                <w:szCs w:val="18"/>
                <w:color w:val="auto"/>
              </w:rPr>
            </w:pPr>
          </w:p>
        </w:tc>
        <w:tc>
          <w:tcPr>
            <w:tcW w:w="1280" w:type="dxa"/>
            <w:vAlign w:val="bottom"/>
            <w:gridSpan w:val="2"/>
            <w:shd w:val="clear" w:color="auto" w:fill="CFF0FC"/>
          </w:tcPr>
          <w:p>
            <w:pPr>
              <w:jc w:val="right"/>
              <w:ind w:right="108"/>
              <w:spacing w:after="0"/>
              <w:rPr>
                <w:sz w:val="20"/>
                <w:szCs w:val="20"/>
                <w:color w:val="auto"/>
              </w:rPr>
            </w:pPr>
            <w:r>
              <w:rPr>
                <w:rFonts w:ascii="Times New Roman" w:cs="Times New Roman" w:eastAsia="Times New Roman" w:hAnsi="Times New Roman"/>
                <w:sz w:val="18"/>
                <w:szCs w:val="18"/>
                <w:color w:val="auto"/>
              </w:rPr>
              <w:t>(61,941 )</w:t>
            </w:r>
          </w:p>
        </w:tc>
        <w:tc>
          <w:tcPr>
            <w:tcW w:w="320" w:type="dxa"/>
            <w:vAlign w:val="bottom"/>
            <w:shd w:val="clear" w:color="auto" w:fill="CFF0FC"/>
          </w:tcPr>
          <w:p>
            <w:pPr>
              <w:spacing w:after="0"/>
              <w:rPr>
                <w:sz w:val="18"/>
                <w:szCs w:val="18"/>
                <w:color w:val="auto"/>
              </w:rPr>
            </w:pPr>
          </w:p>
        </w:tc>
        <w:tc>
          <w:tcPr>
            <w:tcW w:w="126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(48,960 )</w:t>
            </w:r>
          </w:p>
        </w:tc>
        <w:tc>
          <w:tcPr>
            <w:tcW w:w="320" w:type="dxa"/>
            <w:vAlign w:val="bottom"/>
            <w:shd w:val="clear" w:color="auto" w:fill="CFF0FC"/>
          </w:tcPr>
          <w:p>
            <w:pPr>
              <w:spacing w:after="0"/>
              <w:rPr>
                <w:sz w:val="18"/>
                <w:szCs w:val="18"/>
                <w:color w:val="auto"/>
              </w:rPr>
            </w:pPr>
          </w:p>
        </w:tc>
        <w:tc>
          <w:tcPr>
            <w:tcW w:w="112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(53,136 )</w:t>
            </w:r>
          </w:p>
        </w:tc>
      </w:tr>
      <w:tr>
        <w:trPr>
          <w:trHeight w:val="216"/>
        </w:trPr>
        <w:tc>
          <w:tcPr>
            <w:tcW w:w="66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(Loss) gain on debt extinguishment</w:t>
            </w:r>
          </w:p>
        </w:tc>
        <w:tc>
          <w:tcPr>
            <w:tcW w:w="300" w:type="dxa"/>
            <w:vAlign w:val="bottom"/>
          </w:tcPr>
          <w:p>
            <w:pPr>
              <w:spacing w:after="0"/>
              <w:rPr>
                <w:sz w:val="18"/>
                <w:szCs w:val="18"/>
                <w:color w:val="auto"/>
              </w:rPr>
            </w:pPr>
          </w:p>
        </w:tc>
        <w:tc>
          <w:tcPr>
            <w:tcW w:w="1280" w:type="dxa"/>
            <w:vAlign w:val="bottom"/>
            <w:gridSpan w:val="2"/>
          </w:tcPr>
          <w:p>
            <w:pPr>
              <w:jc w:val="right"/>
              <w:ind w:right="108"/>
              <w:spacing w:after="0"/>
              <w:rPr>
                <w:sz w:val="20"/>
                <w:szCs w:val="20"/>
                <w:color w:val="auto"/>
              </w:rPr>
            </w:pPr>
            <w:r>
              <w:rPr>
                <w:rFonts w:ascii="Times New Roman" w:cs="Times New Roman" w:eastAsia="Times New Roman" w:hAnsi="Times New Roman"/>
                <w:sz w:val="18"/>
                <w:szCs w:val="18"/>
                <w:color w:val="auto"/>
              </w:rPr>
              <w:t>(22,933 )</w:t>
            </w: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44,686</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r>
      <w:tr>
        <w:trPr>
          <w:trHeight w:val="216"/>
        </w:trPr>
        <w:tc>
          <w:tcPr>
            <w:tcW w:w="66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Other income (expense), net</w:t>
            </w: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3,506</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26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(5,204 )</w:t>
            </w: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6,413</w:t>
            </w:r>
          </w:p>
        </w:tc>
        <w:tc>
          <w:tcPr>
            <w:tcW w:w="100" w:type="dxa"/>
            <w:vAlign w:val="bottom"/>
            <w:shd w:val="clear" w:color="auto" w:fill="CFF0FC"/>
          </w:tcPr>
          <w:p>
            <w:pPr>
              <w:spacing w:after="0"/>
              <w:rPr>
                <w:sz w:val="18"/>
                <w:szCs w:val="18"/>
                <w:color w:val="auto"/>
              </w:rPr>
            </w:pPr>
          </w:p>
        </w:tc>
      </w:tr>
      <w:tr>
        <w:trPr>
          <w:trHeight w:val="20"/>
        </w:trPr>
        <w:tc>
          <w:tcPr>
            <w:tcW w:w="6640" w:type="dxa"/>
            <w:vAlign w:val="bottom"/>
            <w:shd w:val="clear" w:color="auto" w:fill="CFF0FC"/>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r>
      <w:tr>
        <w:trPr>
          <w:trHeight w:val="209"/>
        </w:trPr>
        <w:tc>
          <w:tcPr>
            <w:tcW w:w="66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before income taxes</w:t>
            </w:r>
          </w:p>
        </w:tc>
        <w:tc>
          <w:tcPr>
            <w:tcW w:w="300" w:type="dxa"/>
            <w:vAlign w:val="bottom"/>
          </w:tcPr>
          <w:p>
            <w:pPr>
              <w:spacing w:after="0"/>
              <w:rPr>
                <w:sz w:val="18"/>
                <w:szCs w:val="18"/>
                <w:color w:val="auto"/>
              </w:rPr>
            </w:pPr>
          </w:p>
        </w:tc>
        <w:tc>
          <w:tcPr>
            <w:tcW w:w="1280" w:type="dxa"/>
            <w:vAlign w:val="bottom"/>
            <w:gridSpan w:val="2"/>
          </w:tcPr>
          <w:p>
            <w:pPr>
              <w:jc w:val="right"/>
              <w:ind w:right="108"/>
              <w:spacing w:after="0"/>
              <w:rPr>
                <w:sz w:val="20"/>
                <w:szCs w:val="20"/>
                <w:color w:val="auto"/>
              </w:rPr>
            </w:pPr>
            <w:r>
              <w:rPr>
                <w:rFonts w:ascii="Times New Roman" w:cs="Times New Roman" w:eastAsia="Times New Roman" w:hAnsi="Times New Roman"/>
                <w:sz w:val="18"/>
                <w:szCs w:val="18"/>
                <w:color w:val="auto"/>
              </w:rPr>
              <w:t>(1,934,346 )</w:t>
            </w:r>
          </w:p>
        </w:tc>
        <w:tc>
          <w:tcPr>
            <w:tcW w:w="320" w:type="dxa"/>
            <w:vAlign w:val="bottom"/>
          </w:tcPr>
          <w:p>
            <w:pPr>
              <w:spacing w:after="0"/>
              <w:rPr>
                <w:sz w:val="18"/>
                <w:szCs w:val="18"/>
                <w:color w:val="auto"/>
              </w:rPr>
            </w:pPr>
          </w:p>
        </w:tc>
        <w:tc>
          <w:tcPr>
            <w:tcW w:w="126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(124,525 )</w:t>
            </w:r>
          </w:p>
        </w:tc>
        <w:tc>
          <w:tcPr>
            <w:tcW w:w="320" w:type="dxa"/>
            <w:vAlign w:val="bottom"/>
          </w:tcPr>
          <w:p>
            <w:pPr>
              <w:spacing w:after="0"/>
              <w:rPr>
                <w:sz w:val="18"/>
                <w:szCs w:val="18"/>
                <w:color w:val="auto"/>
              </w:rPr>
            </w:pPr>
          </w:p>
        </w:tc>
        <w:tc>
          <w:tcPr>
            <w:tcW w:w="112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(1,322,465 )</w:t>
            </w:r>
          </w:p>
        </w:tc>
      </w:tr>
      <w:tr>
        <w:trPr>
          <w:trHeight w:val="216"/>
        </w:trPr>
        <w:tc>
          <w:tcPr>
            <w:tcW w:w="66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(Benefit from) provision for income taxes</w:t>
            </w:r>
          </w:p>
        </w:tc>
        <w:tc>
          <w:tcPr>
            <w:tcW w:w="300" w:type="dxa"/>
            <w:vAlign w:val="bottom"/>
            <w:shd w:val="clear" w:color="auto" w:fill="CFF0FC"/>
          </w:tcPr>
          <w:p>
            <w:pPr>
              <w:spacing w:after="0"/>
              <w:rPr>
                <w:sz w:val="18"/>
                <w:szCs w:val="18"/>
                <w:color w:val="auto"/>
              </w:rPr>
            </w:pPr>
          </w:p>
        </w:tc>
        <w:tc>
          <w:tcPr>
            <w:tcW w:w="1280" w:type="dxa"/>
            <w:vAlign w:val="bottom"/>
            <w:gridSpan w:val="2"/>
            <w:shd w:val="clear" w:color="auto" w:fill="CFF0FC"/>
          </w:tcPr>
          <w:p>
            <w:pPr>
              <w:jc w:val="right"/>
              <w:ind w:right="108"/>
              <w:spacing w:after="0"/>
              <w:rPr>
                <w:sz w:val="20"/>
                <w:szCs w:val="20"/>
                <w:color w:val="auto"/>
              </w:rPr>
            </w:pPr>
            <w:r>
              <w:rPr>
                <w:rFonts w:ascii="Times New Roman" w:cs="Times New Roman" w:eastAsia="Times New Roman" w:hAnsi="Times New Roman"/>
                <w:sz w:val="18"/>
                <w:szCs w:val="18"/>
                <w:color w:val="auto"/>
              </w:rPr>
              <w:t>(767,685 )</w:t>
            </w:r>
          </w:p>
        </w:tc>
        <w:tc>
          <w:tcPr>
            <w:tcW w:w="320" w:type="dxa"/>
            <w:vAlign w:val="bottom"/>
            <w:shd w:val="clear" w:color="auto" w:fill="CFF0FC"/>
          </w:tcPr>
          <w:p>
            <w:pPr>
              <w:spacing w:after="0"/>
              <w:rPr>
                <w:sz w:val="18"/>
                <w:szCs w:val="18"/>
                <w:color w:val="auto"/>
              </w:rPr>
            </w:pPr>
          </w:p>
        </w:tc>
        <w:tc>
          <w:tcPr>
            <w:tcW w:w="126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(553,646 )</w:t>
            </w: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147,332</w:t>
            </w:r>
          </w:p>
        </w:tc>
        <w:tc>
          <w:tcPr>
            <w:tcW w:w="100" w:type="dxa"/>
            <w:vAlign w:val="bottom"/>
            <w:shd w:val="clear" w:color="auto" w:fill="CFF0FC"/>
          </w:tcPr>
          <w:p>
            <w:pPr>
              <w:spacing w:after="0"/>
              <w:rPr>
                <w:sz w:val="18"/>
                <w:szCs w:val="18"/>
                <w:color w:val="auto"/>
              </w:rPr>
            </w:pPr>
          </w:p>
        </w:tc>
      </w:tr>
      <w:tr>
        <w:trPr>
          <w:trHeight w:val="20"/>
        </w:trPr>
        <w:tc>
          <w:tcPr>
            <w:tcW w:w="6640" w:type="dxa"/>
            <w:vAlign w:val="bottom"/>
            <w:shd w:val="clear" w:color="auto" w:fill="CFF0FC"/>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r>
      <w:tr>
        <w:trPr>
          <w:trHeight w:val="209"/>
        </w:trPr>
        <w:tc>
          <w:tcPr>
            <w:tcW w:w="66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Net (loss) income</w:t>
            </w:r>
          </w:p>
        </w:tc>
        <w:tc>
          <w:tcPr>
            <w:tcW w:w="300" w:type="dxa"/>
            <w:vAlign w:val="bottom"/>
          </w:tcPr>
          <w:p>
            <w:pPr>
              <w:spacing w:after="0"/>
              <w:rPr>
                <w:sz w:val="18"/>
                <w:szCs w:val="18"/>
                <w:color w:val="auto"/>
              </w:rPr>
            </w:pPr>
          </w:p>
        </w:tc>
        <w:tc>
          <w:tcPr>
            <w:tcW w:w="1280" w:type="dxa"/>
            <w:vAlign w:val="bottom"/>
            <w:gridSpan w:val="2"/>
          </w:tcPr>
          <w:p>
            <w:pPr>
              <w:jc w:val="right"/>
              <w:ind w:right="108"/>
              <w:spacing w:after="0"/>
              <w:rPr>
                <w:sz w:val="20"/>
                <w:szCs w:val="20"/>
                <w:color w:val="auto"/>
              </w:rPr>
            </w:pPr>
            <w:r>
              <w:rPr>
                <w:rFonts w:ascii="Times New Roman" w:cs="Times New Roman" w:eastAsia="Times New Roman" w:hAnsi="Times New Roman"/>
                <w:sz w:val="18"/>
                <w:szCs w:val="18"/>
                <w:color w:val="auto"/>
              </w:rPr>
              <w:t>(1,166,661 )</w:t>
            </w: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429,121</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12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(1,469,797 )</w:t>
            </w:r>
          </w:p>
        </w:tc>
      </w:tr>
      <w:tr>
        <w:trPr>
          <w:trHeight w:val="20"/>
        </w:trPr>
        <w:tc>
          <w:tcPr>
            <w:tcW w:w="6640" w:type="dxa"/>
            <w:vAlign w:val="bottom"/>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50"/>
        </w:trPr>
        <w:tc>
          <w:tcPr>
            <w:tcW w:w="66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Basic (loss) earnings per share (1)</w:t>
            </w:r>
          </w:p>
        </w:tc>
        <w:tc>
          <w:tcPr>
            <w:tcW w:w="30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gridSpan w:val="2"/>
            <w:shd w:val="clear" w:color="auto" w:fill="CFF0FC"/>
          </w:tcPr>
          <w:p>
            <w:pPr>
              <w:jc w:val="right"/>
              <w:ind w:right="108"/>
              <w:spacing w:after="0"/>
              <w:rPr>
                <w:sz w:val="20"/>
                <w:szCs w:val="20"/>
                <w:color w:val="auto"/>
              </w:rPr>
            </w:pPr>
            <w:r>
              <w:rPr>
                <w:rFonts w:ascii="Times New Roman" w:cs="Times New Roman" w:eastAsia="Times New Roman" w:hAnsi="Times New Roman"/>
                <w:sz w:val="18"/>
                <w:szCs w:val="18"/>
                <w:color w:val="auto"/>
              </w:rPr>
              <w:t>(6.06 )</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3.14</w:t>
            </w:r>
          </w:p>
        </w:tc>
        <w:tc>
          <w:tcPr>
            <w:tcW w:w="240" w:type="dxa"/>
            <w:vAlign w:val="bottom"/>
            <w:shd w:val="clear" w:color="auto" w:fill="CFF0FC"/>
          </w:tcPr>
          <w:p>
            <w:pPr>
              <w:spacing w:after="0"/>
              <w:rPr>
                <w:sz w:val="21"/>
                <w:szCs w:val="21"/>
                <w:color w:val="auto"/>
              </w:rPr>
            </w:pP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(12.98 )</w:t>
            </w:r>
          </w:p>
        </w:tc>
      </w:tr>
      <w:tr>
        <w:trPr>
          <w:trHeight w:val="197"/>
        </w:trPr>
        <w:tc>
          <w:tcPr>
            <w:tcW w:w="6640" w:type="dxa"/>
            <w:vAlign w:val="bottom"/>
            <w:tcBorders>
              <w:top w:val="single" w:sz="8" w:color="CFF0FC"/>
            </w:tcBorders>
          </w:tcPr>
          <w:p>
            <w:pPr>
              <w:ind w:left="20"/>
              <w:spacing w:after="0" w:line="196" w:lineRule="exact"/>
              <w:rPr>
                <w:sz w:val="20"/>
                <w:szCs w:val="20"/>
                <w:color w:val="auto"/>
              </w:rPr>
            </w:pPr>
            <w:r>
              <w:rPr>
                <w:rFonts w:ascii="Times New Roman" w:cs="Times New Roman" w:eastAsia="Times New Roman" w:hAnsi="Times New Roman"/>
                <w:sz w:val="18"/>
                <w:szCs w:val="18"/>
                <w:color w:val="auto"/>
              </w:rPr>
              <w:t>Weighted average shares outstanding used in computing basic (loss) earnings per share</w:t>
            </w:r>
          </w:p>
        </w:tc>
        <w:tc>
          <w:tcPr>
            <w:tcW w:w="300" w:type="dxa"/>
            <w:vAlign w:val="bottom"/>
            <w:tcBorders>
              <w:top w:val="single" w:sz="8" w:color="auto"/>
              <w:bottom w:val="single" w:sz="8" w:color="auto"/>
            </w:tcBorders>
          </w:tcPr>
          <w:p>
            <w:pPr>
              <w:spacing w:after="0"/>
              <w:rPr>
                <w:sz w:val="17"/>
                <w:szCs w:val="17"/>
                <w:color w:val="auto"/>
              </w:rPr>
            </w:pPr>
          </w:p>
        </w:tc>
        <w:tc>
          <w:tcPr>
            <w:tcW w:w="1040" w:type="dxa"/>
            <w:vAlign w:val="bottom"/>
            <w:tcBorders>
              <w:top w:val="single" w:sz="8" w:color="auto"/>
              <w:bottom w:val="single" w:sz="8" w:color="auto"/>
            </w:tcBorders>
          </w:tcPr>
          <w:p>
            <w:pPr>
              <w:jc w:val="right"/>
              <w:spacing w:after="0" w:line="196" w:lineRule="exact"/>
              <w:rPr>
                <w:sz w:val="20"/>
                <w:szCs w:val="20"/>
                <w:color w:val="auto"/>
              </w:rPr>
            </w:pPr>
            <w:r>
              <w:rPr>
                <w:rFonts w:ascii="Times New Roman" w:cs="Times New Roman" w:eastAsia="Times New Roman" w:hAnsi="Times New Roman"/>
                <w:sz w:val="18"/>
                <w:szCs w:val="18"/>
                <w:color w:val="auto"/>
              </w:rPr>
              <w:t>192,549</w:t>
            </w:r>
          </w:p>
        </w:tc>
        <w:tc>
          <w:tcPr>
            <w:tcW w:w="240" w:type="dxa"/>
            <w:vAlign w:val="bottom"/>
            <w:tcBorders>
              <w:top w:val="single" w:sz="8" w:color="CFF0FC"/>
            </w:tcBorders>
          </w:tcPr>
          <w:p>
            <w:pPr>
              <w:spacing w:after="0"/>
              <w:rPr>
                <w:sz w:val="17"/>
                <w:szCs w:val="17"/>
                <w:color w:val="auto"/>
              </w:rPr>
            </w:pPr>
          </w:p>
        </w:tc>
        <w:tc>
          <w:tcPr>
            <w:tcW w:w="320" w:type="dxa"/>
            <w:vAlign w:val="bottom"/>
            <w:tcBorders>
              <w:top w:val="single" w:sz="8" w:color="auto"/>
              <w:bottom w:val="single" w:sz="8" w:color="auto"/>
            </w:tcBorders>
          </w:tcPr>
          <w:p>
            <w:pPr>
              <w:spacing w:after="0"/>
              <w:rPr>
                <w:sz w:val="17"/>
                <w:szCs w:val="17"/>
                <w:color w:val="auto"/>
              </w:rPr>
            </w:pPr>
          </w:p>
        </w:tc>
        <w:tc>
          <w:tcPr>
            <w:tcW w:w="1020" w:type="dxa"/>
            <w:vAlign w:val="bottom"/>
            <w:tcBorders>
              <w:top w:val="single" w:sz="8" w:color="auto"/>
              <w:bottom w:val="single" w:sz="8" w:color="auto"/>
            </w:tcBorders>
          </w:tcPr>
          <w:p>
            <w:pPr>
              <w:jc w:val="right"/>
              <w:spacing w:after="0" w:line="196" w:lineRule="exact"/>
              <w:rPr>
                <w:sz w:val="20"/>
                <w:szCs w:val="20"/>
                <w:color w:val="auto"/>
              </w:rPr>
            </w:pPr>
            <w:r>
              <w:rPr>
                <w:rFonts w:ascii="Times New Roman" w:cs="Times New Roman" w:eastAsia="Times New Roman" w:hAnsi="Times New Roman"/>
                <w:sz w:val="18"/>
                <w:szCs w:val="18"/>
                <w:color w:val="auto"/>
              </w:rPr>
              <w:t>136,706</w:t>
            </w:r>
          </w:p>
        </w:tc>
        <w:tc>
          <w:tcPr>
            <w:tcW w:w="240" w:type="dxa"/>
            <w:vAlign w:val="bottom"/>
            <w:tcBorders>
              <w:top w:val="single" w:sz="8" w:color="CFF0FC"/>
            </w:tcBorders>
          </w:tcPr>
          <w:p>
            <w:pPr>
              <w:spacing w:after="0"/>
              <w:rPr>
                <w:sz w:val="17"/>
                <w:szCs w:val="17"/>
                <w:color w:val="auto"/>
              </w:rPr>
            </w:pPr>
          </w:p>
        </w:tc>
        <w:tc>
          <w:tcPr>
            <w:tcW w:w="320" w:type="dxa"/>
            <w:vAlign w:val="bottom"/>
            <w:tcBorders>
              <w:top w:val="single" w:sz="8" w:color="auto"/>
              <w:bottom w:val="single" w:sz="8" w:color="auto"/>
            </w:tcBorders>
          </w:tcPr>
          <w:p>
            <w:pPr>
              <w:spacing w:after="0"/>
              <w:rPr>
                <w:sz w:val="17"/>
                <w:szCs w:val="17"/>
                <w:color w:val="auto"/>
              </w:rPr>
            </w:pPr>
          </w:p>
        </w:tc>
        <w:tc>
          <w:tcPr>
            <w:tcW w:w="1020" w:type="dxa"/>
            <w:vAlign w:val="bottom"/>
            <w:tcBorders>
              <w:top w:val="single" w:sz="8" w:color="auto"/>
              <w:bottom w:val="single" w:sz="8" w:color="auto"/>
            </w:tcBorders>
          </w:tcPr>
          <w:p>
            <w:pPr>
              <w:jc w:val="right"/>
              <w:spacing w:after="0" w:line="196" w:lineRule="exact"/>
              <w:rPr>
                <w:sz w:val="20"/>
                <w:szCs w:val="20"/>
                <w:color w:val="auto"/>
              </w:rPr>
            </w:pPr>
            <w:r>
              <w:rPr>
                <w:rFonts w:ascii="Times New Roman" w:cs="Times New Roman" w:eastAsia="Times New Roman" w:hAnsi="Times New Roman"/>
                <w:sz w:val="18"/>
                <w:szCs w:val="18"/>
                <w:color w:val="auto"/>
              </w:rPr>
              <w:t>113,209</w:t>
            </w:r>
          </w:p>
        </w:tc>
        <w:tc>
          <w:tcPr>
            <w:tcW w:w="100" w:type="dxa"/>
            <w:vAlign w:val="bottom"/>
            <w:tcBorders>
              <w:top w:val="single" w:sz="8" w:color="CFF0FC"/>
            </w:tcBorders>
          </w:tcPr>
          <w:p>
            <w:pPr>
              <w:spacing w:after="0"/>
              <w:rPr>
                <w:sz w:val="17"/>
                <w:szCs w:val="17"/>
                <w:color w:val="auto"/>
              </w:rPr>
            </w:pPr>
          </w:p>
        </w:tc>
      </w:tr>
      <w:tr>
        <w:trPr>
          <w:trHeight w:val="20"/>
        </w:trPr>
        <w:tc>
          <w:tcPr>
            <w:tcW w:w="6640" w:type="dxa"/>
            <w:vAlign w:val="bottom"/>
          </w:tcPr>
          <w:p>
            <w:pPr>
              <w:spacing w:after="0" w:line="20" w:lineRule="exact"/>
              <w:rPr>
                <w:sz w:val="1"/>
                <w:szCs w:val="1"/>
                <w:color w:val="auto"/>
              </w:rPr>
            </w:pPr>
          </w:p>
        </w:tc>
        <w:tc>
          <w:tcPr>
            <w:tcW w:w="300" w:type="dxa"/>
            <w:vAlign w:val="bottom"/>
            <w:tcBorders>
              <w:bottom w:val="single" w:sz="8" w:color="auto"/>
            </w:tcBorders>
          </w:tcPr>
          <w:p>
            <w:pPr>
              <w:spacing w:after="0" w:line="20" w:lineRule="exact"/>
              <w:rPr>
                <w:sz w:val="1"/>
                <w:szCs w:val="1"/>
                <w:color w:val="auto"/>
              </w:rPr>
            </w:pPr>
          </w:p>
        </w:tc>
        <w:tc>
          <w:tcPr>
            <w:tcW w:w="104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02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02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36"/>
        </w:trPr>
        <w:tc>
          <w:tcPr>
            <w:tcW w:w="6640" w:type="dxa"/>
            <w:vAlign w:val="bottom"/>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b w:val="1"/>
                <w:bCs w:val="1"/>
                <w:color w:val="auto"/>
              </w:rPr>
              <w:t>Diluted (loss) earnings per share (1)</w:t>
            </w:r>
          </w:p>
        </w:tc>
        <w:tc>
          <w:tcPr>
            <w:tcW w:w="300" w:type="dxa"/>
            <w:vAlign w:val="bottom"/>
            <w:shd w:val="clear" w:color="auto" w:fill="CFF0FC"/>
          </w:tcPr>
          <w:p>
            <w:pPr>
              <w:jc w:val="right"/>
              <w:ind w:right="110"/>
              <w:spacing w:after="0" w:line="196" w:lineRule="exact"/>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gridSpan w:val="2"/>
            <w:shd w:val="clear" w:color="auto" w:fill="CFF0FC"/>
          </w:tcPr>
          <w:p>
            <w:pPr>
              <w:jc w:val="right"/>
              <w:ind w:right="108"/>
              <w:spacing w:after="0" w:line="196" w:lineRule="exact"/>
              <w:rPr>
                <w:sz w:val="20"/>
                <w:szCs w:val="20"/>
                <w:color w:val="auto"/>
              </w:rPr>
            </w:pPr>
            <w:r>
              <w:rPr>
                <w:rFonts w:ascii="Times New Roman" w:cs="Times New Roman" w:eastAsia="Times New Roman" w:hAnsi="Times New Roman"/>
                <w:sz w:val="18"/>
                <w:szCs w:val="18"/>
                <w:color w:val="auto"/>
              </w:rPr>
              <w:t>(6.06 )</w:t>
            </w:r>
          </w:p>
        </w:tc>
        <w:tc>
          <w:tcPr>
            <w:tcW w:w="320" w:type="dxa"/>
            <w:vAlign w:val="bottom"/>
            <w:shd w:val="clear" w:color="auto" w:fill="CFF0FC"/>
          </w:tcPr>
          <w:p>
            <w:pPr>
              <w:jc w:val="right"/>
              <w:ind w:right="11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2.64</w:t>
            </w:r>
          </w:p>
        </w:tc>
        <w:tc>
          <w:tcPr>
            <w:tcW w:w="240" w:type="dxa"/>
            <w:vAlign w:val="bottom"/>
            <w:shd w:val="clear" w:color="auto" w:fill="CFF0FC"/>
          </w:tcPr>
          <w:p>
            <w:pPr>
              <w:spacing w:after="0"/>
              <w:rPr>
                <w:sz w:val="20"/>
                <w:szCs w:val="20"/>
                <w:color w:val="auto"/>
              </w:rPr>
            </w:pPr>
          </w:p>
        </w:tc>
        <w:tc>
          <w:tcPr>
            <w:tcW w:w="320" w:type="dxa"/>
            <w:vAlign w:val="bottom"/>
            <w:shd w:val="clear" w:color="auto" w:fill="CFF0FC"/>
          </w:tcPr>
          <w:p>
            <w:pPr>
              <w:jc w:val="right"/>
              <w:ind w:right="11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120" w:type="dxa"/>
            <w:vAlign w:val="bottom"/>
            <w:gridSpan w:val="2"/>
            <w:shd w:val="clear" w:color="auto" w:fill="CFF0FC"/>
          </w:tcPr>
          <w:p>
            <w:pPr>
              <w:jc w:val="right"/>
              <w:ind w:right="40"/>
              <w:spacing w:after="0" w:line="196" w:lineRule="exact"/>
              <w:rPr>
                <w:sz w:val="20"/>
                <w:szCs w:val="20"/>
                <w:color w:val="auto"/>
              </w:rPr>
            </w:pPr>
            <w:r>
              <w:rPr>
                <w:rFonts w:ascii="Times New Roman" w:cs="Times New Roman" w:eastAsia="Times New Roman" w:hAnsi="Times New Roman"/>
                <w:sz w:val="18"/>
                <w:szCs w:val="18"/>
                <w:color w:val="auto"/>
              </w:rPr>
              <w:t>(12.98 )</w:t>
            </w:r>
          </w:p>
        </w:tc>
      </w:tr>
      <w:tr>
        <w:trPr>
          <w:trHeight w:val="197"/>
        </w:trPr>
        <w:tc>
          <w:tcPr>
            <w:tcW w:w="6640" w:type="dxa"/>
            <w:vAlign w:val="bottom"/>
            <w:tcBorders>
              <w:top w:val="single" w:sz="8" w:color="CFF0FC"/>
            </w:tcBorders>
          </w:tcPr>
          <w:p>
            <w:pPr>
              <w:ind w:left="20"/>
              <w:spacing w:after="0" w:line="196" w:lineRule="exact"/>
              <w:rPr>
                <w:sz w:val="20"/>
                <w:szCs w:val="20"/>
                <w:color w:val="auto"/>
              </w:rPr>
            </w:pPr>
            <w:r>
              <w:rPr>
                <w:rFonts w:ascii="Times New Roman" w:cs="Times New Roman" w:eastAsia="Times New Roman" w:hAnsi="Times New Roman"/>
                <w:sz w:val="18"/>
                <w:szCs w:val="18"/>
                <w:color w:val="auto"/>
              </w:rPr>
              <w:t>Weighted average shares outstanding used in computing diluted (loss) earnings per share</w:t>
            </w:r>
          </w:p>
        </w:tc>
        <w:tc>
          <w:tcPr>
            <w:tcW w:w="300" w:type="dxa"/>
            <w:vAlign w:val="bottom"/>
            <w:tcBorders>
              <w:top w:val="single" w:sz="8" w:color="auto"/>
              <w:bottom w:val="single" w:sz="8" w:color="auto"/>
            </w:tcBorders>
          </w:tcPr>
          <w:p>
            <w:pPr>
              <w:spacing w:after="0"/>
              <w:rPr>
                <w:sz w:val="17"/>
                <w:szCs w:val="17"/>
                <w:color w:val="auto"/>
              </w:rPr>
            </w:pPr>
          </w:p>
        </w:tc>
        <w:tc>
          <w:tcPr>
            <w:tcW w:w="1040" w:type="dxa"/>
            <w:vAlign w:val="bottom"/>
            <w:tcBorders>
              <w:top w:val="single" w:sz="8" w:color="auto"/>
              <w:bottom w:val="single" w:sz="8" w:color="auto"/>
            </w:tcBorders>
          </w:tcPr>
          <w:p>
            <w:pPr>
              <w:jc w:val="right"/>
              <w:spacing w:after="0" w:line="196" w:lineRule="exact"/>
              <w:rPr>
                <w:sz w:val="20"/>
                <w:szCs w:val="20"/>
                <w:color w:val="auto"/>
              </w:rPr>
            </w:pPr>
            <w:r>
              <w:rPr>
                <w:rFonts w:ascii="Times New Roman" w:cs="Times New Roman" w:eastAsia="Times New Roman" w:hAnsi="Times New Roman"/>
                <w:sz w:val="18"/>
                <w:szCs w:val="18"/>
                <w:color w:val="auto"/>
              </w:rPr>
              <w:t>192,549</w:t>
            </w:r>
          </w:p>
        </w:tc>
        <w:tc>
          <w:tcPr>
            <w:tcW w:w="240" w:type="dxa"/>
            <w:vAlign w:val="bottom"/>
            <w:tcBorders>
              <w:top w:val="single" w:sz="8" w:color="CFF0FC"/>
            </w:tcBorders>
          </w:tcPr>
          <w:p>
            <w:pPr>
              <w:spacing w:after="0"/>
              <w:rPr>
                <w:sz w:val="17"/>
                <w:szCs w:val="17"/>
                <w:color w:val="auto"/>
              </w:rPr>
            </w:pPr>
          </w:p>
        </w:tc>
        <w:tc>
          <w:tcPr>
            <w:tcW w:w="320" w:type="dxa"/>
            <w:vAlign w:val="bottom"/>
            <w:tcBorders>
              <w:top w:val="single" w:sz="8" w:color="auto"/>
              <w:bottom w:val="single" w:sz="8" w:color="auto"/>
            </w:tcBorders>
          </w:tcPr>
          <w:p>
            <w:pPr>
              <w:spacing w:after="0"/>
              <w:rPr>
                <w:sz w:val="17"/>
                <w:szCs w:val="17"/>
                <w:color w:val="auto"/>
              </w:rPr>
            </w:pPr>
          </w:p>
        </w:tc>
        <w:tc>
          <w:tcPr>
            <w:tcW w:w="1020" w:type="dxa"/>
            <w:vAlign w:val="bottom"/>
            <w:tcBorders>
              <w:top w:val="single" w:sz="8" w:color="auto"/>
              <w:bottom w:val="single" w:sz="8" w:color="auto"/>
            </w:tcBorders>
          </w:tcPr>
          <w:p>
            <w:pPr>
              <w:jc w:val="right"/>
              <w:spacing w:after="0" w:line="196" w:lineRule="exact"/>
              <w:rPr>
                <w:sz w:val="20"/>
                <w:szCs w:val="20"/>
                <w:color w:val="auto"/>
              </w:rPr>
            </w:pPr>
            <w:r>
              <w:rPr>
                <w:rFonts w:ascii="Times New Roman" w:cs="Times New Roman" w:eastAsia="Times New Roman" w:hAnsi="Times New Roman"/>
                <w:sz w:val="18"/>
                <w:szCs w:val="18"/>
                <w:color w:val="auto"/>
              </w:rPr>
              <w:t>165,662</w:t>
            </w:r>
          </w:p>
        </w:tc>
        <w:tc>
          <w:tcPr>
            <w:tcW w:w="240" w:type="dxa"/>
            <w:vAlign w:val="bottom"/>
            <w:tcBorders>
              <w:top w:val="single" w:sz="8" w:color="CFF0FC"/>
            </w:tcBorders>
          </w:tcPr>
          <w:p>
            <w:pPr>
              <w:spacing w:after="0"/>
              <w:rPr>
                <w:sz w:val="17"/>
                <w:szCs w:val="17"/>
                <w:color w:val="auto"/>
              </w:rPr>
            </w:pPr>
          </w:p>
        </w:tc>
        <w:tc>
          <w:tcPr>
            <w:tcW w:w="320" w:type="dxa"/>
            <w:vAlign w:val="bottom"/>
            <w:tcBorders>
              <w:top w:val="single" w:sz="8" w:color="auto"/>
              <w:bottom w:val="single" w:sz="8" w:color="auto"/>
            </w:tcBorders>
          </w:tcPr>
          <w:p>
            <w:pPr>
              <w:spacing w:after="0"/>
              <w:rPr>
                <w:sz w:val="17"/>
                <w:szCs w:val="17"/>
                <w:color w:val="auto"/>
              </w:rPr>
            </w:pPr>
          </w:p>
        </w:tc>
        <w:tc>
          <w:tcPr>
            <w:tcW w:w="1020" w:type="dxa"/>
            <w:vAlign w:val="bottom"/>
            <w:tcBorders>
              <w:top w:val="single" w:sz="8" w:color="auto"/>
              <w:bottom w:val="single" w:sz="8" w:color="auto"/>
            </w:tcBorders>
          </w:tcPr>
          <w:p>
            <w:pPr>
              <w:jc w:val="right"/>
              <w:spacing w:after="0" w:line="196" w:lineRule="exact"/>
              <w:rPr>
                <w:sz w:val="20"/>
                <w:szCs w:val="20"/>
                <w:color w:val="auto"/>
              </w:rPr>
            </w:pPr>
            <w:r>
              <w:rPr>
                <w:rFonts w:ascii="Times New Roman" w:cs="Times New Roman" w:eastAsia="Times New Roman" w:hAnsi="Times New Roman"/>
                <w:sz w:val="18"/>
                <w:szCs w:val="18"/>
                <w:color w:val="auto"/>
              </w:rPr>
              <w:t>113,209</w:t>
            </w:r>
          </w:p>
        </w:tc>
        <w:tc>
          <w:tcPr>
            <w:tcW w:w="100" w:type="dxa"/>
            <w:vAlign w:val="bottom"/>
            <w:tcBorders>
              <w:top w:val="single" w:sz="8" w:color="CFF0FC"/>
            </w:tcBorders>
          </w:tcPr>
          <w:p>
            <w:pPr>
              <w:spacing w:after="0"/>
              <w:rPr>
                <w:sz w:val="17"/>
                <w:szCs w:val="17"/>
                <w:color w:val="auto"/>
              </w:rPr>
            </w:pPr>
          </w:p>
        </w:tc>
      </w:tr>
      <w:tr>
        <w:trPr>
          <w:trHeight w:val="20"/>
        </w:trPr>
        <w:tc>
          <w:tcPr>
            <w:tcW w:w="6640" w:type="dxa"/>
            <w:vAlign w:val="bottom"/>
          </w:tcPr>
          <w:p>
            <w:pPr>
              <w:spacing w:after="0" w:line="20" w:lineRule="exact"/>
              <w:rPr>
                <w:sz w:val="1"/>
                <w:szCs w:val="1"/>
                <w:color w:val="auto"/>
              </w:rPr>
            </w:pPr>
          </w:p>
        </w:tc>
        <w:tc>
          <w:tcPr>
            <w:tcW w:w="300" w:type="dxa"/>
            <w:vAlign w:val="bottom"/>
            <w:tcBorders>
              <w:bottom w:val="single" w:sz="8" w:color="auto"/>
            </w:tcBorders>
          </w:tcPr>
          <w:p>
            <w:pPr>
              <w:spacing w:after="0" w:line="20" w:lineRule="exact"/>
              <w:rPr>
                <w:sz w:val="1"/>
                <w:szCs w:val="1"/>
                <w:color w:val="auto"/>
              </w:rPr>
            </w:pPr>
          </w:p>
        </w:tc>
        <w:tc>
          <w:tcPr>
            <w:tcW w:w="104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02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02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5062855</wp:posOffset>
            </wp:positionH>
            <wp:positionV relativeFrom="paragraph">
              <wp:posOffset>-4182745</wp:posOffset>
            </wp:positionV>
            <wp:extent cx="68580" cy="8255"/>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-4182745</wp:posOffset>
            </wp:positionV>
            <wp:extent cx="68580" cy="8255"/>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-4182745</wp:posOffset>
            </wp:positionV>
            <wp:extent cx="68580" cy="8255"/>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-3616960</wp:posOffset>
            </wp:positionV>
            <wp:extent cx="68580" cy="8255"/>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-3616960</wp:posOffset>
            </wp:positionV>
            <wp:extent cx="68580" cy="8255"/>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-3616960</wp:posOffset>
            </wp:positionV>
            <wp:extent cx="68580" cy="8255"/>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-2776855</wp:posOffset>
            </wp:positionV>
            <wp:extent cx="68580" cy="8255"/>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-2776855</wp:posOffset>
            </wp:positionV>
            <wp:extent cx="68580" cy="8255"/>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-2776855</wp:posOffset>
            </wp:positionV>
            <wp:extent cx="68580" cy="8255"/>
            <wp:wrapNone/>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-2485390</wp:posOffset>
            </wp:positionV>
            <wp:extent cx="68580" cy="889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-2485390</wp:posOffset>
            </wp:positionV>
            <wp:extent cx="68580" cy="8890"/>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7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-2485390</wp:posOffset>
            </wp:positionV>
            <wp:extent cx="68580" cy="889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7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-1645285</wp:posOffset>
            </wp:positionV>
            <wp:extent cx="68580" cy="8255"/>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-1645285</wp:posOffset>
            </wp:positionV>
            <wp:extent cx="68580" cy="8255"/>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7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-1645285</wp:posOffset>
            </wp:positionV>
            <wp:extent cx="68580" cy="8255"/>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-1087755</wp:posOffset>
            </wp:positionV>
            <wp:extent cx="68580" cy="8255"/>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7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-1087755</wp:posOffset>
            </wp:positionV>
            <wp:extent cx="68580" cy="8255"/>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7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-1087755</wp:posOffset>
            </wp:positionV>
            <wp:extent cx="68580" cy="8255"/>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8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-805180</wp:posOffset>
            </wp:positionV>
            <wp:extent cx="68580" cy="8255"/>
            <wp:wrapNone/>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8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-805180</wp:posOffset>
            </wp:positionV>
            <wp:extent cx="68580" cy="8255"/>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8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-805180</wp:posOffset>
            </wp:positionV>
            <wp:extent cx="68580" cy="8255"/>
            <wp:wrapNone/>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8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-513715</wp:posOffset>
            </wp:positionV>
            <wp:extent cx="68580" cy="8890"/>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8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-496570</wp:posOffset>
            </wp:positionV>
            <wp:extent cx="68580" cy="8255"/>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-513715</wp:posOffset>
            </wp:positionV>
            <wp:extent cx="68580" cy="889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8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-496570</wp:posOffset>
            </wp:positionV>
            <wp:extent cx="68580" cy="8255"/>
            <wp:wrapNone/>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8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-513715</wp:posOffset>
            </wp:positionV>
            <wp:extent cx="68580" cy="889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8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-496570</wp:posOffset>
            </wp:positionV>
            <wp:extent cx="68580" cy="8255"/>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-187960</wp:posOffset>
            </wp:positionV>
            <wp:extent cx="68580" cy="889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9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-170815</wp:posOffset>
            </wp:positionV>
            <wp:extent cx="68580" cy="8890"/>
            <wp:wrapNone/>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-187960</wp:posOffset>
            </wp:positionV>
            <wp:extent cx="68580" cy="8890"/>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-170815</wp:posOffset>
            </wp:positionV>
            <wp:extent cx="68580" cy="8890"/>
            <wp:wrapNone/>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9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-187960</wp:posOffset>
            </wp:positionV>
            <wp:extent cx="68580" cy="889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9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-170815</wp:posOffset>
            </wp:positionV>
            <wp:extent cx="68580" cy="8890"/>
            <wp:wrapNone/>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95">
                      <a:extLst>
                        <a:ext uri="{28A0092B-C50C-407E-A947-70E740481C1C}"/>
                      </a:extLst>
                    </a:blip>
                    <a:srcRect/>
                    <a:stretch>
                      <a:fillRect/>
                    </a:stretch>
                  </pic:blipFill>
                  <pic:spPr bwMode="auto">
                    <a:xfrm>
                      <a:off x="0" y="0"/>
                      <a:ext cx="68580" cy="8890"/>
                    </a:xfrm>
                    <a:prstGeom prst="rect">
                      <a:avLst/>
                    </a:prstGeom>
                    <a:noFill/>
                  </pic:spPr>
                </pic:pic>
              </a:graphicData>
            </a:graphic>
          </wp:anchor>
        </w:drawing>
      </w:r>
    </w:p>
    <w:p>
      <w:pPr>
        <w:spacing w:after="0" w:line="178" w:lineRule="exact"/>
        <w:rPr>
          <w:sz w:val="20"/>
          <w:szCs w:val="20"/>
          <w:color w:val="auto"/>
        </w:rPr>
      </w:pPr>
    </w:p>
    <w:p>
      <w:pPr>
        <w:spacing w:after="0"/>
        <w:tabs>
          <w:tab w:leader="none" w:pos="340" w:val="left"/>
        </w:tabs>
        <w:rPr>
          <w:sz w:val="20"/>
          <w:szCs w:val="20"/>
          <w:color w:val="auto"/>
        </w:rPr>
      </w:pPr>
      <w:r>
        <w:rPr>
          <w:rFonts w:ascii="Times New Roman" w:cs="Times New Roman" w:eastAsia="Times New Roman" w:hAnsi="Times New Roman"/>
          <w:sz w:val="18"/>
          <w:szCs w:val="18"/>
          <w:color w:val="auto"/>
        </w:rPr>
        <w:t>(1)</w:t>
        <w:tab/>
        <w:t>Basic and fully diluted (loss) earnings per share for class A and class B common stock are the same.</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The accompanying notes are an integral part of these Consolidated Financial Statements.</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9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74" w:name="page75"/>
    <w:bookmarkEnd w:id="74"/>
    <w:p>
      <w:pPr>
        <w:jc w:val="center"/>
        <w:spacing w:after="0" w:line="278" w:lineRule="auto"/>
        <w:rPr>
          <w:sz w:val="20"/>
          <w:szCs w:val="20"/>
          <w:color w:val="auto"/>
        </w:rPr>
      </w:pPr>
      <w:r>
        <w:rPr>
          <w:rFonts w:ascii="Times New Roman" w:cs="Times New Roman" w:eastAsia="Times New Roman" w:hAnsi="Times New Roman"/>
          <w:sz w:val="18"/>
          <w:szCs w:val="18"/>
          <w:b w:val="1"/>
          <w:bCs w:val="1"/>
          <w:color w:val="auto"/>
        </w:rPr>
        <w:t>MICROSTRATEGY INCORPORATED CONSOLIDATED STATEMENTS OF COMPREHENSIVE (LOSS) INCOME (in thousands)</w:t>
      </w:r>
    </w:p>
    <w:p>
      <w:pPr>
        <w:spacing w:after="0" w:line="382"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640" w:type="dxa"/>
            <w:vAlign w:val="bottom"/>
          </w:tcPr>
          <w:p>
            <w:pPr>
              <w:spacing w:after="0"/>
              <w:rPr>
                <w:sz w:val="15"/>
                <w:szCs w:val="15"/>
                <w:color w:val="auto"/>
              </w:rPr>
            </w:pPr>
          </w:p>
        </w:tc>
        <w:tc>
          <w:tcPr>
            <w:tcW w:w="300" w:type="dxa"/>
            <w:vAlign w:val="bottom"/>
            <w:tcBorders>
              <w:bottom w:val="single" w:sz="8" w:color="auto"/>
            </w:tcBorders>
          </w:tcPr>
          <w:p>
            <w:pPr>
              <w:spacing w:after="0"/>
              <w:rPr>
                <w:sz w:val="15"/>
                <w:szCs w:val="15"/>
                <w:color w:val="auto"/>
              </w:rPr>
            </w:pPr>
          </w:p>
        </w:tc>
        <w:tc>
          <w:tcPr>
            <w:tcW w:w="1040" w:type="dxa"/>
            <w:vAlign w:val="bottom"/>
            <w:tcBorders>
              <w:bottom w:val="single" w:sz="8" w:color="auto"/>
            </w:tcBorders>
          </w:tcPr>
          <w:p>
            <w:pPr>
              <w:spacing w:after="0"/>
              <w:rPr>
                <w:sz w:val="15"/>
                <w:szCs w:val="15"/>
                <w:color w:val="auto"/>
              </w:rPr>
            </w:pPr>
          </w:p>
        </w:tc>
        <w:tc>
          <w:tcPr>
            <w:tcW w:w="1820" w:type="dxa"/>
            <w:vAlign w:val="bottom"/>
            <w:tcBorders>
              <w:bottom w:val="single" w:sz="8" w:color="auto"/>
            </w:tcBorders>
            <w:gridSpan w:val="4"/>
          </w:tcPr>
          <w:p>
            <w:pPr>
              <w:ind w:left="6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320" w:type="dxa"/>
            <w:vAlign w:val="bottom"/>
            <w:tcBorders>
              <w:bottom w:val="single" w:sz="8" w:color="auto"/>
            </w:tcBorders>
          </w:tcPr>
          <w:p>
            <w:pPr>
              <w:spacing w:after="0"/>
              <w:rPr>
                <w:sz w:val="15"/>
                <w:szCs w:val="15"/>
                <w:color w:val="auto"/>
              </w:rPr>
            </w:pPr>
          </w:p>
        </w:tc>
        <w:tc>
          <w:tcPr>
            <w:tcW w:w="102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6640" w:type="dxa"/>
            <w:vAlign w:val="bottom"/>
          </w:tcPr>
          <w:p>
            <w:pPr>
              <w:spacing w:after="0"/>
              <w:rPr>
                <w:sz w:val="12"/>
                <w:szCs w:val="12"/>
                <w:color w:val="auto"/>
              </w:rPr>
            </w:pPr>
          </w:p>
        </w:tc>
        <w:tc>
          <w:tcPr>
            <w:tcW w:w="300" w:type="dxa"/>
            <w:vAlign w:val="bottom"/>
            <w:tcBorders>
              <w:bottom w:val="single" w:sz="8" w:color="auto"/>
            </w:tcBorders>
          </w:tcPr>
          <w:p>
            <w:pPr>
              <w:spacing w:after="0"/>
              <w:rPr>
                <w:sz w:val="12"/>
                <w:szCs w:val="12"/>
                <w:color w:val="auto"/>
              </w:rPr>
            </w:pPr>
          </w:p>
        </w:tc>
        <w:tc>
          <w:tcPr>
            <w:tcW w:w="1040" w:type="dxa"/>
            <w:vAlign w:val="bottom"/>
            <w:tcBorders>
              <w:bottom w:val="single" w:sz="8" w:color="auto"/>
            </w:tcBorders>
          </w:tcPr>
          <w:p>
            <w:pPr>
              <w:jc w:val="right"/>
              <w:ind w:right="454"/>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4"/>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4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4"/>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100" w:type="dxa"/>
            <w:vAlign w:val="bottom"/>
          </w:tcPr>
          <w:p>
            <w:pPr>
              <w:spacing w:after="0"/>
              <w:rPr>
                <w:sz w:val="12"/>
                <w:szCs w:val="12"/>
                <w:color w:val="auto"/>
              </w:rPr>
            </w:pPr>
          </w:p>
        </w:tc>
      </w:tr>
      <w:tr>
        <w:trPr>
          <w:trHeight w:val="210"/>
        </w:trPr>
        <w:tc>
          <w:tcPr>
            <w:tcW w:w="66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Net (loss) income</w:t>
            </w:r>
          </w:p>
        </w:tc>
        <w:tc>
          <w:tcPr>
            <w:tcW w:w="30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gridSpan w:val="2"/>
            <w:shd w:val="clear" w:color="auto" w:fill="CFF0FC"/>
          </w:tcPr>
          <w:p>
            <w:pPr>
              <w:jc w:val="right"/>
              <w:ind w:right="108"/>
              <w:spacing w:after="0"/>
              <w:rPr>
                <w:sz w:val="20"/>
                <w:szCs w:val="20"/>
                <w:color w:val="auto"/>
              </w:rPr>
            </w:pPr>
            <w:r>
              <w:rPr>
                <w:rFonts w:ascii="Times New Roman" w:cs="Times New Roman" w:eastAsia="Times New Roman" w:hAnsi="Times New Roman"/>
                <w:sz w:val="18"/>
                <w:szCs w:val="18"/>
                <w:color w:val="auto"/>
              </w:rPr>
              <w:t>(1,166,661 )</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429,121</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(1,469,797 )</w:t>
            </w:r>
          </w:p>
        </w:tc>
      </w:tr>
      <w:tr>
        <w:trPr>
          <w:trHeight w:val="216"/>
        </w:trPr>
        <w:tc>
          <w:tcPr>
            <w:tcW w:w="66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comprehensive (loss) income, net of applicable taxes:</w:t>
            </w:r>
          </w:p>
        </w:tc>
        <w:tc>
          <w:tcPr>
            <w:tcW w:w="300" w:type="dxa"/>
            <w:vAlign w:val="bottom"/>
          </w:tcPr>
          <w:p>
            <w:pPr>
              <w:spacing w:after="0"/>
              <w:rPr>
                <w:sz w:val="18"/>
                <w:szCs w:val="18"/>
                <w:color w:val="auto"/>
              </w:rPr>
            </w:pPr>
          </w:p>
        </w:tc>
        <w:tc>
          <w:tcPr>
            <w:tcW w:w="104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66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Foreign currency translation adjustment</w:t>
            </w:r>
          </w:p>
        </w:tc>
        <w:tc>
          <w:tcPr>
            <w:tcW w:w="300" w:type="dxa"/>
            <w:vAlign w:val="bottom"/>
            <w:shd w:val="clear" w:color="auto" w:fill="CFF0FC"/>
          </w:tcPr>
          <w:p>
            <w:pPr>
              <w:spacing w:after="0"/>
              <w:rPr>
                <w:sz w:val="18"/>
                <w:szCs w:val="18"/>
                <w:color w:val="auto"/>
              </w:rPr>
            </w:pPr>
          </w:p>
        </w:tc>
        <w:tc>
          <w:tcPr>
            <w:tcW w:w="1280" w:type="dxa"/>
            <w:vAlign w:val="bottom"/>
            <w:gridSpan w:val="2"/>
            <w:shd w:val="clear" w:color="auto" w:fill="CFF0FC"/>
          </w:tcPr>
          <w:p>
            <w:pPr>
              <w:jc w:val="right"/>
              <w:ind w:right="108"/>
              <w:spacing w:after="0"/>
              <w:rPr>
                <w:sz w:val="20"/>
                <w:szCs w:val="20"/>
                <w:color w:val="auto"/>
              </w:rPr>
            </w:pPr>
            <w:r>
              <w:rPr>
                <w:rFonts w:ascii="Times New Roman" w:cs="Times New Roman" w:eastAsia="Times New Roman" w:hAnsi="Times New Roman"/>
                <w:sz w:val="18"/>
                <w:szCs w:val="18"/>
                <w:color w:val="auto"/>
              </w:rPr>
              <w:t>(3,940 )</w:t>
            </w: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2,357</w:t>
            </w:r>
          </w:p>
        </w:tc>
        <w:tc>
          <w:tcPr>
            <w:tcW w:w="2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12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(6,258 )</w:t>
            </w:r>
          </w:p>
        </w:tc>
      </w:tr>
      <w:tr>
        <w:trPr>
          <w:trHeight w:val="20"/>
        </w:trPr>
        <w:tc>
          <w:tcPr>
            <w:tcW w:w="6640" w:type="dxa"/>
            <w:vAlign w:val="bottom"/>
            <w:shd w:val="clear" w:color="auto" w:fill="CFF0FC"/>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r>
      <w:tr>
        <w:trPr>
          <w:trHeight w:val="209"/>
        </w:trPr>
        <w:tc>
          <w:tcPr>
            <w:tcW w:w="664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other comprehensive (loss) income</w:t>
            </w:r>
          </w:p>
        </w:tc>
        <w:tc>
          <w:tcPr>
            <w:tcW w:w="300" w:type="dxa"/>
            <w:vAlign w:val="bottom"/>
          </w:tcPr>
          <w:p>
            <w:pPr>
              <w:spacing w:after="0"/>
              <w:rPr>
                <w:sz w:val="18"/>
                <w:szCs w:val="18"/>
                <w:color w:val="auto"/>
              </w:rPr>
            </w:pPr>
          </w:p>
        </w:tc>
        <w:tc>
          <w:tcPr>
            <w:tcW w:w="1280" w:type="dxa"/>
            <w:vAlign w:val="bottom"/>
            <w:gridSpan w:val="2"/>
          </w:tcPr>
          <w:p>
            <w:pPr>
              <w:jc w:val="right"/>
              <w:ind w:right="108"/>
              <w:spacing w:after="0"/>
              <w:rPr>
                <w:sz w:val="20"/>
                <w:szCs w:val="20"/>
                <w:color w:val="auto"/>
              </w:rPr>
            </w:pPr>
            <w:r>
              <w:rPr>
                <w:rFonts w:ascii="Times New Roman" w:cs="Times New Roman" w:eastAsia="Times New Roman" w:hAnsi="Times New Roman"/>
                <w:sz w:val="18"/>
                <w:szCs w:val="18"/>
                <w:color w:val="auto"/>
              </w:rPr>
              <w:t>(3,940 )</w:t>
            </w: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2,357</w:t>
            </w:r>
          </w:p>
        </w:tc>
        <w:tc>
          <w:tcPr>
            <w:tcW w:w="2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12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(6,258 )</w:t>
            </w:r>
          </w:p>
        </w:tc>
      </w:tr>
      <w:tr>
        <w:trPr>
          <w:trHeight w:val="20"/>
        </w:trPr>
        <w:tc>
          <w:tcPr>
            <w:tcW w:w="6640" w:type="dxa"/>
            <w:vAlign w:val="bottom"/>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30"/>
        </w:trPr>
        <w:tc>
          <w:tcPr>
            <w:tcW w:w="6640" w:type="dxa"/>
            <w:vAlign w:val="bottom"/>
            <w:shd w:val="clear" w:color="auto" w:fill="CFF0FC"/>
          </w:tcPr>
          <w:p>
            <w:pPr>
              <w:ind w:left="560"/>
              <w:spacing w:after="0"/>
              <w:rPr>
                <w:sz w:val="20"/>
                <w:szCs w:val="20"/>
                <w:color w:val="auto"/>
              </w:rPr>
            </w:pPr>
            <w:r>
              <w:rPr>
                <w:rFonts w:ascii="Times New Roman" w:cs="Times New Roman" w:eastAsia="Times New Roman" w:hAnsi="Times New Roman"/>
                <w:sz w:val="18"/>
                <w:szCs w:val="18"/>
                <w:b w:val="1"/>
                <w:bCs w:val="1"/>
                <w:color w:val="auto"/>
              </w:rPr>
              <w:t>Comprehensive (loss) income</w:t>
            </w:r>
          </w:p>
        </w:tc>
        <w:tc>
          <w:tcPr>
            <w:tcW w:w="30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gridSpan w:val="2"/>
            <w:shd w:val="clear" w:color="auto" w:fill="CFF0FC"/>
          </w:tcPr>
          <w:p>
            <w:pPr>
              <w:jc w:val="right"/>
              <w:ind w:right="108"/>
              <w:spacing w:after="0"/>
              <w:rPr>
                <w:sz w:val="20"/>
                <w:szCs w:val="20"/>
                <w:color w:val="auto"/>
              </w:rPr>
            </w:pPr>
            <w:r>
              <w:rPr>
                <w:rFonts w:ascii="Times New Roman" w:cs="Times New Roman" w:eastAsia="Times New Roman" w:hAnsi="Times New Roman"/>
                <w:sz w:val="18"/>
                <w:szCs w:val="18"/>
                <w:color w:val="auto"/>
              </w:rPr>
              <w:t>(1,170,601 )</w:t>
            </w: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431,478</w:t>
            </w:r>
          </w:p>
        </w:tc>
        <w:tc>
          <w:tcPr>
            <w:tcW w:w="240" w:type="dxa"/>
            <w:vAlign w:val="bottom"/>
            <w:shd w:val="clear" w:color="auto" w:fill="CFF0FC"/>
          </w:tcPr>
          <w:p>
            <w:pPr>
              <w:spacing w:after="0"/>
              <w:rPr>
                <w:sz w:val="19"/>
                <w:szCs w:val="19"/>
                <w:color w:val="auto"/>
              </w:rPr>
            </w:pPr>
          </w:p>
        </w:tc>
        <w:tc>
          <w:tcPr>
            <w:tcW w:w="32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(1,476,055 )</w:t>
            </w:r>
          </w:p>
        </w:tc>
      </w:tr>
      <w:tr>
        <w:trPr>
          <w:trHeight w:val="20"/>
        </w:trPr>
        <w:tc>
          <w:tcPr>
            <w:tcW w:w="6640" w:type="dxa"/>
            <w:vAlign w:val="bottom"/>
            <w:tcBorders>
              <w:top w:val="single" w:sz="8" w:color="CFF0FC"/>
            </w:tcBorders>
            <w:shd w:val="clear" w:color="auto" w:fill="CFF0FC"/>
          </w:tcPr>
          <w:p>
            <w:pPr>
              <w:spacing w:after="0" w:line="20" w:lineRule="exact"/>
              <w:rPr>
                <w:sz w:val="1"/>
                <w:szCs w:val="1"/>
                <w:color w:val="auto"/>
              </w:rPr>
            </w:pPr>
          </w:p>
        </w:tc>
        <w:tc>
          <w:tcPr>
            <w:tcW w:w="300" w:type="dxa"/>
            <w:vAlign w:val="bottom"/>
            <w:tcBorders>
              <w:top w:val="single" w:sz="8" w:color="auto"/>
            </w:tcBorders>
            <w:shd w:val="clear" w:color="auto" w:fill="000000"/>
          </w:tcPr>
          <w:p>
            <w:pPr>
              <w:spacing w:after="0" w:line="20" w:lineRule="exact"/>
              <w:rPr>
                <w:sz w:val="1"/>
                <w:szCs w:val="1"/>
                <w:color w:val="auto"/>
              </w:rPr>
            </w:pPr>
          </w:p>
        </w:tc>
        <w:tc>
          <w:tcPr>
            <w:tcW w:w="104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320" w:type="dxa"/>
            <w:vAlign w:val="bottom"/>
            <w:tcBorders>
              <w:top w:val="single" w:sz="8" w:color="auto"/>
            </w:tcBorders>
            <w:shd w:val="clear" w:color="auto" w:fill="000000"/>
          </w:tcPr>
          <w:p>
            <w:pPr>
              <w:spacing w:after="0" w:line="20" w:lineRule="exact"/>
              <w:rPr>
                <w:sz w:val="1"/>
                <w:szCs w:val="1"/>
                <w:color w:val="auto"/>
              </w:rPr>
            </w:pPr>
          </w:p>
        </w:tc>
        <w:tc>
          <w:tcPr>
            <w:tcW w:w="102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320" w:type="dxa"/>
            <w:vAlign w:val="bottom"/>
            <w:tcBorders>
              <w:top w:val="single" w:sz="8" w:color="auto"/>
            </w:tcBorders>
            <w:shd w:val="clear" w:color="auto" w:fill="000000"/>
          </w:tcPr>
          <w:p>
            <w:pPr>
              <w:spacing w:after="0" w:line="20" w:lineRule="exact"/>
              <w:rPr>
                <w:sz w:val="1"/>
                <w:szCs w:val="1"/>
                <w:color w:val="auto"/>
              </w:rPr>
            </w:pPr>
          </w:p>
        </w:tc>
        <w:tc>
          <w:tcPr>
            <w:tcW w:w="102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5062855</wp:posOffset>
            </wp:positionH>
            <wp:positionV relativeFrom="paragraph">
              <wp:posOffset>-316230</wp:posOffset>
            </wp:positionV>
            <wp:extent cx="68580" cy="8255"/>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9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-316230</wp:posOffset>
            </wp:positionV>
            <wp:extent cx="68580" cy="8255"/>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9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-316230</wp:posOffset>
            </wp:positionV>
            <wp:extent cx="68580" cy="8255"/>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9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-24765</wp:posOffset>
            </wp:positionV>
            <wp:extent cx="68580" cy="8255"/>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0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-7620</wp:posOffset>
            </wp:positionV>
            <wp:extent cx="68580" cy="8255"/>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-24765</wp:posOffset>
            </wp:positionV>
            <wp:extent cx="68580" cy="8255"/>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-7620</wp:posOffset>
            </wp:positionV>
            <wp:extent cx="68580" cy="8255"/>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-24765</wp:posOffset>
            </wp:positionV>
            <wp:extent cx="68580" cy="8255"/>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0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-7620</wp:posOffset>
            </wp:positionV>
            <wp:extent cx="68580" cy="8255"/>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05">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The accompanying notes are an integral part of these Consolidated Financial Statements.</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75" w:name="page76"/>
    <w:bookmarkEnd w:id="75"/>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STATEMENTS OF STOCKHOLDERS’ EQUITY (DEFICIT)</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96" w:lineRule="exact"/>
        <w:rPr>
          <w:sz w:val="20"/>
          <w:szCs w:val="20"/>
          <w:color w:val="auto"/>
        </w:rPr>
      </w:pPr>
    </w:p>
    <w:tbl>
      <w:tblPr>
        <w:tblLayout w:type="fixed"/>
        <w:tblInd w:w="0" w:type="dxa"/>
        <w:tblCellMar>
          <w:top w:w="0" w:type="dxa"/>
          <w:left w:w="0" w:type="dxa"/>
          <w:bottom w:w="0" w:type="dxa"/>
          <w:right w:w="0" w:type="dxa"/>
        </w:tblCellMar>
      </w:tblPr>
      <w:tr>
        <w:trPr>
          <w:trHeight w:val="149"/>
        </w:trPr>
        <w:tc>
          <w:tcPr>
            <w:tcW w:w="276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2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54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40" w:type="dxa"/>
            <w:vAlign w:val="bottom"/>
            <w:gridSpan w:val="3"/>
          </w:tcPr>
          <w:p>
            <w:pPr>
              <w:ind w:left="40"/>
              <w:spacing w:after="0"/>
              <w:rPr>
                <w:sz w:val="20"/>
                <w:szCs w:val="20"/>
                <w:color w:val="auto"/>
              </w:rPr>
            </w:pPr>
            <w:r>
              <w:rPr>
                <w:rFonts w:ascii="Times New Roman" w:cs="Times New Roman" w:eastAsia="Times New Roman" w:hAnsi="Times New Roman"/>
                <w:sz w:val="13"/>
                <w:szCs w:val="13"/>
                <w:b w:val="1"/>
                <w:bCs w:val="1"/>
                <w:color w:val="auto"/>
              </w:rPr>
              <w:t>Accumulate</w:t>
            </w:r>
          </w:p>
        </w:tc>
        <w:tc>
          <w:tcPr>
            <w:tcW w:w="740" w:type="dxa"/>
            <w:vAlign w:val="bottom"/>
            <w:gridSpan w:val="3"/>
          </w:tcPr>
          <w:p>
            <w:pPr>
              <w:ind w:left="20"/>
              <w:spacing w:after="0"/>
              <w:rPr>
                <w:sz w:val="20"/>
                <w:szCs w:val="20"/>
                <w:color w:val="auto"/>
              </w:rPr>
            </w:pPr>
            <w:r>
              <w:rPr>
                <w:rFonts w:ascii="Times New Roman" w:cs="Times New Roman" w:eastAsia="Times New Roman" w:hAnsi="Times New Roman"/>
                <w:sz w:val="13"/>
                <w:szCs w:val="13"/>
                <w:b w:val="1"/>
                <w:bCs w:val="1"/>
                <w:color w:val="auto"/>
              </w:rPr>
              <w:t>(Accumula</w:t>
            </w:r>
          </w:p>
        </w:tc>
        <w:tc>
          <w:tcPr>
            <w:tcW w:w="0" w:type="dxa"/>
            <w:vAlign w:val="bottom"/>
          </w:tcPr>
          <w:p>
            <w:pPr>
              <w:spacing w:after="0"/>
              <w:rPr>
                <w:sz w:val="1"/>
                <w:szCs w:val="1"/>
                <w:color w:val="auto"/>
              </w:rPr>
            </w:pPr>
          </w:p>
        </w:tc>
      </w:tr>
      <w:tr>
        <w:trPr>
          <w:trHeight w:val="166"/>
        </w:trPr>
        <w:tc>
          <w:tcPr>
            <w:tcW w:w="276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48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32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980" w:type="dxa"/>
            <w:vAlign w:val="bottom"/>
            <w:gridSpan w:val="3"/>
          </w:tcPr>
          <w:p>
            <w:pPr>
              <w:jc w:val="center"/>
              <w:ind w:left="477"/>
              <w:spacing w:after="0"/>
              <w:rPr>
                <w:sz w:val="20"/>
                <w:szCs w:val="20"/>
                <w:color w:val="auto"/>
              </w:rPr>
            </w:pPr>
            <w:r>
              <w:rPr>
                <w:rFonts w:ascii="Times New Roman" w:cs="Times New Roman" w:eastAsia="Times New Roman" w:hAnsi="Times New Roman"/>
                <w:sz w:val="13"/>
                <w:szCs w:val="13"/>
                <w:b w:val="1"/>
                <w:bCs w:val="1"/>
                <w:color w:val="auto"/>
                <w:w w:val="96"/>
              </w:rPr>
              <w:t>Class B</w:t>
            </w:r>
          </w:p>
        </w:tc>
        <w:tc>
          <w:tcPr>
            <w:tcW w:w="54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780" w:type="dxa"/>
            <w:vAlign w:val="bottom"/>
            <w:gridSpan w:val="3"/>
            <w:vMerge w:val="restart"/>
          </w:tcPr>
          <w:p>
            <w:pPr>
              <w:jc w:val="center"/>
              <w:ind w:right="220"/>
              <w:spacing w:after="0"/>
              <w:rPr>
                <w:sz w:val="20"/>
                <w:szCs w:val="20"/>
                <w:color w:val="auto"/>
              </w:rPr>
            </w:pPr>
            <w:r>
              <w:rPr>
                <w:rFonts w:ascii="Times New Roman" w:cs="Times New Roman" w:eastAsia="Times New Roman" w:hAnsi="Times New Roman"/>
                <w:sz w:val="13"/>
                <w:szCs w:val="13"/>
                <w:b w:val="1"/>
                <w:bCs w:val="1"/>
                <w:color w:val="auto"/>
                <w:w w:val="97"/>
              </w:rPr>
              <w:t>Addition</w:t>
            </w:r>
          </w:p>
        </w:tc>
        <w:tc>
          <w:tcPr>
            <w:tcW w:w="56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800" w:type="dxa"/>
            <w:vAlign w:val="bottom"/>
            <w:gridSpan w:val="2"/>
          </w:tcPr>
          <w:p>
            <w:pPr>
              <w:jc w:val="center"/>
              <w:ind w:right="360"/>
              <w:spacing w:after="0"/>
              <w:rPr>
                <w:sz w:val="20"/>
                <w:szCs w:val="20"/>
                <w:color w:val="auto"/>
              </w:rPr>
            </w:pPr>
            <w:r>
              <w:rPr>
                <w:rFonts w:ascii="Times New Roman" w:cs="Times New Roman" w:eastAsia="Times New Roman" w:hAnsi="Times New Roman"/>
                <w:sz w:val="13"/>
                <w:szCs w:val="13"/>
                <w:b w:val="1"/>
                <w:bCs w:val="1"/>
                <w:color w:val="auto"/>
              </w:rPr>
              <w:t>d</w:t>
            </w:r>
          </w:p>
        </w:tc>
        <w:tc>
          <w:tcPr>
            <w:tcW w:w="100" w:type="dxa"/>
            <w:vAlign w:val="bottom"/>
          </w:tcPr>
          <w:p>
            <w:pPr>
              <w:spacing w:after="0"/>
              <w:rPr>
                <w:sz w:val="14"/>
                <w:szCs w:val="14"/>
                <w:color w:val="auto"/>
              </w:rPr>
            </w:pPr>
          </w:p>
        </w:tc>
        <w:tc>
          <w:tcPr>
            <w:tcW w:w="640" w:type="dxa"/>
            <w:vAlign w:val="bottom"/>
            <w:gridSpan w:val="2"/>
          </w:tcPr>
          <w:p>
            <w:pPr>
              <w:jc w:val="center"/>
              <w:ind w:right="220"/>
              <w:spacing w:after="0"/>
              <w:rPr>
                <w:sz w:val="20"/>
                <w:szCs w:val="20"/>
                <w:color w:val="auto"/>
              </w:rPr>
            </w:pPr>
            <w:r>
              <w:rPr>
                <w:rFonts w:ascii="Times New Roman" w:cs="Times New Roman" w:eastAsia="Times New Roman" w:hAnsi="Times New Roman"/>
                <w:sz w:val="13"/>
                <w:szCs w:val="13"/>
                <w:b w:val="1"/>
                <w:bCs w:val="1"/>
                <w:color w:val="auto"/>
              </w:rPr>
              <w:t>ted</w:t>
            </w:r>
          </w:p>
        </w:tc>
        <w:tc>
          <w:tcPr>
            <w:tcW w:w="0" w:type="dxa"/>
            <w:vAlign w:val="bottom"/>
          </w:tcPr>
          <w:p>
            <w:pPr>
              <w:spacing w:after="0"/>
              <w:rPr>
                <w:sz w:val="1"/>
                <w:szCs w:val="1"/>
                <w:color w:val="auto"/>
              </w:rPr>
            </w:pPr>
          </w:p>
        </w:tc>
      </w:tr>
      <w:tr>
        <w:trPr>
          <w:trHeight w:val="104"/>
        </w:trPr>
        <w:tc>
          <w:tcPr>
            <w:tcW w:w="2760" w:type="dxa"/>
            <w:vAlign w:val="bottom"/>
          </w:tcPr>
          <w:p>
            <w:pPr>
              <w:spacing w:after="0"/>
              <w:rPr>
                <w:sz w:val="9"/>
                <w:szCs w:val="9"/>
                <w:color w:val="auto"/>
              </w:rPr>
            </w:pPr>
          </w:p>
        </w:tc>
        <w:tc>
          <w:tcPr>
            <w:tcW w:w="120" w:type="dxa"/>
            <w:vAlign w:val="bottom"/>
          </w:tcPr>
          <w:p>
            <w:pPr>
              <w:spacing w:after="0"/>
              <w:rPr>
                <w:sz w:val="9"/>
                <w:szCs w:val="9"/>
                <w:color w:val="auto"/>
              </w:rPr>
            </w:pPr>
          </w:p>
        </w:tc>
        <w:tc>
          <w:tcPr>
            <w:tcW w:w="480" w:type="dxa"/>
            <w:vAlign w:val="bottom"/>
          </w:tcPr>
          <w:p>
            <w:pPr>
              <w:spacing w:after="0"/>
              <w:rPr>
                <w:sz w:val="9"/>
                <w:szCs w:val="9"/>
                <w:color w:val="auto"/>
              </w:rPr>
            </w:pPr>
          </w:p>
        </w:tc>
        <w:tc>
          <w:tcPr>
            <w:tcW w:w="240" w:type="dxa"/>
            <w:vAlign w:val="bottom"/>
          </w:tcPr>
          <w:p>
            <w:pPr>
              <w:spacing w:after="0"/>
              <w:rPr>
                <w:sz w:val="9"/>
                <w:szCs w:val="9"/>
                <w:color w:val="auto"/>
              </w:rPr>
            </w:pPr>
          </w:p>
        </w:tc>
        <w:tc>
          <w:tcPr>
            <w:tcW w:w="700" w:type="dxa"/>
            <w:vAlign w:val="bottom"/>
          </w:tcPr>
          <w:p>
            <w:pPr>
              <w:spacing w:after="0"/>
              <w:rPr>
                <w:sz w:val="9"/>
                <w:szCs w:val="9"/>
                <w:color w:val="auto"/>
              </w:rPr>
            </w:pPr>
          </w:p>
        </w:tc>
        <w:tc>
          <w:tcPr>
            <w:tcW w:w="240" w:type="dxa"/>
            <w:vAlign w:val="bottom"/>
          </w:tcPr>
          <w:p>
            <w:pPr>
              <w:spacing w:after="0"/>
              <w:rPr>
                <w:sz w:val="9"/>
                <w:szCs w:val="9"/>
                <w:color w:val="auto"/>
              </w:rPr>
            </w:pPr>
          </w:p>
        </w:tc>
        <w:tc>
          <w:tcPr>
            <w:tcW w:w="320" w:type="dxa"/>
            <w:vAlign w:val="bottom"/>
          </w:tcPr>
          <w:p>
            <w:pPr>
              <w:spacing w:after="0"/>
              <w:rPr>
                <w:sz w:val="9"/>
                <w:szCs w:val="9"/>
                <w:color w:val="auto"/>
              </w:rPr>
            </w:pPr>
          </w:p>
        </w:tc>
        <w:tc>
          <w:tcPr>
            <w:tcW w:w="280" w:type="dxa"/>
            <w:vAlign w:val="bottom"/>
          </w:tcPr>
          <w:p>
            <w:pPr>
              <w:spacing w:after="0"/>
              <w:rPr>
                <w:sz w:val="9"/>
                <w:szCs w:val="9"/>
                <w:color w:val="auto"/>
              </w:rPr>
            </w:pPr>
          </w:p>
        </w:tc>
        <w:tc>
          <w:tcPr>
            <w:tcW w:w="240" w:type="dxa"/>
            <w:vAlign w:val="bottom"/>
          </w:tcPr>
          <w:p>
            <w:pPr>
              <w:spacing w:after="0"/>
              <w:rPr>
                <w:sz w:val="9"/>
                <w:szCs w:val="9"/>
                <w:color w:val="auto"/>
              </w:rPr>
            </w:pPr>
          </w:p>
        </w:tc>
        <w:tc>
          <w:tcPr>
            <w:tcW w:w="680" w:type="dxa"/>
            <w:vAlign w:val="bottom"/>
          </w:tcPr>
          <w:p>
            <w:pPr>
              <w:spacing w:after="0"/>
              <w:rPr>
                <w:sz w:val="9"/>
                <w:szCs w:val="9"/>
                <w:color w:val="auto"/>
              </w:rPr>
            </w:pPr>
          </w:p>
        </w:tc>
        <w:tc>
          <w:tcPr>
            <w:tcW w:w="220" w:type="dxa"/>
            <w:vAlign w:val="bottom"/>
          </w:tcPr>
          <w:p>
            <w:pPr>
              <w:spacing w:after="0"/>
              <w:rPr>
                <w:sz w:val="9"/>
                <w:szCs w:val="9"/>
                <w:color w:val="auto"/>
              </w:rPr>
            </w:pPr>
          </w:p>
        </w:tc>
        <w:tc>
          <w:tcPr>
            <w:tcW w:w="80" w:type="dxa"/>
            <w:vAlign w:val="bottom"/>
          </w:tcPr>
          <w:p>
            <w:pPr>
              <w:spacing w:after="0"/>
              <w:rPr>
                <w:sz w:val="9"/>
                <w:szCs w:val="9"/>
                <w:color w:val="auto"/>
              </w:rPr>
            </w:pPr>
          </w:p>
        </w:tc>
        <w:tc>
          <w:tcPr>
            <w:tcW w:w="540" w:type="dxa"/>
            <w:vAlign w:val="bottom"/>
          </w:tcPr>
          <w:p>
            <w:pPr>
              <w:spacing w:after="0"/>
              <w:rPr>
                <w:sz w:val="9"/>
                <w:szCs w:val="9"/>
                <w:color w:val="auto"/>
              </w:rPr>
            </w:pPr>
          </w:p>
        </w:tc>
        <w:tc>
          <w:tcPr>
            <w:tcW w:w="220" w:type="dxa"/>
            <w:vAlign w:val="bottom"/>
          </w:tcPr>
          <w:p>
            <w:pPr>
              <w:spacing w:after="0"/>
              <w:rPr>
                <w:sz w:val="9"/>
                <w:szCs w:val="9"/>
                <w:color w:val="auto"/>
              </w:rPr>
            </w:pPr>
          </w:p>
        </w:tc>
        <w:tc>
          <w:tcPr>
            <w:tcW w:w="780" w:type="dxa"/>
            <w:vAlign w:val="bottom"/>
            <w:gridSpan w:val="3"/>
            <w:vMerge w:val="continue"/>
          </w:tcPr>
          <w:p>
            <w:pPr>
              <w:spacing w:after="0"/>
              <w:rPr>
                <w:sz w:val="9"/>
                <w:szCs w:val="9"/>
                <w:color w:val="auto"/>
              </w:rPr>
            </w:pPr>
          </w:p>
        </w:tc>
        <w:tc>
          <w:tcPr>
            <w:tcW w:w="560" w:type="dxa"/>
            <w:vAlign w:val="bottom"/>
          </w:tcPr>
          <w:p>
            <w:pPr>
              <w:spacing w:after="0"/>
              <w:rPr>
                <w:sz w:val="9"/>
                <w:szCs w:val="9"/>
                <w:color w:val="auto"/>
              </w:rPr>
            </w:pPr>
          </w:p>
        </w:tc>
        <w:tc>
          <w:tcPr>
            <w:tcW w:w="220" w:type="dxa"/>
            <w:vAlign w:val="bottom"/>
          </w:tcPr>
          <w:p>
            <w:pPr>
              <w:spacing w:after="0"/>
              <w:rPr>
                <w:sz w:val="9"/>
                <w:szCs w:val="9"/>
                <w:color w:val="auto"/>
              </w:rPr>
            </w:pPr>
          </w:p>
        </w:tc>
        <w:tc>
          <w:tcPr>
            <w:tcW w:w="80" w:type="dxa"/>
            <w:vAlign w:val="bottom"/>
          </w:tcPr>
          <w:p>
            <w:pPr>
              <w:spacing w:after="0"/>
              <w:rPr>
                <w:sz w:val="9"/>
                <w:szCs w:val="9"/>
                <w:color w:val="auto"/>
              </w:rPr>
            </w:pPr>
          </w:p>
        </w:tc>
        <w:tc>
          <w:tcPr>
            <w:tcW w:w="580" w:type="dxa"/>
            <w:vAlign w:val="bottom"/>
          </w:tcPr>
          <w:p>
            <w:pPr>
              <w:spacing w:after="0"/>
              <w:rPr>
                <w:sz w:val="9"/>
                <w:szCs w:val="9"/>
                <w:color w:val="auto"/>
              </w:rPr>
            </w:pPr>
          </w:p>
        </w:tc>
        <w:tc>
          <w:tcPr>
            <w:tcW w:w="220" w:type="dxa"/>
            <w:vAlign w:val="bottom"/>
          </w:tcPr>
          <w:p>
            <w:pPr>
              <w:spacing w:after="0"/>
              <w:rPr>
                <w:sz w:val="9"/>
                <w:szCs w:val="9"/>
                <w:color w:val="auto"/>
              </w:rPr>
            </w:pPr>
          </w:p>
        </w:tc>
        <w:tc>
          <w:tcPr>
            <w:tcW w:w="140" w:type="dxa"/>
            <w:vAlign w:val="bottom"/>
          </w:tcPr>
          <w:p>
            <w:pPr>
              <w:spacing w:after="0"/>
              <w:rPr>
                <w:sz w:val="9"/>
                <w:szCs w:val="9"/>
                <w:color w:val="auto"/>
              </w:rPr>
            </w:pPr>
          </w:p>
        </w:tc>
        <w:tc>
          <w:tcPr>
            <w:tcW w:w="580" w:type="dxa"/>
            <w:vAlign w:val="bottom"/>
          </w:tcPr>
          <w:p>
            <w:pPr>
              <w:spacing w:after="0"/>
              <w:rPr>
                <w:sz w:val="9"/>
                <w:szCs w:val="9"/>
                <w:color w:val="auto"/>
              </w:rPr>
            </w:pPr>
          </w:p>
        </w:tc>
        <w:tc>
          <w:tcPr>
            <w:tcW w:w="220" w:type="dxa"/>
            <w:vAlign w:val="bottom"/>
          </w:tcPr>
          <w:p>
            <w:pPr>
              <w:spacing w:after="0"/>
              <w:rPr>
                <w:sz w:val="9"/>
                <w:szCs w:val="9"/>
                <w:color w:val="auto"/>
              </w:rPr>
            </w:pPr>
          </w:p>
        </w:tc>
        <w:tc>
          <w:tcPr>
            <w:tcW w:w="100" w:type="dxa"/>
            <w:vAlign w:val="bottom"/>
          </w:tcPr>
          <w:p>
            <w:pPr>
              <w:spacing w:after="0"/>
              <w:rPr>
                <w:sz w:val="9"/>
                <w:szCs w:val="9"/>
                <w:color w:val="auto"/>
              </w:rPr>
            </w:pPr>
          </w:p>
        </w:tc>
        <w:tc>
          <w:tcPr>
            <w:tcW w:w="540" w:type="dxa"/>
            <w:vAlign w:val="bottom"/>
          </w:tcPr>
          <w:p>
            <w:pPr>
              <w:spacing w:after="0"/>
              <w:rPr>
                <w:sz w:val="9"/>
                <w:szCs w:val="9"/>
                <w:color w:val="auto"/>
              </w:rPr>
            </w:pPr>
          </w:p>
        </w:tc>
        <w:tc>
          <w:tcPr>
            <w:tcW w:w="1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35"/>
        </w:trPr>
        <w:tc>
          <w:tcPr>
            <w:tcW w:w="27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1260" w:type="dxa"/>
            <w:vAlign w:val="bottom"/>
            <w:gridSpan w:val="3"/>
          </w:tcPr>
          <w:p>
            <w:pPr>
              <w:jc w:val="right"/>
              <w:ind w:right="237"/>
              <w:spacing w:after="0" w:line="135" w:lineRule="exact"/>
              <w:rPr>
                <w:sz w:val="20"/>
                <w:szCs w:val="20"/>
                <w:color w:val="auto"/>
              </w:rPr>
            </w:pPr>
            <w:r>
              <w:rPr>
                <w:rFonts w:ascii="Times New Roman" w:cs="Times New Roman" w:eastAsia="Times New Roman" w:hAnsi="Times New Roman"/>
                <w:sz w:val="13"/>
                <w:szCs w:val="13"/>
                <w:b w:val="1"/>
                <w:bCs w:val="1"/>
                <w:color w:val="auto"/>
              </w:rPr>
              <w:t>Class A</w:t>
            </w:r>
          </w:p>
        </w:tc>
        <w:tc>
          <w:tcPr>
            <w:tcW w:w="28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1520" w:type="dxa"/>
            <w:vAlign w:val="bottom"/>
            <w:gridSpan w:val="4"/>
          </w:tcPr>
          <w:p>
            <w:pPr>
              <w:jc w:val="center"/>
              <w:spacing w:after="0" w:line="135" w:lineRule="exact"/>
              <w:rPr>
                <w:sz w:val="20"/>
                <w:szCs w:val="20"/>
                <w:color w:val="auto"/>
              </w:rPr>
            </w:pPr>
            <w:r>
              <w:rPr>
                <w:rFonts w:ascii="Times New Roman" w:cs="Times New Roman" w:eastAsia="Times New Roman" w:hAnsi="Times New Roman"/>
                <w:sz w:val="13"/>
                <w:szCs w:val="13"/>
                <w:b w:val="1"/>
                <w:bCs w:val="1"/>
                <w:color w:val="auto"/>
                <w:w w:val="97"/>
              </w:rPr>
              <w:t>Convertible</w:t>
            </w: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700" w:type="dxa"/>
            <w:vAlign w:val="bottom"/>
            <w:gridSpan w:val="2"/>
          </w:tcPr>
          <w:p>
            <w:pPr>
              <w:jc w:val="center"/>
              <w:ind w:right="300"/>
              <w:spacing w:after="0" w:line="135" w:lineRule="exact"/>
              <w:rPr>
                <w:sz w:val="20"/>
                <w:szCs w:val="20"/>
                <w:color w:val="auto"/>
              </w:rPr>
            </w:pPr>
            <w:r>
              <w:rPr>
                <w:rFonts w:ascii="Times New Roman" w:cs="Times New Roman" w:eastAsia="Times New Roman" w:hAnsi="Times New Roman"/>
                <w:sz w:val="13"/>
                <w:szCs w:val="13"/>
                <w:b w:val="1"/>
                <w:bCs w:val="1"/>
                <w:color w:val="auto"/>
                <w:w w:val="78"/>
              </w:rPr>
              <w:t>al</w:t>
            </w:r>
          </w:p>
        </w:tc>
        <w:tc>
          <w:tcPr>
            <w:tcW w:w="56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800" w:type="dxa"/>
            <w:vAlign w:val="bottom"/>
            <w:gridSpan w:val="2"/>
          </w:tcPr>
          <w:p>
            <w:pPr>
              <w:jc w:val="center"/>
              <w:ind w:right="360"/>
              <w:spacing w:after="0" w:line="135" w:lineRule="exact"/>
              <w:rPr>
                <w:sz w:val="20"/>
                <w:szCs w:val="20"/>
                <w:color w:val="auto"/>
              </w:rPr>
            </w:pPr>
            <w:r>
              <w:rPr>
                <w:rFonts w:ascii="Times New Roman" w:cs="Times New Roman" w:eastAsia="Times New Roman" w:hAnsi="Times New Roman"/>
                <w:sz w:val="13"/>
                <w:szCs w:val="13"/>
                <w:b w:val="1"/>
                <w:bCs w:val="1"/>
                <w:color w:val="auto"/>
                <w:w w:val="96"/>
              </w:rPr>
              <w:t>Other</w:t>
            </w:r>
          </w:p>
        </w:tc>
        <w:tc>
          <w:tcPr>
            <w:tcW w:w="100" w:type="dxa"/>
            <w:vAlign w:val="bottom"/>
          </w:tcPr>
          <w:p>
            <w:pPr>
              <w:spacing w:after="0"/>
              <w:rPr>
                <w:sz w:val="11"/>
                <w:szCs w:val="11"/>
                <w:color w:val="auto"/>
              </w:rPr>
            </w:pPr>
          </w:p>
        </w:tc>
        <w:tc>
          <w:tcPr>
            <w:tcW w:w="640" w:type="dxa"/>
            <w:vAlign w:val="bottom"/>
            <w:gridSpan w:val="2"/>
          </w:tcPr>
          <w:p>
            <w:pPr>
              <w:jc w:val="center"/>
              <w:ind w:right="240"/>
              <w:spacing w:after="0" w:line="135" w:lineRule="exact"/>
              <w:rPr>
                <w:sz w:val="20"/>
                <w:szCs w:val="20"/>
                <w:color w:val="auto"/>
              </w:rPr>
            </w:pPr>
            <w:r>
              <w:rPr>
                <w:rFonts w:ascii="Times New Roman" w:cs="Times New Roman" w:eastAsia="Times New Roman" w:hAnsi="Times New Roman"/>
                <w:sz w:val="13"/>
                <w:szCs w:val="13"/>
                <w:b w:val="1"/>
                <w:bCs w:val="1"/>
                <w:color w:val="auto"/>
                <w:w w:val="97"/>
              </w:rPr>
              <w:t>Deficit)</w:t>
            </w:r>
          </w:p>
        </w:tc>
        <w:tc>
          <w:tcPr>
            <w:tcW w:w="0" w:type="dxa"/>
            <w:vAlign w:val="bottom"/>
          </w:tcPr>
          <w:p>
            <w:pPr>
              <w:spacing w:after="0"/>
              <w:rPr>
                <w:sz w:val="1"/>
                <w:szCs w:val="1"/>
                <w:color w:val="auto"/>
              </w:rPr>
            </w:pPr>
          </w:p>
        </w:tc>
      </w:tr>
      <w:tr>
        <w:trPr>
          <w:trHeight w:val="135"/>
        </w:trPr>
        <w:tc>
          <w:tcPr>
            <w:tcW w:w="27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1260" w:type="dxa"/>
            <w:vAlign w:val="bottom"/>
            <w:gridSpan w:val="3"/>
            <w:vMerge w:val="restart"/>
          </w:tcPr>
          <w:p>
            <w:pPr>
              <w:jc w:val="right"/>
              <w:ind w:right="17"/>
              <w:spacing w:after="0"/>
              <w:rPr>
                <w:sz w:val="20"/>
                <w:szCs w:val="20"/>
                <w:color w:val="auto"/>
              </w:rPr>
            </w:pPr>
            <w:r>
              <w:rPr>
                <w:rFonts w:ascii="Times New Roman" w:cs="Times New Roman" w:eastAsia="Times New Roman" w:hAnsi="Times New Roman"/>
                <w:sz w:val="13"/>
                <w:szCs w:val="13"/>
                <w:b w:val="1"/>
                <w:bCs w:val="1"/>
                <w:color w:val="auto"/>
              </w:rPr>
              <w:t>Common Stock</w:t>
            </w:r>
          </w:p>
        </w:tc>
        <w:tc>
          <w:tcPr>
            <w:tcW w:w="28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1520" w:type="dxa"/>
            <w:vAlign w:val="bottom"/>
            <w:gridSpan w:val="4"/>
            <w:vMerge w:val="restart"/>
          </w:tcPr>
          <w:p>
            <w:pPr>
              <w:jc w:val="center"/>
              <w:spacing w:after="0"/>
              <w:rPr>
                <w:sz w:val="20"/>
                <w:szCs w:val="20"/>
                <w:color w:val="auto"/>
              </w:rPr>
            </w:pPr>
            <w:r>
              <w:rPr>
                <w:rFonts w:ascii="Times New Roman" w:cs="Times New Roman" w:eastAsia="Times New Roman" w:hAnsi="Times New Roman"/>
                <w:sz w:val="13"/>
                <w:szCs w:val="13"/>
                <w:b w:val="1"/>
                <w:bCs w:val="1"/>
                <w:color w:val="auto"/>
                <w:w w:val="98"/>
              </w:rPr>
              <w:t>Common Stock</w:t>
            </w: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1660" w:type="dxa"/>
            <w:vAlign w:val="bottom"/>
            <w:gridSpan w:val="5"/>
            <w:vMerge w:val="restart"/>
          </w:tcPr>
          <w:p>
            <w:pPr>
              <w:jc w:val="right"/>
              <w:ind w:right="520"/>
              <w:spacing w:after="0"/>
              <w:rPr>
                <w:sz w:val="20"/>
                <w:szCs w:val="20"/>
                <w:color w:val="auto"/>
              </w:rPr>
            </w:pPr>
            <w:r>
              <w:rPr>
                <w:rFonts w:ascii="Times New Roman" w:cs="Times New Roman" w:eastAsia="Times New Roman" w:hAnsi="Times New Roman"/>
                <w:sz w:val="13"/>
                <w:szCs w:val="13"/>
                <w:b w:val="1"/>
                <w:bCs w:val="1"/>
                <w:color w:val="auto"/>
              </w:rPr>
              <w:t>Treasury Stock</w:t>
            </w:r>
          </w:p>
        </w:tc>
        <w:tc>
          <w:tcPr>
            <w:tcW w:w="940" w:type="dxa"/>
            <w:vAlign w:val="bottom"/>
            <w:gridSpan w:val="3"/>
          </w:tcPr>
          <w:p>
            <w:pPr>
              <w:ind w:left="40"/>
              <w:spacing w:after="0" w:line="135" w:lineRule="exact"/>
              <w:rPr>
                <w:sz w:val="20"/>
                <w:szCs w:val="20"/>
                <w:color w:val="auto"/>
              </w:rPr>
            </w:pPr>
            <w:r>
              <w:rPr>
                <w:rFonts w:ascii="Times New Roman" w:cs="Times New Roman" w:eastAsia="Times New Roman" w:hAnsi="Times New Roman"/>
                <w:sz w:val="13"/>
                <w:szCs w:val="13"/>
                <w:b w:val="1"/>
                <w:bCs w:val="1"/>
                <w:color w:val="auto"/>
              </w:rPr>
              <w:t>Comprehen</w:t>
            </w:r>
          </w:p>
        </w:tc>
        <w:tc>
          <w:tcPr>
            <w:tcW w:w="10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42"/>
        </w:trPr>
        <w:tc>
          <w:tcPr>
            <w:tcW w:w="276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260" w:type="dxa"/>
            <w:vAlign w:val="bottom"/>
            <w:gridSpan w:val="3"/>
            <w:vMerge w:val="continue"/>
          </w:tcPr>
          <w:p>
            <w:pPr>
              <w:spacing w:after="0"/>
              <w:rPr>
                <w:sz w:val="12"/>
                <w:szCs w:val="12"/>
                <w:color w:val="auto"/>
              </w:rPr>
            </w:pPr>
          </w:p>
        </w:tc>
        <w:tc>
          <w:tcPr>
            <w:tcW w:w="2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520" w:type="dxa"/>
            <w:vAlign w:val="bottom"/>
            <w:gridSpan w:val="4"/>
            <w:vMerge w:val="continue"/>
          </w:tcPr>
          <w:p>
            <w:pPr>
              <w:spacing w:after="0"/>
              <w:rPr>
                <w:sz w:val="12"/>
                <w:szCs w:val="12"/>
                <w:color w:val="auto"/>
              </w:rPr>
            </w:pP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700" w:type="dxa"/>
            <w:vAlign w:val="bottom"/>
            <w:gridSpan w:val="2"/>
          </w:tcPr>
          <w:p>
            <w:pPr>
              <w:jc w:val="center"/>
              <w:ind w:right="300"/>
              <w:spacing w:after="0" w:line="142" w:lineRule="exact"/>
              <w:rPr>
                <w:sz w:val="20"/>
                <w:szCs w:val="20"/>
                <w:color w:val="auto"/>
              </w:rPr>
            </w:pPr>
            <w:r>
              <w:rPr>
                <w:rFonts w:ascii="Times New Roman" w:cs="Times New Roman" w:eastAsia="Times New Roman" w:hAnsi="Times New Roman"/>
                <w:sz w:val="13"/>
                <w:szCs w:val="13"/>
                <w:b w:val="1"/>
                <w:bCs w:val="1"/>
                <w:color w:val="auto"/>
                <w:w w:val="98"/>
              </w:rPr>
              <w:t>Paid-in</w:t>
            </w:r>
          </w:p>
        </w:tc>
        <w:tc>
          <w:tcPr>
            <w:tcW w:w="1660" w:type="dxa"/>
            <w:vAlign w:val="bottom"/>
            <w:gridSpan w:val="5"/>
            <w:vMerge w:val="continue"/>
          </w:tcPr>
          <w:p>
            <w:pPr>
              <w:spacing w:after="0"/>
              <w:rPr>
                <w:sz w:val="12"/>
                <w:szCs w:val="12"/>
                <w:color w:val="auto"/>
              </w:rPr>
            </w:pPr>
          </w:p>
        </w:tc>
        <w:tc>
          <w:tcPr>
            <w:tcW w:w="140" w:type="dxa"/>
            <w:vAlign w:val="bottom"/>
          </w:tcPr>
          <w:p>
            <w:pPr>
              <w:spacing w:after="0"/>
              <w:rPr>
                <w:sz w:val="12"/>
                <w:szCs w:val="12"/>
                <w:color w:val="auto"/>
              </w:rPr>
            </w:pPr>
          </w:p>
        </w:tc>
        <w:tc>
          <w:tcPr>
            <w:tcW w:w="800" w:type="dxa"/>
            <w:vAlign w:val="bottom"/>
            <w:gridSpan w:val="2"/>
          </w:tcPr>
          <w:p>
            <w:pPr>
              <w:jc w:val="center"/>
              <w:ind w:right="360"/>
              <w:spacing w:after="0" w:line="142" w:lineRule="exact"/>
              <w:rPr>
                <w:sz w:val="20"/>
                <w:szCs w:val="20"/>
                <w:color w:val="auto"/>
              </w:rPr>
            </w:pPr>
            <w:r>
              <w:rPr>
                <w:rFonts w:ascii="Times New Roman" w:cs="Times New Roman" w:eastAsia="Times New Roman" w:hAnsi="Times New Roman"/>
                <w:sz w:val="13"/>
                <w:szCs w:val="13"/>
                <w:b w:val="1"/>
                <w:bCs w:val="1"/>
                <w:color w:val="auto"/>
                <w:w w:val="95"/>
              </w:rPr>
              <w:t>sive</w:t>
            </w:r>
          </w:p>
        </w:tc>
        <w:tc>
          <w:tcPr>
            <w:tcW w:w="740" w:type="dxa"/>
            <w:vAlign w:val="bottom"/>
            <w:gridSpan w:val="3"/>
          </w:tcPr>
          <w:p>
            <w:pPr>
              <w:jc w:val="center"/>
              <w:ind w:right="120"/>
              <w:spacing w:after="0" w:line="142" w:lineRule="exact"/>
              <w:rPr>
                <w:sz w:val="20"/>
                <w:szCs w:val="20"/>
                <w:color w:val="auto"/>
              </w:rPr>
            </w:pPr>
            <w:r>
              <w:rPr>
                <w:rFonts w:ascii="Times New Roman" w:cs="Times New Roman" w:eastAsia="Times New Roman" w:hAnsi="Times New Roman"/>
                <w:sz w:val="13"/>
                <w:szCs w:val="13"/>
                <w:b w:val="1"/>
                <w:bCs w:val="1"/>
                <w:color w:val="auto"/>
              </w:rPr>
              <w:t>Retained</w:t>
            </w:r>
          </w:p>
        </w:tc>
        <w:tc>
          <w:tcPr>
            <w:tcW w:w="0" w:type="dxa"/>
            <w:vAlign w:val="bottom"/>
          </w:tcPr>
          <w:p>
            <w:pPr>
              <w:spacing w:after="0"/>
              <w:rPr>
                <w:sz w:val="1"/>
                <w:szCs w:val="1"/>
                <w:color w:val="auto"/>
              </w:rPr>
            </w:pPr>
          </w:p>
        </w:tc>
      </w:tr>
      <w:tr>
        <w:trPr>
          <w:trHeight w:val="128"/>
        </w:trPr>
        <w:tc>
          <w:tcPr>
            <w:tcW w:w="2760" w:type="dxa"/>
            <w:vAlign w:val="bottom"/>
          </w:tcPr>
          <w:p>
            <w:pPr>
              <w:spacing w:after="0"/>
              <w:rPr>
                <w:sz w:val="11"/>
                <w:szCs w:val="11"/>
                <w:color w:val="auto"/>
              </w:rPr>
            </w:pPr>
          </w:p>
        </w:tc>
        <w:tc>
          <w:tcPr>
            <w:tcW w:w="120" w:type="dxa"/>
            <w:vAlign w:val="bottom"/>
            <w:tcBorders>
              <w:bottom w:val="single" w:sz="8" w:color="auto"/>
            </w:tcBorders>
          </w:tcPr>
          <w:p>
            <w:pPr>
              <w:spacing w:after="0"/>
              <w:rPr>
                <w:sz w:val="11"/>
                <w:szCs w:val="11"/>
                <w:color w:val="auto"/>
              </w:rPr>
            </w:pPr>
          </w:p>
        </w:tc>
        <w:tc>
          <w:tcPr>
            <w:tcW w:w="480" w:type="dxa"/>
            <w:vAlign w:val="bottom"/>
            <w:tcBorders>
              <w:bottom w:val="single" w:sz="8" w:color="auto"/>
            </w:tcBorders>
          </w:tcPr>
          <w:p>
            <w:pPr>
              <w:jc w:val="right"/>
              <w:ind w:right="98"/>
              <w:spacing w:after="0" w:line="129" w:lineRule="exact"/>
              <w:rPr>
                <w:sz w:val="20"/>
                <w:szCs w:val="20"/>
                <w:color w:val="auto"/>
              </w:rPr>
            </w:pPr>
            <w:r>
              <w:rPr>
                <w:rFonts w:ascii="Times New Roman" w:cs="Times New Roman" w:eastAsia="Times New Roman" w:hAnsi="Times New Roman"/>
                <w:sz w:val="13"/>
                <w:szCs w:val="13"/>
                <w:b w:val="1"/>
                <w:bCs w:val="1"/>
                <w:color w:val="auto"/>
              </w:rPr>
              <w:t>Total</w:t>
            </w:r>
          </w:p>
        </w:tc>
        <w:tc>
          <w:tcPr>
            <w:tcW w:w="240" w:type="dxa"/>
            <w:vAlign w:val="bottom"/>
          </w:tcPr>
          <w:p>
            <w:pPr>
              <w:spacing w:after="0"/>
              <w:rPr>
                <w:sz w:val="11"/>
                <w:szCs w:val="11"/>
                <w:color w:val="auto"/>
              </w:rPr>
            </w:pPr>
          </w:p>
        </w:tc>
        <w:tc>
          <w:tcPr>
            <w:tcW w:w="700" w:type="dxa"/>
            <w:vAlign w:val="bottom"/>
            <w:tcBorders>
              <w:top w:val="single" w:sz="8" w:color="auto"/>
              <w:bottom w:val="single" w:sz="8" w:color="auto"/>
            </w:tcBorders>
          </w:tcPr>
          <w:p>
            <w:pPr>
              <w:jc w:val="right"/>
              <w:ind w:right="117"/>
              <w:spacing w:after="0" w:line="129" w:lineRule="exact"/>
              <w:rPr>
                <w:sz w:val="20"/>
                <w:szCs w:val="20"/>
                <w:color w:val="auto"/>
              </w:rPr>
            </w:pPr>
            <w:r>
              <w:rPr>
                <w:rFonts w:ascii="Times New Roman" w:cs="Times New Roman" w:eastAsia="Times New Roman" w:hAnsi="Times New Roman"/>
                <w:sz w:val="13"/>
                <w:szCs w:val="13"/>
                <w:b w:val="1"/>
                <w:bCs w:val="1"/>
                <w:color w:val="auto"/>
              </w:rPr>
              <w:t>Shares</w:t>
            </w:r>
          </w:p>
        </w:tc>
        <w:tc>
          <w:tcPr>
            <w:tcW w:w="240" w:type="dxa"/>
            <w:vAlign w:val="bottom"/>
            <w:tcBorders>
              <w:top w:val="single" w:sz="8" w:color="auto"/>
            </w:tcBorders>
          </w:tcPr>
          <w:p>
            <w:pPr>
              <w:spacing w:after="0"/>
              <w:rPr>
                <w:sz w:val="11"/>
                <w:szCs w:val="11"/>
                <w:color w:val="auto"/>
              </w:rPr>
            </w:pPr>
          </w:p>
        </w:tc>
        <w:tc>
          <w:tcPr>
            <w:tcW w:w="600" w:type="dxa"/>
            <w:vAlign w:val="bottom"/>
            <w:tcBorders>
              <w:top w:val="single" w:sz="8" w:color="auto"/>
              <w:bottom w:val="single" w:sz="8" w:color="auto"/>
            </w:tcBorders>
            <w:gridSpan w:val="2"/>
          </w:tcPr>
          <w:p>
            <w:pPr>
              <w:jc w:val="right"/>
              <w:ind w:right="17"/>
              <w:spacing w:after="0" w:line="129" w:lineRule="exact"/>
              <w:rPr>
                <w:sz w:val="20"/>
                <w:szCs w:val="20"/>
                <w:color w:val="auto"/>
              </w:rPr>
            </w:pPr>
            <w:r>
              <w:rPr>
                <w:rFonts w:ascii="Times New Roman" w:cs="Times New Roman" w:eastAsia="Times New Roman" w:hAnsi="Times New Roman"/>
                <w:sz w:val="13"/>
                <w:szCs w:val="13"/>
                <w:b w:val="1"/>
                <w:bCs w:val="1"/>
                <w:color w:val="auto"/>
              </w:rPr>
              <w:t>Amount</w:t>
            </w:r>
          </w:p>
        </w:tc>
        <w:tc>
          <w:tcPr>
            <w:tcW w:w="240" w:type="dxa"/>
            <w:vAlign w:val="bottom"/>
          </w:tcPr>
          <w:p>
            <w:pPr>
              <w:spacing w:after="0"/>
              <w:rPr>
                <w:sz w:val="11"/>
                <w:szCs w:val="11"/>
                <w:color w:val="auto"/>
              </w:rPr>
            </w:pPr>
          </w:p>
        </w:tc>
        <w:tc>
          <w:tcPr>
            <w:tcW w:w="680" w:type="dxa"/>
            <w:vAlign w:val="bottom"/>
            <w:tcBorders>
              <w:top w:val="single" w:sz="8" w:color="auto"/>
              <w:bottom w:val="single" w:sz="8" w:color="auto"/>
            </w:tcBorders>
          </w:tcPr>
          <w:p>
            <w:pPr>
              <w:jc w:val="right"/>
              <w:ind w:right="97"/>
              <w:spacing w:after="0" w:line="129" w:lineRule="exact"/>
              <w:rPr>
                <w:sz w:val="20"/>
                <w:szCs w:val="20"/>
                <w:color w:val="auto"/>
              </w:rPr>
            </w:pPr>
            <w:r>
              <w:rPr>
                <w:rFonts w:ascii="Times New Roman" w:cs="Times New Roman" w:eastAsia="Times New Roman" w:hAnsi="Times New Roman"/>
                <w:sz w:val="13"/>
                <w:szCs w:val="13"/>
                <w:b w:val="1"/>
                <w:bCs w:val="1"/>
                <w:color w:val="auto"/>
              </w:rPr>
              <w:t>Shares</w:t>
            </w:r>
          </w:p>
        </w:tc>
        <w:tc>
          <w:tcPr>
            <w:tcW w:w="220" w:type="dxa"/>
            <w:vAlign w:val="bottom"/>
            <w:tcBorders>
              <w:top w:val="single" w:sz="8" w:color="auto"/>
            </w:tcBorders>
          </w:tcPr>
          <w:p>
            <w:pPr>
              <w:spacing w:after="0"/>
              <w:rPr>
                <w:sz w:val="11"/>
                <w:szCs w:val="11"/>
                <w:color w:val="auto"/>
              </w:rPr>
            </w:pPr>
          </w:p>
        </w:tc>
        <w:tc>
          <w:tcPr>
            <w:tcW w:w="80" w:type="dxa"/>
            <w:vAlign w:val="bottom"/>
            <w:tcBorders>
              <w:top w:val="single" w:sz="8" w:color="auto"/>
              <w:bottom w:val="single" w:sz="8" w:color="auto"/>
            </w:tcBorders>
          </w:tcPr>
          <w:p>
            <w:pPr>
              <w:spacing w:after="0"/>
              <w:rPr>
                <w:sz w:val="11"/>
                <w:szCs w:val="11"/>
                <w:color w:val="auto"/>
              </w:rPr>
            </w:pPr>
          </w:p>
        </w:tc>
        <w:tc>
          <w:tcPr>
            <w:tcW w:w="540" w:type="dxa"/>
            <w:vAlign w:val="bottom"/>
            <w:tcBorders>
              <w:top w:val="single" w:sz="8" w:color="auto"/>
              <w:bottom w:val="single" w:sz="8" w:color="auto"/>
            </w:tcBorders>
          </w:tcPr>
          <w:p>
            <w:pPr>
              <w:jc w:val="right"/>
              <w:ind w:right="37"/>
              <w:spacing w:after="0" w:line="129" w:lineRule="exact"/>
              <w:rPr>
                <w:sz w:val="20"/>
                <w:szCs w:val="20"/>
                <w:color w:val="auto"/>
              </w:rPr>
            </w:pPr>
            <w:r>
              <w:rPr>
                <w:rFonts w:ascii="Times New Roman" w:cs="Times New Roman" w:eastAsia="Times New Roman" w:hAnsi="Times New Roman"/>
                <w:sz w:val="13"/>
                <w:szCs w:val="13"/>
                <w:b w:val="1"/>
                <w:bCs w:val="1"/>
                <w:color w:val="auto"/>
                <w:w w:val="92"/>
              </w:rPr>
              <w:t>Amount</w:t>
            </w:r>
          </w:p>
        </w:tc>
        <w:tc>
          <w:tcPr>
            <w:tcW w:w="22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480" w:type="dxa"/>
            <w:vAlign w:val="bottom"/>
            <w:tcBorders>
              <w:bottom w:val="single" w:sz="8" w:color="auto"/>
            </w:tcBorders>
          </w:tcPr>
          <w:p>
            <w:pPr>
              <w:jc w:val="center"/>
              <w:ind w:right="18"/>
              <w:spacing w:after="0" w:line="129" w:lineRule="exact"/>
              <w:rPr>
                <w:sz w:val="20"/>
                <w:szCs w:val="20"/>
                <w:color w:val="auto"/>
              </w:rPr>
            </w:pPr>
            <w:r>
              <w:rPr>
                <w:rFonts w:ascii="Times New Roman" w:cs="Times New Roman" w:eastAsia="Times New Roman" w:hAnsi="Times New Roman"/>
                <w:sz w:val="13"/>
                <w:szCs w:val="13"/>
                <w:b w:val="1"/>
                <w:bCs w:val="1"/>
                <w:color w:val="auto"/>
                <w:w w:val="97"/>
              </w:rPr>
              <w:t>Capital</w:t>
            </w:r>
          </w:p>
        </w:tc>
        <w:tc>
          <w:tcPr>
            <w:tcW w:w="220" w:type="dxa"/>
            <w:vAlign w:val="bottom"/>
          </w:tcPr>
          <w:p>
            <w:pPr>
              <w:spacing w:after="0"/>
              <w:rPr>
                <w:sz w:val="11"/>
                <w:szCs w:val="11"/>
                <w:color w:val="auto"/>
              </w:rPr>
            </w:pPr>
          </w:p>
        </w:tc>
        <w:tc>
          <w:tcPr>
            <w:tcW w:w="560" w:type="dxa"/>
            <w:vAlign w:val="bottom"/>
            <w:tcBorders>
              <w:top w:val="single" w:sz="8" w:color="auto"/>
              <w:bottom w:val="single" w:sz="8" w:color="auto"/>
            </w:tcBorders>
          </w:tcPr>
          <w:p>
            <w:pPr>
              <w:jc w:val="right"/>
              <w:ind w:right="37"/>
              <w:spacing w:after="0" w:line="129" w:lineRule="exact"/>
              <w:rPr>
                <w:sz w:val="20"/>
                <w:szCs w:val="20"/>
                <w:color w:val="auto"/>
              </w:rPr>
            </w:pPr>
            <w:r>
              <w:rPr>
                <w:rFonts w:ascii="Times New Roman" w:cs="Times New Roman" w:eastAsia="Times New Roman" w:hAnsi="Times New Roman"/>
                <w:sz w:val="13"/>
                <w:szCs w:val="13"/>
                <w:b w:val="1"/>
                <w:bCs w:val="1"/>
                <w:color w:val="auto"/>
              </w:rPr>
              <w:t>Shares</w:t>
            </w:r>
          </w:p>
        </w:tc>
        <w:tc>
          <w:tcPr>
            <w:tcW w:w="220" w:type="dxa"/>
            <w:vAlign w:val="bottom"/>
            <w:tcBorders>
              <w:top w:val="single" w:sz="8" w:color="auto"/>
            </w:tcBorders>
          </w:tcPr>
          <w:p>
            <w:pPr>
              <w:spacing w:after="0"/>
              <w:rPr>
                <w:sz w:val="11"/>
                <w:szCs w:val="11"/>
                <w:color w:val="auto"/>
              </w:rPr>
            </w:pPr>
          </w:p>
        </w:tc>
        <w:tc>
          <w:tcPr>
            <w:tcW w:w="80" w:type="dxa"/>
            <w:vAlign w:val="bottom"/>
            <w:tcBorders>
              <w:top w:val="single" w:sz="8" w:color="auto"/>
              <w:bottom w:val="single" w:sz="8" w:color="auto"/>
            </w:tcBorders>
          </w:tcPr>
          <w:p>
            <w:pPr>
              <w:spacing w:after="0"/>
              <w:rPr>
                <w:sz w:val="11"/>
                <w:szCs w:val="11"/>
                <w:color w:val="auto"/>
              </w:rPr>
            </w:pPr>
          </w:p>
        </w:tc>
        <w:tc>
          <w:tcPr>
            <w:tcW w:w="580" w:type="dxa"/>
            <w:vAlign w:val="bottom"/>
            <w:tcBorders>
              <w:top w:val="single" w:sz="8" w:color="auto"/>
              <w:bottom w:val="single" w:sz="8" w:color="auto"/>
            </w:tcBorders>
          </w:tcPr>
          <w:p>
            <w:pPr>
              <w:jc w:val="right"/>
              <w:ind w:right="57"/>
              <w:spacing w:after="0" w:line="129" w:lineRule="exact"/>
              <w:rPr>
                <w:sz w:val="20"/>
                <w:szCs w:val="20"/>
                <w:color w:val="auto"/>
              </w:rPr>
            </w:pPr>
            <w:r>
              <w:rPr>
                <w:rFonts w:ascii="Times New Roman" w:cs="Times New Roman" w:eastAsia="Times New Roman" w:hAnsi="Times New Roman"/>
                <w:sz w:val="13"/>
                <w:szCs w:val="13"/>
                <w:b w:val="1"/>
                <w:bCs w:val="1"/>
                <w:color w:val="auto"/>
                <w:w w:val="96"/>
              </w:rPr>
              <w:t>Amount</w:t>
            </w:r>
          </w:p>
        </w:tc>
        <w:tc>
          <w:tcPr>
            <w:tcW w:w="220" w:type="dxa"/>
            <w:vAlign w:val="bottom"/>
          </w:tcPr>
          <w:p>
            <w:pPr>
              <w:spacing w:after="0"/>
              <w:rPr>
                <w:sz w:val="11"/>
                <w:szCs w:val="11"/>
                <w:color w:val="auto"/>
              </w:rPr>
            </w:pPr>
          </w:p>
        </w:tc>
        <w:tc>
          <w:tcPr>
            <w:tcW w:w="140" w:type="dxa"/>
            <w:vAlign w:val="bottom"/>
            <w:tcBorders>
              <w:bottom w:val="single" w:sz="8" w:color="auto"/>
            </w:tcBorders>
          </w:tcPr>
          <w:p>
            <w:pPr>
              <w:spacing w:after="0"/>
              <w:rPr>
                <w:sz w:val="11"/>
                <w:szCs w:val="11"/>
                <w:color w:val="auto"/>
              </w:rPr>
            </w:pPr>
          </w:p>
        </w:tc>
        <w:tc>
          <w:tcPr>
            <w:tcW w:w="580" w:type="dxa"/>
            <w:vAlign w:val="bottom"/>
            <w:tcBorders>
              <w:bottom w:val="single" w:sz="8" w:color="auto"/>
            </w:tcBorders>
          </w:tcPr>
          <w:p>
            <w:pPr>
              <w:jc w:val="center"/>
              <w:ind w:right="77"/>
              <w:spacing w:after="0" w:line="129" w:lineRule="exact"/>
              <w:rPr>
                <w:sz w:val="20"/>
                <w:szCs w:val="20"/>
                <w:color w:val="auto"/>
              </w:rPr>
            </w:pPr>
            <w:r>
              <w:rPr>
                <w:rFonts w:ascii="Times New Roman" w:cs="Times New Roman" w:eastAsia="Times New Roman" w:hAnsi="Times New Roman"/>
                <w:sz w:val="13"/>
                <w:szCs w:val="13"/>
                <w:b w:val="1"/>
                <w:bCs w:val="1"/>
                <w:color w:val="auto"/>
                <w:w w:val="94"/>
              </w:rPr>
              <w:t>Loss</w:t>
            </w:r>
          </w:p>
        </w:tc>
        <w:tc>
          <w:tcPr>
            <w:tcW w:w="220" w:type="dxa"/>
            <w:vAlign w:val="bottom"/>
          </w:tcPr>
          <w:p>
            <w:pPr>
              <w:spacing w:after="0"/>
              <w:rPr>
                <w:sz w:val="11"/>
                <w:szCs w:val="11"/>
                <w:color w:val="auto"/>
              </w:rPr>
            </w:pPr>
          </w:p>
        </w:tc>
        <w:tc>
          <w:tcPr>
            <w:tcW w:w="640" w:type="dxa"/>
            <w:vAlign w:val="bottom"/>
            <w:tcBorders>
              <w:bottom w:val="single" w:sz="8" w:color="auto"/>
            </w:tcBorders>
            <w:gridSpan w:val="2"/>
          </w:tcPr>
          <w:p>
            <w:pPr>
              <w:jc w:val="center"/>
              <w:spacing w:after="0" w:line="129" w:lineRule="exact"/>
              <w:rPr>
                <w:sz w:val="20"/>
                <w:szCs w:val="20"/>
                <w:color w:val="auto"/>
              </w:rPr>
            </w:pPr>
            <w:r>
              <w:rPr>
                <w:rFonts w:ascii="Times New Roman" w:cs="Times New Roman" w:eastAsia="Times New Roman" w:hAnsi="Times New Roman"/>
                <w:sz w:val="13"/>
                <w:szCs w:val="13"/>
                <w:b w:val="1"/>
                <w:bCs w:val="1"/>
                <w:color w:val="auto"/>
                <w:w w:val="98"/>
              </w:rPr>
              <w:t>Earnings</w:t>
            </w: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10"/>
        </w:trPr>
        <w:tc>
          <w:tcPr>
            <w:tcW w:w="2880" w:type="dxa"/>
            <w:vAlign w:val="bottom"/>
            <w:gridSpan w:val="2"/>
            <w:shd w:val="clear" w:color="auto" w:fill="CFF0FC"/>
          </w:tcPr>
          <w:p>
            <w:pPr>
              <w:ind w:left="20"/>
              <w:spacing w:after="0" w:line="110" w:lineRule="exact"/>
              <w:rPr>
                <w:sz w:val="20"/>
                <w:szCs w:val="20"/>
                <w:color w:val="auto"/>
              </w:rPr>
            </w:pPr>
            <w:r>
              <w:rPr>
                <w:rFonts w:ascii="Times New Roman" w:cs="Times New Roman" w:eastAsia="Times New Roman" w:hAnsi="Times New Roman"/>
                <w:sz w:val="12"/>
                <w:szCs w:val="12"/>
                <w:b w:val="1"/>
                <w:bCs w:val="1"/>
                <w:color w:val="auto"/>
              </w:rPr>
              <w:t>Balance at January 1, 2022</w:t>
            </w:r>
          </w:p>
        </w:tc>
        <w:tc>
          <w:tcPr>
            <w:tcW w:w="480" w:type="dxa"/>
            <w:vAlign w:val="bottom"/>
            <w:shd w:val="clear" w:color="auto" w:fill="CFF0FC"/>
          </w:tcPr>
          <w:p>
            <w:pPr>
              <w:spacing w:after="0"/>
              <w:rPr>
                <w:sz w:val="9"/>
                <w:szCs w:val="9"/>
                <w:color w:val="auto"/>
              </w:rPr>
            </w:pPr>
          </w:p>
        </w:tc>
        <w:tc>
          <w:tcPr>
            <w:tcW w:w="240" w:type="dxa"/>
            <w:vAlign w:val="bottom"/>
            <w:shd w:val="clear" w:color="auto" w:fill="CFF0FC"/>
          </w:tcPr>
          <w:p>
            <w:pPr>
              <w:spacing w:after="0"/>
              <w:rPr>
                <w:sz w:val="9"/>
                <w:szCs w:val="9"/>
                <w:color w:val="auto"/>
              </w:rPr>
            </w:pPr>
          </w:p>
        </w:tc>
        <w:tc>
          <w:tcPr>
            <w:tcW w:w="700" w:type="dxa"/>
            <w:vAlign w:val="bottom"/>
            <w:shd w:val="clear" w:color="auto" w:fill="CFF0FC"/>
          </w:tcPr>
          <w:p>
            <w:pPr>
              <w:spacing w:after="0"/>
              <w:rPr>
                <w:sz w:val="9"/>
                <w:szCs w:val="9"/>
                <w:color w:val="auto"/>
              </w:rPr>
            </w:pPr>
          </w:p>
        </w:tc>
        <w:tc>
          <w:tcPr>
            <w:tcW w:w="240" w:type="dxa"/>
            <w:vAlign w:val="bottom"/>
            <w:shd w:val="clear" w:color="auto" w:fill="CFF0FC"/>
          </w:tcPr>
          <w:p>
            <w:pPr>
              <w:spacing w:after="0"/>
              <w:rPr>
                <w:sz w:val="9"/>
                <w:szCs w:val="9"/>
                <w:color w:val="auto"/>
              </w:rPr>
            </w:pPr>
          </w:p>
        </w:tc>
        <w:tc>
          <w:tcPr>
            <w:tcW w:w="320" w:type="dxa"/>
            <w:vAlign w:val="bottom"/>
            <w:shd w:val="clear" w:color="auto" w:fill="CFF0FC"/>
          </w:tcPr>
          <w:p>
            <w:pPr>
              <w:spacing w:after="0"/>
              <w:rPr>
                <w:sz w:val="9"/>
                <w:szCs w:val="9"/>
                <w:color w:val="auto"/>
              </w:rPr>
            </w:pPr>
          </w:p>
        </w:tc>
        <w:tc>
          <w:tcPr>
            <w:tcW w:w="280" w:type="dxa"/>
            <w:vAlign w:val="bottom"/>
            <w:shd w:val="clear" w:color="auto" w:fill="CFF0FC"/>
          </w:tcPr>
          <w:p>
            <w:pPr>
              <w:spacing w:after="0"/>
              <w:rPr>
                <w:sz w:val="9"/>
                <w:szCs w:val="9"/>
                <w:color w:val="auto"/>
              </w:rPr>
            </w:pPr>
          </w:p>
        </w:tc>
        <w:tc>
          <w:tcPr>
            <w:tcW w:w="240" w:type="dxa"/>
            <w:vAlign w:val="bottom"/>
            <w:shd w:val="clear" w:color="auto" w:fill="CFF0FC"/>
          </w:tcPr>
          <w:p>
            <w:pPr>
              <w:spacing w:after="0"/>
              <w:rPr>
                <w:sz w:val="9"/>
                <w:szCs w:val="9"/>
                <w:color w:val="auto"/>
              </w:rPr>
            </w:pPr>
          </w:p>
        </w:tc>
        <w:tc>
          <w:tcPr>
            <w:tcW w:w="68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80" w:type="dxa"/>
            <w:vAlign w:val="bottom"/>
            <w:shd w:val="clear" w:color="auto" w:fill="CFF0FC"/>
          </w:tcPr>
          <w:p>
            <w:pPr>
              <w:spacing w:after="0"/>
              <w:rPr>
                <w:sz w:val="9"/>
                <w:szCs w:val="9"/>
                <w:color w:val="auto"/>
              </w:rPr>
            </w:pPr>
          </w:p>
        </w:tc>
        <w:tc>
          <w:tcPr>
            <w:tcW w:w="54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80" w:type="dxa"/>
            <w:vAlign w:val="bottom"/>
            <w:shd w:val="clear" w:color="auto" w:fill="CFF0FC"/>
          </w:tcPr>
          <w:p>
            <w:pPr>
              <w:spacing w:after="0"/>
              <w:rPr>
                <w:sz w:val="9"/>
                <w:szCs w:val="9"/>
                <w:color w:val="auto"/>
              </w:rPr>
            </w:pPr>
          </w:p>
        </w:tc>
        <w:tc>
          <w:tcPr>
            <w:tcW w:w="480" w:type="dxa"/>
            <w:vAlign w:val="bottom"/>
            <w:shd w:val="clear" w:color="auto" w:fill="CFF0FC"/>
          </w:tcPr>
          <w:p>
            <w:pPr>
              <w:jc w:val="right"/>
              <w:spacing w:after="0" w:line="110" w:lineRule="exact"/>
              <w:rPr>
                <w:sz w:val="20"/>
                <w:szCs w:val="20"/>
                <w:color w:val="auto"/>
              </w:rPr>
            </w:pPr>
            <w:r>
              <w:rPr>
                <w:rFonts w:ascii="Times New Roman" w:cs="Times New Roman" w:eastAsia="Times New Roman" w:hAnsi="Times New Roman"/>
                <w:sz w:val="12"/>
                <w:szCs w:val="12"/>
                <w:color w:val="auto"/>
              </w:rPr>
              <w:t>1,727,1</w:t>
            </w:r>
          </w:p>
        </w:tc>
        <w:tc>
          <w:tcPr>
            <w:tcW w:w="220" w:type="dxa"/>
            <w:vAlign w:val="bottom"/>
            <w:shd w:val="clear" w:color="auto" w:fill="CFF0FC"/>
          </w:tcPr>
          <w:p>
            <w:pPr>
              <w:spacing w:after="0"/>
              <w:rPr>
                <w:sz w:val="9"/>
                <w:szCs w:val="9"/>
                <w:color w:val="auto"/>
              </w:rPr>
            </w:pPr>
          </w:p>
        </w:tc>
        <w:tc>
          <w:tcPr>
            <w:tcW w:w="56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80" w:type="dxa"/>
            <w:vAlign w:val="bottom"/>
            <w:shd w:val="clear" w:color="auto" w:fill="CFF0FC"/>
          </w:tcPr>
          <w:p>
            <w:pPr>
              <w:spacing w:after="0"/>
              <w:rPr>
                <w:sz w:val="9"/>
                <w:szCs w:val="9"/>
                <w:color w:val="auto"/>
              </w:rPr>
            </w:pPr>
          </w:p>
        </w:tc>
        <w:tc>
          <w:tcPr>
            <w:tcW w:w="58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140" w:type="dxa"/>
            <w:vAlign w:val="bottom"/>
            <w:shd w:val="clear" w:color="auto" w:fill="CFF0FC"/>
          </w:tcPr>
          <w:p>
            <w:pPr>
              <w:spacing w:after="0"/>
              <w:rPr>
                <w:sz w:val="9"/>
                <w:szCs w:val="9"/>
                <w:color w:val="auto"/>
              </w:rPr>
            </w:pPr>
          </w:p>
        </w:tc>
        <w:tc>
          <w:tcPr>
            <w:tcW w:w="58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100" w:type="dxa"/>
            <w:vAlign w:val="bottom"/>
            <w:shd w:val="clear" w:color="auto" w:fill="CFF0FC"/>
          </w:tcPr>
          <w:p>
            <w:pPr>
              <w:spacing w:after="0"/>
              <w:rPr>
                <w:sz w:val="9"/>
                <w:szCs w:val="9"/>
                <w:color w:val="auto"/>
              </w:rPr>
            </w:pPr>
          </w:p>
        </w:tc>
        <w:tc>
          <w:tcPr>
            <w:tcW w:w="540" w:type="dxa"/>
            <w:vAlign w:val="bottom"/>
            <w:shd w:val="clear" w:color="auto" w:fill="CFF0FC"/>
          </w:tcPr>
          <w:p>
            <w:pPr>
              <w:spacing w:after="0"/>
              <w:rPr>
                <w:sz w:val="9"/>
                <w:szCs w:val="9"/>
                <w:color w:val="auto"/>
              </w:rPr>
            </w:pPr>
          </w:p>
        </w:tc>
        <w:tc>
          <w:tcPr>
            <w:tcW w:w="100" w:type="dxa"/>
            <w:vAlign w:val="bottom"/>
            <w:shd w:val="clear" w:color="auto" w:fill="CFF0FC"/>
          </w:tcPr>
          <w:p>
            <w:pPr>
              <w:spacing w:after="0"/>
              <w:rPr>
                <w:sz w:val="9"/>
                <w:szCs w:val="9"/>
                <w:color w:val="auto"/>
              </w:rPr>
            </w:pPr>
          </w:p>
        </w:tc>
        <w:tc>
          <w:tcPr>
            <w:tcW w:w="0" w:type="dxa"/>
            <w:vAlign w:val="bottom"/>
          </w:tcPr>
          <w:p>
            <w:pPr>
              <w:spacing w:after="0"/>
              <w:rPr>
                <w:sz w:val="1"/>
                <w:szCs w:val="1"/>
                <w:color w:val="auto"/>
              </w:rPr>
            </w:pPr>
          </w:p>
        </w:tc>
      </w:tr>
      <w:tr>
        <w:trPr>
          <w:trHeight w:val="193"/>
        </w:trPr>
        <w:tc>
          <w:tcPr>
            <w:tcW w:w="2760" w:type="dxa"/>
            <w:vAlign w:val="bottom"/>
            <w:shd w:val="clear" w:color="auto" w:fill="CFF0FC"/>
          </w:tcPr>
          <w:p>
            <w:pPr>
              <w:spacing w:after="0"/>
              <w:rPr>
                <w:sz w:val="16"/>
                <w:szCs w:val="16"/>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978,958</w:t>
            </w:r>
          </w:p>
        </w:tc>
        <w:tc>
          <w:tcPr>
            <w:tcW w:w="240" w:type="dxa"/>
            <w:vAlign w:val="bottom"/>
            <w:shd w:val="clear" w:color="auto" w:fill="CFF0FC"/>
          </w:tcPr>
          <w:p>
            <w:pPr>
              <w:spacing w:after="0"/>
              <w:rPr>
                <w:sz w:val="16"/>
                <w:szCs w:val="16"/>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101,899</w:t>
            </w:r>
          </w:p>
        </w:tc>
        <w:tc>
          <w:tcPr>
            <w:tcW w:w="240" w:type="dxa"/>
            <w:vAlign w:val="bottom"/>
            <w:shd w:val="clear" w:color="auto" w:fill="CFF0FC"/>
          </w:tcPr>
          <w:p>
            <w:pPr>
              <w:spacing w:after="0"/>
              <w:rPr>
                <w:sz w:val="16"/>
                <w:szCs w:val="16"/>
                <w:color w:val="auto"/>
              </w:rPr>
            </w:pPr>
          </w:p>
        </w:tc>
        <w:tc>
          <w:tcPr>
            <w:tcW w:w="320" w:type="dxa"/>
            <w:vAlign w:val="bottom"/>
            <w:shd w:val="clear" w:color="auto" w:fill="CFF0FC"/>
          </w:tcPr>
          <w:p>
            <w:pPr>
              <w:jc w:val="right"/>
              <w:ind w:right="177"/>
              <w:spacing w:after="0"/>
              <w:rPr>
                <w:sz w:val="20"/>
                <w:szCs w:val="20"/>
                <w:color w:val="auto"/>
              </w:rPr>
            </w:pPr>
            <w:r>
              <w:rPr>
                <w:rFonts w:ascii="Times New Roman" w:cs="Times New Roman" w:eastAsia="Times New Roman" w:hAnsi="Times New Roman"/>
                <w:sz w:val="13"/>
                <w:szCs w:val="13"/>
                <w:color w:val="auto"/>
                <w:w w:val="91"/>
              </w:rPr>
              <w:t>$</w:t>
            </w:r>
          </w:p>
        </w:tc>
        <w:tc>
          <w:tcPr>
            <w:tcW w:w="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18</w:t>
            </w:r>
          </w:p>
        </w:tc>
        <w:tc>
          <w:tcPr>
            <w:tcW w:w="240" w:type="dxa"/>
            <w:vAlign w:val="bottom"/>
            <w:shd w:val="clear" w:color="auto" w:fill="CFF0FC"/>
          </w:tcPr>
          <w:p>
            <w:pPr>
              <w:spacing w:after="0"/>
              <w:rPr>
                <w:sz w:val="16"/>
                <w:szCs w:val="16"/>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19,640</w:t>
            </w:r>
          </w:p>
        </w:tc>
        <w:tc>
          <w:tcPr>
            <w:tcW w:w="22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0"/>
                <w:szCs w:val="10"/>
                <w:color w:val="auto"/>
                <w:w w:val="79"/>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2</w:t>
            </w:r>
          </w:p>
        </w:tc>
        <w:tc>
          <w:tcPr>
            <w:tcW w:w="22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w w:val="91"/>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43</w:t>
            </w:r>
          </w:p>
        </w:tc>
        <w:tc>
          <w:tcPr>
            <w:tcW w:w="220" w:type="dxa"/>
            <w:vAlign w:val="bottom"/>
            <w:shd w:val="clear" w:color="auto" w:fill="CFF0FC"/>
          </w:tcPr>
          <w:p>
            <w:pPr>
              <w:spacing w:after="0"/>
              <w:rPr>
                <w:sz w:val="16"/>
                <w:szCs w:val="16"/>
                <w:color w:val="auto"/>
              </w:rPr>
            </w:pPr>
          </w:p>
        </w:tc>
        <w:tc>
          <w:tcPr>
            <w:tcW w:w="7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(8,684 )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w w:val="91"/>
              </w:rPr>
              <w:t>$</w:t>
            </w:r>
          </w:p>
        </w:tc>
        <w:tc>
          <w:tcPr>
            <w:tcW w:w="8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(782,104 )</w:t>
            </w:r>
          </w:p>
        </w:tc>
        <w:tc>
          <w:tcPr>
            <w:tcW w:w="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w:t>
            </w:r>
          </w:p>
        </w:tc>
        <w:tc>
          <w:tcPr>
            <w:tcW w:w="8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(7,543 )</w:t>
            </w: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w w:val="91"/>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41,442</w:t>
            </w:r>
          </w:p>
        </w:tc>
        <w:tc>
          <w:tcPr>
            <w:tcW w:w="10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97"/>
        </w:trPr>
        <w:tc>
          <w:tcPr>
            <w:tcW w:w="2760" w:type="dxa"/>
            <w:vAlign w:val="bottom"/>
            <w:tcBorders>
              <w:top w:val="single" w:sz="8" w:color="CFF0FC"/>
            </w:tcBorders>
          </w:tcPr>
          <w:p>
            <w:pPr>
              <w:ind w:left="20"/>
              <w:spacing w:after="0" w:line="98" w:lineRule="exact"/>
              <w:rPr>
                <w:sz w:val="20"/>
                <w:szCs w:val="20"/>
                <w:color w:val="auto"/>
              </w:rPr>
            </w:pPr>
            <w:r>
              <w:rPr>
                <w:rFonts w:ascii="Times New Roman" w:cs="Times New Roman" w:eastAsia="Times New Roman" w:hAnsi="Times New Roman"/>
                <w:sz w:val="10"/>
                <w:szCs w:val="10"/>
                <w:color w:val="auto"/>
              </w:rPr>
              <w:t>Net loss</w:t>
            </w:r>
          </w:p>
        </w:tc>
        <w:tc>
          <w:tcPr>
            <w:tcW w:w="120" w:type="dxa"/>
            <w:vAlign w:val="bottom"/>
            <w:tcBorders>
              <w:top w:val="single" w:sz="8" w:color="auto"/>
            </w:tcBorders>
          </w:tcPr>
          <w:p>
            <w:pPr>
              <w:spacing w:after="0"/>
              <w:rPr>
                <w:sz w:val="8"/>
                <w:szCs w:val="8"/>
                <w:color w:val="auto"/>
              </w:rPr>
            </w:pPr>
          </w:p>
        </w:tc>
        <w:tc>
          <w:tcPr>
            <w:tcW w:w="480" w:type="dxa"/>
            <w:vAlign w:val="bottom"/>
            <w:tcBorders>
              <w:top w:val="single" w:sz="8" w:color="auto"/>
            </w:tcBorders>
          </w:tcPr>
          <w:p>
            <w:pPr>
              <w:jc w:val="right"/>
              <w:spacing w:after="0" w:line="98" w:lineRule="exact"/>
              <w:rPr>
                <w:sz w:val="20"/>
                <w:szCs w:val="20"/>
                <w:color w:val="auto"/>
              </w:rPr>
            </w:pPr>
            <w:r>
              <w:rPr>
                <w:rFonts w:ascii="Times New Roman" w:cs="Times New Roman" w:eastAsia="Times New Roman" w:hAnsi="Times New Roman"/>
                <w:sz w:val="10"/>
                <w:szCs w:val="10"/>
                <w:color w:val="auto"/>
              </w:rPr>
              <w:t>(1,469,7</w:t>
            </w:r>
          </w:p>
        </w:tc>
        <w:tc>
          <w:tcPr>
            <w:tcW w:w="240" w:type="dxa"/>
            <w:vAlign w:val="bottom"/>
            <w:tcBorders>
              <w:top w:val="single" w:sz="8" w:color="CFF0FC"/>
            </w:tcBorders>
          </w:tcPr>
          <w:p>
            <w:pPr>
              <w:spacing w:after="0"/>
              <w:rPr>
                <w:sz w:val="8"/>
                <w:szCs w:val="8"/>
                <w:color w:val="auto"/>
              </w:rPr>
            </w:pPr>
          </w:p>
        </w:tc>
        <w:tc>
          <w:tcPr>
            <w:tcW w:w="700" w:type="dxa"/>
            <w:vAlign w:val="bottom"/>
            <w:tcBorders>
              <w:top w:val="single" w:sz="8" w:color="auto"/>
            </w:tcBorders>
          </w:tcPr>
          <w:p>
            <w:pPr>
              <w:spacing w:after="0"/>
              <w:rPr>
                <w:sz w:val="8"/>
                <w:szCs w:val="8"/>
                <w:color w:val="auto"/>
              </w:rPr>
            </w:pPr>
          </w:p>
        </w:tc>
        <w:tc>
          <w:tcPr>
            <w:tcW w:w="240" w:type="dxa"/>
            <w:vAlign w:val="bottom"/>
            <w:tcBorders>
              <w:top w:val="single" w:sz="8" w:color="CFF0FC"/>
            </w:tcBorders>
          </w:tcPr>
          <w:p>
            <w:pPr>
              <w:spacing w:after="0"/>
              <w:rPr>
                <w:sz w:val="8"/>
                <w:szCs w:val="8"/>
                <w:color w:val="auto"/>
              </w:rPr>
            </w:pPr>
          </w:p>
        </w:tc>
        <w:tc>
          <w:tcPr>
            <w:tcW w:w="320" w:type="dxa"/>
            <w:vAlign w:val="bottom"/>
            <w:tcBorders>
              <w:top w:val="single" w:sz="8" w:color="auto"/>
            </w:tcBorders>
          </w:tcPr>
          <w:p>
            <w:pPr>
              <w:spacing w:after="0"/>
              <w:rPr>
                <w:sz w:val="8"/>
                <w:szCs w:val="8"/>
                <w:color w:val="auto"/>
              </w:rPr>
            </w:pPr>
          </w:p>
        </w:tc>
        <w:tc>
          <w:tcPr>
            <w:tcW w:w="280" w:type="dxa"/>
            <w:vAlign w:val="bottom"/>
            <w:tcBorders>
              <w:top w:val="single" w:sz="8" w:color="auto"/>
            </w:tcBorders>
          </w:tcPr>
          <w:p>
            <w:pPr>
              <w:spacing w:after="0"/>
              <w:rPr>
                <w:sz w:val="8"/>
                <w:szCs w:val="8"/>
                <w:color w:val="auto"/>
              </w:rPr>
            </w:pPr>
          </w:p>
        </w:tc>
        <w:tc>
          <w:tcPr>
            <w:tcW w:w="240" w:type="dxa"/>
            <w:vAlign w:val="bottom"/>
            <w:tcBorders>
              <w:top w:val="single" w:sz="8" w:color="CFF0FC"/>
            </w:tcBorders>
          </w:tcPr>
          <w:p>
            <w:pPr>
              <w:spacing w:after="0"/>
              <w:rPr>
                <w:sz w:val="8"/>
                <w:szCs w:val="8"/>
                <w:color w:val="auto"/>
              </w:rPr>
            </w:pPr>
          </w:p>
        </w:tc>
        <w:tc>
          <w:tcPr>
            <w:tcW w:w="68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80" w:type="dxa"/>
            <w:vAlign w:val="bottom"/>
            <w:tcBorders>
              <w:top w:val="single" w:sz="8" w:color="auto"/>
            </w:tcBorders>
          </w:tcPr>
          <w:p>
            <w:pPr>
              <w:spacing w:after="0"/>
              <w:rPr>
                <w:sz w:val="8"/>
                <w:szCs w:val="8"/>
                <w:color w:val="auto"/>
              </w:rPr>
            </w:pPr>
          </w:p>
        </w:tc>
        <w:tc>
          <w:tcPr>
            <w:tcW w:w="54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80" w:type="dxa"/>
            <w:vAlign w:val="bottom"/>
            <w:tcBorders>
              <w:top w:val="single" w:sz="8" w:color="auto"/>
            </w:tcBorders>
          </w:tcPr>
          <w:p>
            <w:pPr>
              <w:spacing w:after="0"/>
              <w:rPr>
                <w:sz w:val="8"/>
                <w:szCs w:val="8"/>
                <w:color w:val="auto"/>
              </w:rPr>
            </w:pPr>
          </w:p>
        </w:tc>
        <w:tc>
          <w:tcPr>
            <w:tcW w:w="48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56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80" w:type="dxa"/>
            <w:vAlign w:val="bottom"/>
            <w:tcBorders>
              <w:top w:val="single" w:sz="8" w:color="auto"/>
            </w:tcBorders>
          </w:tcPr>
          <w:p>
            <w:pPr>
              <w:spacing w:after="0"/>
              <w:rPr>
                <w:sz w:val="8"/>
                <w:szCs w:val="8"/>
                <w:color w:val="auto"/>
              </w:rPr>
            </w:pPr>
          </w:p>
        </w:tc>
        <w:tc>
          <w:tcPr>
            <w:tcW w:w="58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140" w:type="dxa"/>
            <w:vAlign w:val="bottom"/>
            <w:tcBorders>
              <w:top w:val="single" w:sz="8" w:color="auto"/>
            </w:tcBorders>
          </w:tcPr>
          <w:p>
            <w:pPr>
              <w:spacing w:after="0"/>
              <w:rPr>
                <w:sz w:val="8"/>
                <w:szCs w:val="8"/>
                <w:color w:val="auto"/>
              </w:rPr>
            </w:pPr>
          </w:p>
        </w:tc>
        <w:tc>
          <w:tcPr>
            <w:tcW w:w="58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100" w:type="dxa"/>
            <w:vAlign w:val="bottom"/>
            <w:tcBorders>
              <w:top w:val="single" w:sz="8" w:color="auto"/>
            </w:tcBorders>
          </w:tcPr>
          <w:p>
            <w:pPr>
              <w:spacing w:after="0"/>
              <w:rPr>
                <w:sz w:val="8"/>
                <w:szCs w:val="8"/>
                <w:color w:val="auto"/>
              </w:rPr>
            </w:pPr>
          </w:p>
        </w:tc>
        <w:tc>
          <w:tcPr>
            <w:tcW w:w="540" w:type="dxa"/>
            <w:vAlign w:val="bottom"/>
            <w:tcBorders>
              <w:top w:val="single" w:sz="8" w:color="auto"/>
            </w:tcBorders>
          </w:tcPr>
          <w:p>
            <w:pPr>
              <w:jc w:val="right"/>
              <w:spacing w:after="0" w:line="98" w:lineRule="exact"/>
              <w:rPr>
                <w:sz w:val="20"/>
                <w:szCs w:val="20"/>
                <w:color w:val="auto"/>
              </w:rPr>
            </w:pPr>
            <w:r>
              <w:rPr>
                <w:rFonts w:ascii="Times New Roman" w:cs="Times New Roman" w:eastAsia="Times New Roman" w:hAnsi="Times New Roman"/>
                <w:sz w:val="10"/>
                <w:szCs w:val="10"/>
                <w:color w:val="auto"/>
              </w:rPr>
              <w:t>(1,469,79</w:t>
            </w:r>
          </w:p>
        </w:tc>
        <w:tc>
          <w:tcPr>
            <w:tcW w:w="100" w:type="dxa"/>
            <w:vAlign w:val="bottom"/>
            <w:tcBorders>
              <w:top w:val="single" w:sz="8" w:color="CFF0FC"/>
            </w:tcBorders>
          </w:tcPr>
          <w:p>
            <w:pPr>
              <w:spacing w:after="0"/>
              <w:rPr>
                <w:sz w:val="8"/>
                <w:szCs w:val="8"/>
                <w:color w:val="auto"/>
              </w:rPr>
            </w:pPr>
          </w:p>
        </w:tc>
        <w:tc>
          <w:tcPr>
            <w:tcW w:w="0" w:type="dxa"/>
            <w:vAlign w:val="bottom"/>
          </w:tcPr>
          <w:p>
            <w:pPr>
              <w:spacing w:after="0"/>
              <w:rPr>
                <w:sz w:val="1"/>
                <w:szCs w:val="1"/>
                <w:color w:val="auto"/>
              </w:rPr>
            </w:pPr>
          </w:p>
        </w:tc>
      </w:tr>
      <w:tr>
        <w:trPr>
          <w:trHeight w:val="153"/>
        </w:trPr>
        <w:tc>
          <w:tcPr>
            <w:tcW w:w="276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720" w:type="dxa"/>
            <w:vAlign w:val="bottom"/>
            <w:gridSpan w:val="2"/>
          </w:tcPr>
          <w:p>
            <w:pPr>
              <w:jc w:val="right"/>
              <w:ind w:right="180"/>
              <w:spacing w:after="0"/>
              <w:rPr>
                <w:sz w:val="20"/>
                <w:szCs w:val="20"/>
                <w:color w:val="auto"/>
              </w:rPr>
            </w:pPr>
            <w:r>
              <w:rPr>
                <w:rFonts w:ascii="Times New Roman" w:cs="Times New Roman" w:eastAsia="Times New Roman" w:hAnsi="Times New Roman"/>
                <w:sz w:val="13"/>
                <w:szCs w:val="13"/>
                <w:color w:val="auto"/>
              </w:rPr>
              <w:t>97 )</w:t>
            </w: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3"/>
                <w:szCs w:val="13"/>
                <w:color w:val="auto"/>
              </w:rPr>
              <w:t>7 )</w:t>
            </w:r>
          </w:p>
        </w:tc>
        <w:tc>
          <w:tcPr>
            <w:tcW w:w="0" w:type="dxa"/>
            <w:vAlign w:val="bottom"/>
          </w:tcPr>
          <w:p>
            <w:pPr>
              <w:spacing w:after="0"/>
              <w:rPr>
                <w:sz w:val="1"/>
                <w:szCs w:val="1"/>
                <w:color w:val="auto"/>
              </w:rPr>
            </w:pPr>
          </w:p>
        </w:tc>
      </w:tr>
      <w:tr>
        <w:trPr>
          <w:trHeight w:val="135"/>
        </w:trPr>
        <w:tc>
          <w:tcPr>
            <w:tcW w:w="2880" w:type="dxa"/>
            <w:vAlign w:val="bottom"/>
            <w:gridSpan w:val="2"/>
            <w:shd w:val="clear" w:color="auto" w:fill="CFF0FC"/>
          </w:tcPr>
          <w:p>
            <w:pPr>
              <w:ind w:left="20"/>
              <w:spacing w:after="0" w:line="135" w:lineRule="exact"/>
              <w:rPr>
                <w:sz w:val="20"/>
                <w:szCs w:val="20"/>
                <w:color w:val="auto"/>
              </w:rPr>
            </w:pPr>
            <w:r>
              <w:rPr>
                <w:rFonts w:ascii="Times New Roman" w:cs="Times New Roman" w:eastAsia="Times New Roman" w:hAnsi="Times New Roman"/>
                <w:sz w:val="13"/>
                <w:szCs w:val="13"/>
                <w:color w:val="auto"/>
              </w:rPr>
              <w:t>Other comprehensive loss</w:t>
            </w:r>
          </w:p>
        </w:tc>
        <w:tc>
          <w:tcPr>
            <w:tcW w:w="720" w:type="dxa"/>
            <w:vAlign w:val="bottom"/>
            <w:gridSpan w:val="2"/>
            <w:shd w:val="clear" w:color="auto" w:fill="CFF0FC"/>
          </w:tcPr>
          <w:p>
            <w:pPr>
              <w:jc w:val="right"/>
              <w:ind w:right="180"/>
              <w:spacing w:after="0" w:line="135" w:lineRule="exact"/>
              <w:rPr>
                <w:sz w:val="20"/>
                <w:szCs w:val="20"/>
                <w:color w:val="auto"/>
              </w:rPr>
            </w:pPr>
            <w:r>
              <w:rPr>
                <w:rFonts w:ascii="Times New Roman" w:cs="Times New Roman" w:eastAsia="Times New Roman" w:hAnsi="Times New Roman"/>
                <w:sz w:val="13"/>
                <w:szCs w:val="13"/>
                <w:color w:val="auto"/>
              </w:rPr>
              <w:t>(6,258 )</w:t>
            </w:r>
          </w:p>
        </w:tc>
        <w:tc>
          <w:tcPr>
            <w:tcW w:w="70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1"/>
                <w:szCs w:val="11"/>
                <w:color w:val="auto"/>
              </w:rPr>
            </w:pPr>
          </w:p>
        </w:tc>
        <w:tc>
          <w:tcPr>
            <w:tcW w:w="320" w:type="dxa"/>
            <w:vAlign w:val="bottom"/>
            <w:shd w:val="clear" w:color="auto" w:fill="CFF0FC"/>
          </w:tcPr>
          <w:p>
            <w:pPr>
              <w:spacing w:after="0"/>
              <w:rPr>
                <w:sz w:val="11"/>
                <w:szCs w:val="11"/>
                <w:color w:val="auto"/>
              </w:rPr>
            </w:pPr>
          </w:p>
        </w:tc>
        <w:tc>
          <w:tcPr>
            <w:tcW w:w="2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1"/>
                <w:szCs w:val="11"/>
                <w:color w:val="auto"/>
              </w:rPr>
            </w:pPr>
          </w:p>
        </w:tc>
        <w:tc>
          <w:tcPr>
            <w:tcW w:w="6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54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56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5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140" w:type="dxa"/>
            <w:vAlign w:val="bottom"/>
            <w:shd w:val="clear" w:color="auto" w:fill="CFF0FC"/>
          </w:tcPr>
          <w:p>
            <w:pPr>
              <w:spacing w:after="0"/>
              <w:rPr>
                <w:sz w:val="11"/>
                <w:szCs w:val="11"/>
                <w:color w:val="auto"/>
              </w:rPr>
            </w:pPr>
          </w:p>
        </w:tc>
        <w:tc>
          <w:tcPr>
            <w:tcW w:w="800" w:type="dxa"/>
            <w:vAlign w:val="bottom"/>
            <w:gridSpan w:val="2"/>
            <w:shd w:val="clear" w:color="auto" w:fill="CFF0FC"/>
          </w:tcPr>
          <w:p>
            <w:pPr>
              <w:jc w:val="right"/>
              <w:ind w:right="160"/>
              <w:spacing w:after="0" w:line="135" w:lineRule="exact"/>
              <w:rPr>
                <w:sz w:val="20"/>
                <w:szCs w:val="20"/>
                <w:color w:val="auto"/>
              </w:rPr>
            </w:pPr>
            <w:r>
              <w:rPr>
                <w:rFonts w:ascii="Times New Roman" w:cs="Times New Roman" w:eastAsia="Times New Roman" w:hAnsi="Times New Roman"/>
                <w:sz w:val="13"/>
                <w:szCs w:val="13"/>
                <w:color w:val="auto"/>
              </w:rPr>
              <w:t>(6,258 )</w:t>
            </w:r>
          </w:p>
        </w:tc>
        <w:tc>
          <w:tcPr>
            <w:tcW w:w="100" w:type="dxa"/>
            <w:vAlign w:val="bottom"/>
            <w:shd w:val="clear" w:color="auto" w:fill="CFF0FC"/>
          </w:tcPr>
          <w:p>
            <w:pPr>
              <w:spacing w:after="0"/>
              <w:rPr>
                <w:sz w:val="11"/>
                <w:szCs w:val="11"/>
                <w:color w:val="auto"/>
              </w:rPr>
            </w:pPr>
          </w:p>
        </w:tc>
        <w:tc>
          <w:tcPr>
            <w:tcW w:w="54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100" w:type="dxa"/>
            <w:vAlign w:val="bottom"/>
            <w:shd w:val="clear" w:color="auto" w:fill="CFF0FC"/>
          </w:tcPr>
          <w:p>
            <w:pPr>
              <w:spacing w:after="0"/>
              <w:rPr>
                <w:sz w:val="11"/>
                <w:szCs w:val="11"/>
                <w:color w:val="auto"/>
              </w:rPr>
            </w:pPr>
          </w:p>
        </w:tc>
        <w:tc>
          <w:tcPr>
            <w:tcW w:w="0" w:type="dxa"/>
            <w:vAlign w:val="bottom"/>
          </w:tcPr>
          <w:p>
            <w:pPr>
              <w:spacing w:after="0"/>
              <w:rPr>
                <w:sz w:val="1"/>
                <w:szCs w:val="1"/>
                <w:color w:val="auto"/>
              </w:rPr>
            </w:pPr>
          </w:p>
        </w:tc>
      </w:tr>
      <w:tr>
        <w:trPr>
          <w:trHeight w:val="117"/>
        </w:trPr>
        <w:tc>
          <w:tcPr>
            <w:tcW w:w="2880" w:type="dxa"/>
            <w:vAlign w:val="bottom"/>
            <w:gridSpan w:val="2"/>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upon exercise</w:t>
            </w: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tcPr>
          <w:p>
            <w:pPr>
              <w:ind w:left="20"/>
              <w:spacing w:after="0"/>
              <w:rPr>
                <w:sz w:val="20"/>
                <w:szCs w:val="20"/>
                <w:color w:val="auto"/>
              </w:rPr>
            </w:pPr>
            <w:r>
              <w:rPr>
                <w:rFonts w:ascii="Times New Roman" w:cs="Times New Roman" w:eastAsia="Times New Roman" w:hAnsi="Times New Roman"/>
                <w:sz w:val="13"/>
                <w:szCs w:val="13"/>
                <w:color w:val="auto"/>
              </w:rPr>
              <w:t>of stock options</w:t>
            </w: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1,393</w:t>
            </w:r>
          </w:p>
        </w:tc>
        <w:tc>
          <w:tcPr>
            <w:tcW w:w="240" w:type="dxa"/>
            <w:vAlign w:val="bottom"/>
          </w:tcPr>
          <w:p>
            <w:pPr>
              <w:spacing w:after="0"/>
              <w:rPr>
                <w:sz w:val="13"/>
                <w:szCs w:val="13"/>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101</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1,393</w:t>
            </w:r>
          </w:p>
        </w:tc>
        <w:tc>
          <w:tcPr>
            <w:tcW w:w="220" w:type="dxa"/>
            <w:vAlign w:val="bottom"/>
          </w:tcPr>
          <w:p>
            <w:pPr>
              <w:spacing w:after="0"/>
              <w:rPr>
                <w:sz w:val="13"/>
                <w:szCs w:val="13"/>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shd w:val="clear" w:color="auto" w:fill="CFF0FC"/>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under employee</w:t>
            </w: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70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320" w:type="dxa"/>
            <w:vAlign w:val="bottom"/>
            <w:shd w:val="clear" w:color="auto" w:fill="CFF0FC"/>
          </w:tcPr>
          <w:p>
            <w:pPr>
              <w:spacing w:after="0"/>
              <w:rPr>
                <w:sz w:val="10"/>
                <w:szCs w:val="10"/>
                <w:color w:val="auto"/>
              </w:rPr>
            </w:pPr>
          </w:p>
        </w:tc>
        <w:tc>
          <w:tcPr>
            <w:tcW w:w="2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56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4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stock purchase plan</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4,473</w:t>
            </w:r>
          </w:p>
        </w:tc>
        <w:tc>
          <w:tcPr>
            <w:tcW w:w="240" w:type="dxa"/>
            <w:vAlign w:val="bottom"/>
            <w:shd w:val="clear" w:color="auto" w:fill="CFF0FC"/>
          </w:tcPr>
          <w:p>
            <w:pPr>
              <w:spacing w:after="0"/>
              <w:rPr>
                <w:sz w:val="13"/>
                <w:szCs w:val="13"/>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159</w:t>
            </w:r>
          </w:p>
        </w:tc>
        <w:tc>
          <w:tcPr>
            <w:tcW w:w="240" w:type="dxa"/>
            <w:vAlign w:val="bottom"/>
            <w:shd w:val="clear" w:color="auto" w:fill="CFF0FC"/>
          </w:tcPr>
          <w:p>
            <w:pPr>
              <w:spacing w:after="0"/>
              <w:rPr>
                <w:sz w:val="13"/>
                <w:szCs w:val="13"/>
                <w:color w:val="auto"/>
              </w:rPr>
            </w:pPr>
          </w:p>
        </w:tc>
        <w:tc>
          <w:tcPr>
            <w:tcW w:w="320" w:type="dxa"/>
            <w:vAlign w:val="bottom"/>
            <w:shd w:val="clear" w:color="auto" w:fill="CFF0FC"/>
          </w:tcPr>
          <w:p>
            <w:pPr>
              <w:spacing w:after="0"/>
              <w:rPr>
                <w:sz w:val="13"/>
                <w:szCs w:val="13"/>
                <w:color w:val="auto"/>
              </w:rPr>
            </w:pPr>
          </w:p>
        </w:tc>
        <w:tc>
          <w:tcPr>
            <w:tcW w:w="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3"/>
                <w:szCs w:val="13"/>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4,473</w:t>
            </w:r>
          </w:p>
        </w:tc>
        <w:tc>
          <w:tcPr>
            <w:tcW w:w="220" w:type="dxa"/>
            <w:vAlign w:val="bottom"/>
            <w:shd w:val="clear" w:color="auto" w:fill="CFF0FC"/>
          </w:tcPr>
          <w:p>
            <w:pPr>
              <w:spacing w:after="0"/>
              <w:rPr>
                <w:sz w:val="13"/>
                <w:szCs w:val="13"/>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upon vesting of</w:t>
            </w: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tcPr>
          <w:p>
            <w:pPr>
              <w:ind w:left="20"/>
              <w:spacing w:after="0"/>
              <w:rPr>
                <w:sz w:val="20"/>
                <w:szCs w:val="20"/>
                <w:color w:val="auto"/>
              </w:rPr>
            </w:pPr>
            <w:r>
              <w:rPr>
                <w:rFonts w:ascii="Times New Roman" w:cs="Times New Roman" w:eastAsia="Times New Roman" w:hAnsi="Times New Roman"/>
                <w:sz w:val="13"/>
                <w:szCs w:val="13"/>
                <w:color w:val="auto"/>
              </w:rPr>
              <w:t>restricted stock units, net of withholding taxes</w:t>
            </w:r>
          </w:p>
        </w:tc>
        <w:tc>
          <w:tcPr>
            <w:tcW w:w="720" w:type="dxa"/>
            <w:vAlign w:val="bottom"/>
            <w:gridSpan w:val="2"/>
          </w:tcPr>
          <w:p>
            <w:pPr>
              <w:jc w:val="right"/>
              <w:ind w:right="180"/>
              <w:spacing w:after="0"/>
              <w:rPr>
                <w:sz w:val="20"/>
                <w:szCs w:val="20"/>
                <w:color w:val="auto"/>
              </w:rPr>
            </w:pPr>
            <w:r>
              <w:rPr>
                <w:rFonts w:ascii="Times New Roman" w:cs="Times New Roman" w:eastAsia="Times New Roman" w:hAnsi="Times New Roman"/>
                <w:sz w:val="13"/>
                <w:szCs w:val="13"/>
                <w:color w:val="auto"/>
              </w:rPr>
              <w:t>(2,213 )</w:t>
            </w: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187</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700" w:type="dxa"/>
            <w:vAlign w:val="bottom"/>
            <w:gridSpan w:val="2"/>
          </w:tcPr>
          <w:p>
            <w:pPr>
              <w:jc w:val="right"/>
              <w:ind w:right="160"/>
              <w:spacing w:after="0"/>
              <w:rPr>
                <w:sz w:val="20"/>
                <w:szCs w:val="20"/>
                <w:color w:val="auto"/>
              </w:rPr>
            </w:pPr>
            <w:r>
              <w:rPr>
                <w:rFonts w:ascii="Times New Roman" w:cs="Times New Roman" w:eastAsia="Times New Roman" w:hAnsi="Times New Roman"/>
                <w:sz w:val="13"/>
                <w:szCs w:val="13"/>
                <w:color w:val="auto"/>
              </w:rPr>
              <w:t>(2,213 )</w:t>
            </w: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shd w:val="clear" w:color="auto" w:fill="CFF0FC"/>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under public</w:t>
            </w: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70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320" w:type="dxa"/>
            <w:vAlign w:val="bottom"/>
            <w:shd w:val="clear" w:color="auto" w:fill="CFF0FC"/>
          </w:tcPr>
          <w:p>
            <w:pPr>
              <w:spacing w:after="0"/>
              <w:rPr>
                <w:sz w:val="10"/>
                <w:szCs w:val="10"/>
                <w:color w:val="auto"/>
              </w:rPr>
            </w:pPr>
          </w:p>
        </w:tc>
        <w:tc>
          <w:tcPr>
            <w:tcW w:w="2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56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4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offerings, net of issuance costs</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46,219</w:t>
            </w:r>
          </w:p>
        </w:tc>
        <w:tc>
          <w:tcPr>
            <w:tcW w:w="240" w:type="dxa"/>
            <w:vAlign w:val="bottom"/>
            <w:shd w:val="clear" w:color="auto" w:fill="CFF0FC"/>
          </w:tcPr>
          <w:p>
            <w:pPr>
              <w:spacing w:after="0"/>
              <w:rPr>
                <w:sz w:val="13"/>
                <w:szCs w:val="13"/>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2,186</w:t>
            </w:r>
          </w:p>
        </w:tc>
        <w:tc>
          <w:tcPr>
            <w:tcW w:w="240" w:type="dxa"/>
            <w:vAlign w:val="bottom"/>
            <w:shd w:val="clear" w:color="auto" w:fill="CFF0FC"/>
          </w:tcPr>
          <w:p>
            <w:pPr>
              <w:spacing w:after="0"/>
              <w:rPr>
                <w:sz w:val="13"/>
                <w:szCs w:val="13"/>
                <w:color w:val="auto"/>
              </w:rPr>
            </w:pPr>
          </w:p>
        </w:tc>
        <w:tc>
          <w:tcPr>
            <w:tcW w:w="320" w:type="dxa"/>
            <w:vAlign w:val="bottom"/>
            <w:shd w:val="clear" w:color="auto" w:fill="CFF0FC"/>
          </w:tcPr>
          <w:p>
            <w:pPr>
              <w:spacing w:after="0"/>
              <w:rPr>
                <w:sz w:val="13"/>
                <w:szCs w:val="13"/>
                <w:color w:val="auto"/>
              </w:rPr>
            </w:pPr>
          </w:p>
        </w:tc>
        <w:tc>
          <w:tcPr>
            <w:tcW w:w="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3"/>
                <w:szCs w:val="13"/>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46,219</w:t>
            </w:r>
          </w:p>
        </w:tc>
        <w:tc>
          <w:tcPr>
            <w:tcW w:w="220" w:type="dxa"/>
            <w:vAlign w:val="bottom"/>
            <w:shd w:val="clear" w:color="auto" w:fill="CFF0FC"/>
          </w:tcPr>
          <w:p>
            <w:pPr>
              <w:spacing w:after="0"/>
              <w:rPr>
                <w:sz w:val="13"/>
                <w:szCs w:val="13"/>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35"/>
        </w:trPr>
        <w:tc>
          <w:tcPr>
            <w:tcW w:w="2760" w:type="dxa"/>
            <w:vAlign w:val="bottom"/>
          </w:tcPr>
          <w:p>
            <w:pPr>
              <w:ind w:left="20"/>
              <w:spacing w:after="0" w:line="135" w:lineRule="exact"/>
              <w:rPr>
                <w:sz w:val="20"/>
                <w:szCs w:val="20"/>
                <w:color w:val="auto"/>
              </w:rPr>
            </w:pPr>
            <w:r>
              <w:rPr>
                <w:rFonts w:ascii="Times New Roman" w:cs="Times New Roman" w:eastAsia="Times New Roman" w:hAnsi="Times New Roman"/>
                <w:sz w:val="13"/>
                <w:szCs w:val="13"/>
                <w:color w:val="auto"/>
              </w:rPr>
              <w:t>Share-based compensation expense</w:t>
            </w:r>
          </w:p>
        </w:tc>
        <w:tc>
          <w:tcPr>
            <w:tcW w:w="120" w:type="dxa"/>
            <w:vAlign w:val="bottom"/>
            <w:tcBorders>
              <w:bottom w:val="single" w:sz="8" w:color="auto"/>
            </w:tcBorders>
          </w:tcPr>
          <w:p>
            <w:pPr>
              <w:spacing w:after="0"/>
              <w:rPr>
                <w:sz w:val="11"/>
                <w:szCs w:val="11"/>
                <w:color w:val="auto"/>
              </w:rPr>
            </w:pPr>
          </w:p>
        </w:tc>
        <w:tc>
          <w:tcPr>
            <w:tcW w:w="4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64,105</w:t>
            </w:r>
          </w:p>
        </w:tc>
        <w:tc>
          <w:tcPr>
            <w:tcW w:w="240" w:type="dxa"/>
            <w:vAlign w:val="bottom"/>
          </w:tcPr>
          <w:p>
            <w:pPr>
              <w:spacing w:after="0"/>
              <w:rPr>
                <w:sz w:val="11"/>
                <w:szCs w:val="11"/>
                <w:color w:val="auto"/>
              </w:rPr>
            </w:pPr>
          </w:p>
        </w:tc>
        <w:tc>
          <w:tcPr>
            <w:tcW w:w="70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1"/>
                <w:szCs w:val="11"/>
                <w:color w:val="auto"/>
              </w:rPr>
            </w:pPr>
          </w:p>
        </w:tc>
        <w:tc>
          <w:tcPr>
            <w:tcW w:w="320" w:type="dxa"/>
            <w:vAlign w:val="bottom"/>
            <w:tcBorders>
              <w:bottom w:val="single" w:sz="8" w:color="auto"/>
            </w:tcBorders>
          </w:tcPr>
          <w:p>
            <w:pPr>
              <w:spacing w:after="0"/>
              <w:rPr>
                <w:sz w:val="11"/>
                <w:szCs w:val="11"/>
                <w:color w:val="auto"/>
              </w:rPr>
            </w:pPr>
          </w:p>
        </w:tc>
        <w:tc>
          <w:tcPr>
            <w:tcW w:w="2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1"/>
                <w:szCs w:val="11"/>
                <w:color w:val="auto"/>
              </w:rPr>
            </w:pPr>
          </w:p>
        </w:tc>
        <w:tc>
          <w:tcPr>
            <w:tcW w:w="6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54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4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64,105</w:t>
            </w:r>
          </w:p>
        </w:tc>
        <w:tc>
          <w:tcPr>
            <w:tcW w:w="220" w:type="dxa"/>
            <w:vAlign w:val="bottom"/>
          </w:tcPr>
          <w:p>
            <w:pPr>
              <w:spacing w:after="0"/>
              <w:rPr>
                <w:sz w:val="11"/>
                <w:szCs w:val="11"/>
                <w:color w:val="auto"/>
              </w:rPr>
            </w:pPr>
          </w:p>
        </w:tc>
        <w:tc>
          <w:tcPr>
            <w:tcW w:w="56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5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140" w:type="dxa"/>
            <w:vAlign w:val="bottom"/>
            <w:tcBorders>
              <w:bottom w:val="single" w:sz="8" w:color="auto"/>
            </w:tcBorders>
          </w:tcPr>
          <w:p>
            <w:pPr>
              <w:spacing w:after="0"/>
              <w:rPr>
                <w:sz w:val="11"/>
                <w:szCs w:val="11"/>
                <w:color w:val="auto"/>
              </w:rPr>
            </w:pPr>
          </w:p>
        </w:tc>
        <w:tc>
          <w:tcPr>
            <w:tcW w:w="5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100" w:type="dxa"/>
            <w:vAlign w:val="bottom"/>
            <w:tcBorders>
              <w:bottom w:val="single" w:sz="8" w:color="auto"/>
            </w:tcBorders>
          </w:tcPr>
          <w:p>
            <w:pPr>
              <w:spacing w:after="0"/>
              <w:rPr>
                <w:sz w:val="11"/>
                <w:szCs w:val="11"/>
                <w:color w:val="auto"/>
              </w:rPr>
            </w:pPr>
          </w:p>
        </w:tc>
        <w:tc>
          <w:tcPr>
            <w:tcW w:w="54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10"/>
        </w:trPr>
        <w:tc>
          <w:tcPr>
            <w:tcW w:w="2880" w:type="dxa"/>
            <w:vAlign w:val="bottom"/>
            <w:gridSpan w:val="2"/>
            <w:shd w:val="clear" w:color="auto" w:fill="CFF0FC"/>
          </w:tcPr>
          <w:p>
            <w:pPr>
              <w:ind w:left="20"/>
              <w:spacing w:after="0" w:line="110" w:lineRule="exact"/>
              <w:rPr>
                <w:sz w:val="20"/>
                <w:szCs w:val="20"/>
                <w:color w:val="auto"/>
              </w:rPr>
            </w:pPr>
            <w:r>
              <w:rPr>
                <w:rFonts w:ascii="Times New Roman" w:cs="Times New Roman" w:eastAsia="Times New Roman" w:hAnsi="Times New Roman"/>
                <w:sz w:val="12"/>
                <w:szCs w:val="12"/>
                <w:b w:val="1"/>
                <w:bCs w:val="1"/>
                <w:color w:val="auto"/>
              </w:rPr>
              <w:t>Balance at December 31, 2022</w:t>
            </w:r>
          </w:p>
        </w:tc>
        <w:tc>
          <w:tcPr>
            <w:tcW w:w="480" w:type="dxa"/>
            <w:vAlign w:val="bottom"/>
            <w:shd w:val="clear" w:color="auto" w:fill="CFF0FC"/>
          </w:tcPr>
          <w:p>
            <w:pPr>
              <w:jc w:val="right"/>
              <w:spacing w:after="0" w:line="110" w:lineRule="exact"/>
              <w:rPr>
                <w:sz w:val="20"/>
                <w:szCs w:val="20"/>
                <w:color w:val="auto"/>
              </w:rPr>
            </w:pPr>
            <w:r>
              <w:rPr>
                <w:rFonts w:ascii="Times New Roman" w:cs="Times New Roman" w:eastAsia="Times New Roman" w:hAnsi="Times New Roman"/>
                <w:sz w:val="12"/>
                <w:szCs w:val="12"/>
                <w:color w:val="auto"/>
              </w:rPr>
              <w:t>(383,12</w:t>
            </w:r>
          </w:p>
        </w:tc>
        <w:tc>
          <w:tcPr>
            <w:tcW w:w="240" w:type="dxa"/>
            <w:vAlign w:val="bottom"/>
            <w:shd w:val="clear" w:color="auto" w:fill="CFF0FC"/>
          </w:tcPr>
          <w:p>
            <w:pPr>
              <w:spacing w:after="0"/>
              <w:rPr>
                <w:sz w:val="9"/>
                <w:szCs w:val="9"/>
                <w:color w:val="auto"/>
              </w:rPr>
            </w:pPr>
          </w:p>
        </w:tc>
        <w:tc>
          <w:tcPr>
            <w:tcW w:w="700" w:type="dxa"/>
            <w:vAlign w:val="bottom"/>
            <w:shd w:val="clear" w:color="auto" w:fill="CFF0FC"/>
          </w:tcPr>
          <w:p>
            <w:pPr>
              <w:spacing w:after="0"/>
              <w:rPr>
                <w:sz w:val="9"/>
                <w:szCs w:val="9"/>
                <w:color w:val="auto"/>
              </w:rPr>
            </w:pPr>
          </w:p>
        </w:tc>
        <w:tc>
          <w:tcPr>
            <w:tcW w:w="240" w:type="dxa"/>
            <w:vAlign w:val="bottom"/>
            <w:shd w:val="clear" w:color="auto" w:fill="CFF0FC"/>
          </w:tcPr>
          <w:p>
            <w:pPr>
              <w:spacing w:after="0"/>
              <w:rPr>
                <w:sz w:val="9"/>
                <w:szCs w:val="9"/>
                <w:color w:val="auto"/>
              </w:rPr>
            </w:pPr>
          </w:p>
        </w:tc>
        <w:tc>
          <w:tcPr>
            <w:tcW w:w="320" w:type="dxa"/>
            <w:vAlign w:val="bottom"/>
            <w:shd w:val="clear" w:color="auto" w:fill="CFF0FC"/>
          </w:tcPr>
          <w:p>
            <w:pPr>
              <w:spacing w:after="0"/>
              <w:rPr>
                <w:sz w:val="9"/>
                <w:szCs w:val="9"/>
                <w:color w:val="auto"/>
              </w:rPr>
            </w:pPr>
          </w:p>
        </w:tc>
        <w:tc>
          <w:tcPr>
            <w:tcW w:w="280" w:type="dxa"/>
            <w:vAlign w:val="bottom"/>
            <w:shd w:val="clear" w:color="auto" w:fill="CFF0FC"/>
          </w:tcPr>
          <w:p>
            <w:pPr>
              <w:spacing w:after="0"/>
              <w:rPr>
                <w:sz w:val="9"/>
                <w:szCs w:val="9"/>
                <w:color w:val="auto"/>
              </w:rPr>
            </w:pPr>
          </w:p>
        </w:tc>
        <w:tc>
          <w:tcPr>
            <w:tcW w:w="240" w:type="dxa"/>
            <w:vAlign w:val="bottom"/>
            <w:shd w:val="clear" w:color="auto" w:fill="CFF0FC"/>
          </w:tcPr>
          <w:p>
            <w:pPr>
              <w:spacing w:after="0"/>
              <w:rPr>
                <w:sz w:val="9"/>
                <w:szCs w:val="9"/>
                <w:color w:val="auto"/>
              </w:rPr>
            </w:pPr>
          </w:p>
        </w:tc>
        <w:tc>
          <w:tcPr>
            <w:tcW w:w="68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80" w:type="dxa"/>
            <w:vAlign w:val="bottom"/>
            <w:shd w:val="clear" w:color="auto" w:fill="CFF0FC"/>
          </w:tcPr>
          <w:p>
            <w:pPr>
              <w:spacing w:after="0"/>
              <w:rPr>
                <w:sz w:val="9"/>
                <w:szCs w:val="9"/>
                <w:color w:val="auto"/>
              </w:rPr>
            </w:pPr>
          </w:p>
        </w:tc>
        <w:tc>
          <w:tcPr>
            <w:tcW w:w="54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80" w:type="dxa"/>
            <w:vAlign w:val="bottom"/>
            <w:shd w:val="clear" w:color="auto" w:fill="CFF0FC"/>
          </w:tcPr>
          <w:p>
            <w:pPr>
              <w:spacing w:after="0"/>
              <w:rPr>
                <w:sz w:val="9"/>
                <w:szCs w:val="9"/>
                <w:color w:val="auto"/>
              </w:rPr>
            </w:pPr>
          </w:p>
        </w:tc>
        <w:tc>
          <w:tcPr>
            <w:tcW w:w="480" w:type="dxa"/>
            <w:vAlign w:val="bottom"/>
            <w:shd w:val="clear" w:color="auto" w:fill="CFF0FC"/>
          </w:tcPr>
          <w:p>
            <w:pPr>
              <w:jc w:val="right"/>
              <w:spacing w:after="0" w:line="110" w:lineRule="exact"/>
              <w:rPr>
                <w:sz w:val="20"/>
                <w:szCs w:val="20"/>
                <w:color w:val="auto"/>
              </w:rPr>
            </w:pPr>
            <w:r>
              <w:rPr>
                <w:rFonts w:ascii="Times New Roman" w:cs="Times New Roman" w:eastAsia="Times New Roman" w:hAnsi="Times New Roman"/>
                <w:sz w:val="12"/>
                <w:szCs w:val="12"/>
                <w:color w:val="auto"/>
              </w:rPr>
              <w:t>1,841,1</w:t>
            </w:r>
          </w:p>
        </w:tc>
        <w:tc>
          <w:tcPr>
            <w:tcW w:w="220" w:type="dxa"/>
            <w:vAlign w:val="bottom"/>
            <w:shd w:val="clear" w:color="auto" w:fill="CFF0FC"/>
          </w:tcPr>
          <w:p>
            <w:pPr>
              <w:spacing w:after="0"/>
              <w:rPr>
                <w:sz w:val="9"/>
                <w:szCs w:val="9"/>
                <w:color w:val="auto"/>
              </w:rPr>
            </w:pPr>
          </w:p>
        </w:tc>
        <w:tc>
          <w:tcPr>
            <w:tcW w:w="56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80" w:type="dxa"/>
            <w:vAlign w:val="bottom"/>
            <w:shd w:val="clear" w:color="auto" w:fill="CFF0FC"/>
          </w:tcPr>
          <w:p>
            <w:pPr>
              <w:spacing w:after="0"/>
              <w:rPr>
                <w:sz w:val="9"/>
                <w:szCs w:val="9"/>
                <w:color w:val="auto"/>
              </w:rPr>
            </w:pPr>
          </w:p>
        </w:tc>
        <w:tc>
          <w:tcPr>
            <w:tcW w:w="58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140" w:type="dxa"/>
            <w:vAlign w:val="bottom"/>
            <w:shd w:val="clear" w:color="auto" w:fill="CFF0FC"/>
          </w:tcPr>
          <w:p>
            <w:pPr>
              <w:spacing w:after="0"/>
              <w:rPr>
                <w:sz w:val="9"/>
                <w:szCs w:val="9"/>
                <w:color w:val="auto"/>
              </w:rPr>
            </w:pPr>
          </w:p>
        </w:tc>
        <w:tc>
          <w:tcPr>
            <w:tcW w:w="58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100" w:type="dxa"/>
            <w:vAlign w:val="bottom"/>
            <w:shd w:val="clear" w:color="auto" w:fill="CFF0FC"/>
          </w:tcPr>
          <w:p>
            <w:pPr>
              <w:spacing w:after="0"/>
              <w:rPr>
                <w:sz w:val="9"/>
                <w:szCs w:val="9"/>
                <w:color w:val="auto"/>
              </w:rPr>
            </w:pPr>
          </w:p>
        </w:tc>
        <w:tc>
          <w:tcPr>
            <w:tcW w:w="540" w:type="dxa"/>
            <w:vAlign w:val="bottom"/>
            <w:shd w:val="clear" w:color="auto" w:fill="CFF0FC"/>
          </w:tcPr>
          <w:p>
            <w:pPr>
              <w:jc w:val="right"/>
              <w:spacing w:after="0" w:line="110" w:lineRule="exact"/>
              <w:rPr>
                <w:sz w:val="20"/>
                <w:szCs w:val="20"/>
                <w:color w:val="auto"/>
              </w:rPr>
            </w:pPr>
            <w:r>
              <w:rPr>
                <w:rFonts w:ascii="Times New Roman" w:cs="Times New Roman" w:eastAsia="Times New Roman" w:hAnsi="Times New Roman"/>
                <w:sz w:val="12"/>
                <w:szCs w:val="12"/>
                <w:color w:val="auto"/>
              </w:rPr>
              <w:t>(1,428,35</w:t>
            </w:r>
          </w:p>
        </w:tc>
        <w:tc>
          <w:tcPr>
            <w:tcW w:w="100" w:type="dxa"/>
            <w:vAlign w:val="bottom"/>
            <w:shd w:val="clear" w:color="auto" w:fill="CFF0FC"/>
          </w:tcPr>
          <w:p>
            <w:pPr>
              <w:spacing w:after="0"/>
              <w:rPr>
                <w:sz w:val="9"/>
                <w:szCs w:val="9"/>
                <w:color w:val="auto"/>
              </w:rPr>
            </w:pPr>
          </w:p>
        </w:tc>
        <w:tc>
          <w:tcPr>
            <w:tcW w:w="0" w:type="dxa"/>
            <w:vAlign w:val="bottom"/>
          </w:tcPr>
          <w:p>
            <w:pPr>
              <w:spacing w:after="0"/>
              <w:rPr>
                <w:sz w:val="1"/>
                <w:szCs w:val="1"/>
                <w:color w:val="auto"/>
              </w:rPr>
            </w:pPr>
          </w:p>
        </w:tc>
      </w:tr>
      <w:tr>
        <w:trPr>
          <w:trHeight w:val="193"/>
        </w:trPr>
        <w:tc>
          <w:tcPr>
            <w:tcW w:w="2760" w:type="dxa"/>
            <w:vAlign w:val="bottom"/>
            <w:shd w:val="clear" w:color="auto" w:fill="CFF0FC"/>
          </w:tcPr>
          <w:p>
            <w:pPr>
              <w:spacing w:after="0"/>
              <w:rPr>
                <w:sz w:val="16"/>
                <w:szCs w:val="16"/>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w:t>
            </w:r>
          </w:p>
        </w:tc>
        <w:tc>
          <w:tcPr>
            <w:tcW w:w="72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3"/>
                <w:szCs w:val="13"/>
                <w:color w:val="auto"/>
              </w:rPr>
              <w:t>0 )</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104,532</w:t>
            </w:r>
          </w:p>
        </w:tc>
        <w:tc>
          <w:tcPr>
            <w:tcW w:w="240" w:type="dxa"/>
            <w:vAlign w:val="bottom"/>
            <w:shd w:val="clear" w:color="auto" w:fill="CFF0FC"/>
          </w:tcPr>
          <w:p>
            <w:pPr>
              <w:spacing w:after="0"/>
              <w:rPr>
                <w:sz w:val="16"/>
                <w:szCs w:val="16"/>
                <w:color w:val="auto"/>
              </w:rPr>
            </w:pPr>
          </w:p>
        </w:tc>
        <w:tc>
          <w:tcPr>
            <w:tcW w:w="320" w:type="dxa"/>
            <w:vAlign w:val="bottom"/>
            <w:shd w:val="clear" w:color="auto" w:fill="CFF0FC"/>
          </w:tcPr>
          <w:p>
            <w:pPr>
              <w:jc w:val="right"/>
              <w:ind w:right="177"/>
              <w:spacing w:after="0"/>
              <w:rPr>
                <w:sz w:val="20"/>
                <w:szCs w:val="20"/>
                <w:color w:val="auto"/>
              </w:rPr>
            </w:pPr>
            <w:r>
              <w:rPr>
                <w:rFonts w:ascii="Times New Roman" w:cs="Times New Roman" w:eastAsia="Times New Roman" w:hAnsi="Times New Roman"/>
                <w:sz w:val="13"/>
                <w:szCs w:val="13"/>
                <w:color w:val="auto"/>
                <w:w w:val="91"/>
              </w:rPr>
              <w:t>$</w:t>
            </w:r>
          </w:p>
        </w:tc>
        <w:tc>
          <w:tcPr>
            <w:tcW w:w="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18</w:t>
            </w:r>
          </w:p>
        </w:tc>
        <w:tc>
          <w:tcPr>
            <w:tcW w:w="240" w:type="dxa"/>
            <w:vAlign w:val="bottom"/>
            <w:shd w:val="clear" w:color="auto" w:fill="CFF0FC"/>
          </w:tcPr>
          <w:p>
            <w:pPr>
              <w:spacing w:after="0"/>
              <w:rPr>
                <w:sz w:val="16"/>
                <w:szCs w:val="16"/>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19,640</w:t>
            </w:r>
          </w:p>
        </w:tc>
        <w:tc>
          <w:tcPr>
            <w:tcW w:w="3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2</w:t>
            </w:r>
          </w:p>
        </w:tc>
        <w:tc>
          <w:tcPr>
            <w:tcW w:w="3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20</w:t>
            </w:r>
          </w:p>
        </w:tc>
        <w:tc>
          <w:tcPr>
            <w:tcW w:w="220" w:type="dxa"/>
            <w:vAlign w:val="bottom"/>
            <w:shd w:val="clear" w:color="auto" w:fill="CFF0FC"/>
          </w:tcPr>
          <w:p>
            <w:pPr>
              <w:spacing w:after="0"/>
              <w:rPr>
                <w:sz w:val="16"/>
                <w:szCs w:val="16"/>
                <w:color w:val="auto"/>
              </w:rPr>
            </w:pPr>
          </w:p>
        </w:tc>
        <w:tc>
          <w:tcPr>
            <w:tcW w:w="7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(8,684 )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w w:val="91"/>
              </w:rPr>
              <w:t>$</w:t>
            </w:r>
          </w:p>
        </w:tc>
        <w:tc>
          <w:tcPr>
            <w:tcW w:w="8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(782,104 )</w:t>
            </w:r>
          </w:p>
        </w:tc>
        <w:tc>
          <w:tcPr>
            <w:tcW w:w="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w:t>
            </w:r>
          </w:p>
        </w:tc>
        <w:tc>
          <w:tcPr>
            <w:tcW w:w="8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(13,801 )</w:t>
            </w: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w w:val="91"/>
              </w:rPr>
              <w:t>$</w:t>
            </w:r>
          </w:p>
        </w:tc>
        <w:tc>
          <w:tcPr>
            <w:tcW w:w="64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3"/>
                <w:szCs w:val="13"/>
                <w:color w:val="auto"/>
              </w:rPr>
              <w:t>5 )</w:t>
            </w:r>
          </w:p>
        </w:tc>
        <w:tc>
          <w:tcPr>
            <w:tcW w:w="0" w:type="dxa"/>
            <w:vAlign w:val="bottom"/>
          </w:tcPr>
          <w:p>
            <w:pPr>
              <w:spacing w:after="0"/>
              <w:rPr>
                <w:sz w:val="1"/>
                <w:szCs w:val="1"/>
                <w:color w:val="auto"/>
              </w:rPr>
            </w:pPr>
          </w:p>
        </w:tc>
      </w:tr>
      <w:tr>
        <w:trPr>
          <w:trHeight w:val="115"/>
        </w:trPr>
        <w:tc>
          <w:tcPr>
            <w:tcW w:w="2760" w:type="dxa"/>
            <w:vAlign w:val="bottom"/>
            <w:tcBorders>
              <w:top w:val="single" w:sz="8" w:color="CFF0FC"/>
            </w:tcBorders>
          </w:tcPr>
          <w:p>
            <w:pPr>
              <w:ind w:left="20"/>
              <w:spacing w:after="0" w:line="116" w:lineRule="exact"/>
              <w:rPr>
                <w:sz w:val="20"/>
                <w:szCs w:val="20"/>
                <w:color w:val="auto"/>
              </w:rPr>
            </w:pPr>
            <w:r>
              <w:rPr>
                <w:rFonts w:ascii="Times New Roman" w:cs="Times New Roman" w:eastAsia="Times New Roman" w:hAnsi="Times New Roman"/>
                <w:sz w:val="13"/>
                <w:szCs w:val="13"/>
                <w:color w:val="auto"/>
              </w:rPr>
              <w:t>Net income</w:t>
            </w:r>
          </w:p>
        </w:tc>
        <w:tc>
          <w:tcPr>
            <w:tcW w:w="120" w:type="dxa"/>
            <w:vAlign w:val="bottom"/>
            <w:tcBorders>
              <w:top w:val="single" w:sz="8" w:color="auto"/>
            </w:tcBorders>
          </w:tcPr>
          <w:p>
            <w:pPr>
              <w:spacing w:after="0"/>
              <w:rPr>
                <w:sz w:val="10"/>
                <w:szCs w:val="10"/>
                <w:color w:val="auto"/>
              </w:rPr>
            </w:pPr>
          </w:p>
        </w:tc>
        <w:tc>
          <w:tcPr>
            <w:tcW w:w="48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429,121</w:t>
            </w:r>
          </w:p>
        </w:tc>
        <w:tc>
          <w:tcPr>
            <w:tcW w:w="240" w:type="dxa"/>
            <w:vAlign w:val="bottom"/>
            <w:tcBorders>
              <w:top w:val="single" w:sz="8" w:color="CFF0FC"/>
            </w:tcBorders>
          </w:tcPr>
          <w:p>
            <w:pPr>
              <w:spacing w:after="0"/>
              <w:rPr>
                <w:sz w:val="10"/>
                <w:szCs w:val="10"/>
                <w:color w:val="auto"/>
              </w:rPr>
            </w:pPr>
          </w:p>
        </w:tc>
        <w:tc>
          <w:tcPr>
            <w:tcW w:w="70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tcBorders>
              <w:top w:val="single" w:sz="8" w:color="CFF0FC"/>
            </w:tcBorders>
          </w:tcPr>
          <w:p>
            <w:pPr>
              <w:spacing w:after="0"/>
              <w:rPr>
                <w:sz w:val="10"/>
                <w:szCs w:val="10"/>
                <w:color w:val="auto"/>
              </w:rPr>
            </w:pPr>
          </w:p>
        </w:tc>
        <w:tc>
          <w:tcPr>
            <w:tcW w:w="320" w:type="dxa"/>
            <w:vAlign w:val="bottom"/>
            <w:tcBorders>
              <w:top w:val="single" w:sz="8" w:color="auto"/>
            </w:tcBorders>
          </w:tcPr>
          <w:p>
            <w:pPr>
              <w:spacing w:after="0"/>
              <w:rPr>
                <w:sz w:val="10"/>
                <w:szCs w:val="10"/>
                <w:color w:val="auto"/>
              </w:rPr>
            </w:pPr>
          </w:p>
        </w:tc>
        <w:tc>
          <w:tcPr>
            <w:tcW w:w="28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tcBorders>
              <w:top w:val="single" w:sz="8" w:color="CFF0FC"/>
            </w:tcBorders>
          </w:tcPr>
          <w:p>
            <w:pPr>
              <w:spacing w:after="0"/>
              <w:rPr>
                <w:sz w:val="10"/>
                <w:szCs w:val="10"/>
                <w:color w:val="auto"/>
              </w:rPr>
            </w:pPr>
          </w:p>
        </w:tc>
        <w:tc>
          <w:tcPr>
            <w:tcW w:w="68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top w:val="single" w:sz="8" w:color="CFF0FC"/>
            </w:tcBorders>
          </w:tcPr>
          <w:p>
            <w:pPr>
              <w:spacing w:after="0"/>
              <w:rPr>
                <w:sz w:val="10"/>
                <w:szCs w:val="10"/>
                <w:color w:val="auto"/>
              </w:rPr>
            </w:pPr>
          </w:p>
        </w:tc>
        <w:tc>
          <w:tcPr>
            <w:tcW w:w="80" w:type="dxa"/>
            <w:vAlign w:val="bottom"/>
            <w:tcBorders>
              <w:top w:val="single" w:sz="8" w:color="auto"/>
            </w:tcBorders>
          </w:tcPr>
          <w:p>
            <w:pPr>
              <w:spacing w:after="0"/>
              <w:rPr>
                <w:sz w:val="10"/>
                <w:szCs w:val="10"/>
                <w:color w:val="auto"/>
              </w:rPr>
            </w:pPr>
          </w:p>
        </w:tc>
        <w:tc>
          <w:tcPr>
            <w:tcW w:w="54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top w:val="single" w:sz="8" w:color="CFF0FC"/>
            </w:tcBorders>
          </w:tcPr>
          <w:p>
            <w:pPr>
              <w:spacing w:after="0"/>
              <w:rPr>
                <w:sz w:val="10"/>
                <w:szCs w:val="10"/>
                <w:color w:val="auto"/>
              </w:rPr>
            </w:pPr>
          </w:p>
        </w:tc>
        <w:tc>
          <w:tcPr>
            <w:tcW w:w="80" w:type="dxa"/>
            <w:vAlign w:val="bottom"/>
            <w:tcBorders>
              <w:top w:val="single" w:sz="8" w:color="auto"/>
            </w:tcBorders>
          </w:tcPr>
          <w:p>
            <w:pPr>
              <w:spacing w:after="0"/>
              <w:rPr>
                <w:sz w:val="10"/>
                <w:szCs w:val="10"/>
                <w:color w:val="auto"/>
              </w:rPr>
            </w:pPr>
          </w:p>
        </w:tc>
        <w:tc>
          <w:tcPr>
            <w:tcW w:w="48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top w:val="single" w:sz="8" w:color="CFF0FC"/>
            </w:tcBorders>
          </w:tcPr>
          <w:p>
            <w:pPr>
              <w:spacing w:after="0"/>
              <w:rPr>
                <w:sz w:val="10"/>
                <w:szCs w:val="10"/>
                <w:color w:val="auto"/>
              </w:rPr>
            </w:pPr>
          </w:p>
        </w:tc>
        <w:tc>
          <w:tcPr>
            <w:tcW w:w="56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top w:val="single" w:sz="8" w:color="CFF0FC"/>
            </w:tcBorders>
          </w:tcPr>
          <w:p>
            <w:pPr>
              <w:spacing w:after="0"/>
              <w:rPr>
                <w:sz w:val="10"/>
                <w:szCs w:val="10"/>
                <w:color w:val="auto"/>
              </w:rPr>
            </w:pPr>
          </w:p>
        </w:tc>
        <w:tc>
          <w:tcPr>
            <w:tcW w:w="80" w:type="dxa"/>
            <w:vAlign w:val="bottom"/>
            <w:tcBorders>
              <w:top w:val="single" w:sz="8" w:color="auto"/>
            </w:tcBorders>
          </w:tcPr>
          <w:p>
            <w:pPr>
              <w:spacing w:after="0"/>
              <w:rPr>
                <w:sz w:val="10"/>
                <w:szCs w:val="10"/>
                <w:color w:val="auto"/>
              </w:rPr>
            </w:pPr>
          </w:p>
        </w:tc>
        <w:tc>
          <w:tcPr>
            <w:tcW w:w="58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top w:val="single" w:sz="8" w:color="CFF0FC"/>
            </w:tcBorders>
          </w:tcPr>
          <w:p>
            <w:pPr>
              <w:spacing w:after="0"/>
              <w:rPr>
                <w:sz w:val="10"/>
                <w:szCs w:val="10"/>
                <w:color w:val="auto"/>
              </w:rPr>
            </w:pPr>
          </w:p>
        </w:tc>
        <w:tc>
          <w:tcPr>
            <w:tcW w:w="140" w:type="dxa"/>
            <w:vAlign w:val="bottom"/>
            <w:tcBorders>
              <w:top w:val="single" w:sz="8" w:color="auto"/>
            </w:tcBorders>
          </w:tcPr>
          <w:p>
            <w:pPr>
              <w:spacing w:after="0"/>
              <w:rPr>
                <w:sz w:val="10"/>
                <w:szCs w:val="10"/>
                <w:color w:val="auto"/>
              </w:rPr>
            </w:pPr>
          </w:p>
        </w:tc>
        <w:tc>
          <w:tcPr>
            <w:tcW w:w="58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top w:val="single" w:sz="8" w:color="CFF0FC"/>
            </w:tcBorders>
          </w:tcPr>
          <w:p>
            <w:pPr>
              <w:spacing w:after="0"/>
              <w:rPr>
                <w:sz w:val="10"/>
                <w:szCs w:val="10"/>
                <w:color w:val="auto"/>
              </w:rPr>
            </w:pPr>
          </w:p>
        </w:tc>
        <w:tc>
          <w:tcPr>
            <w:tcW w:w="100" w:type="dxa"/>
            <w:vAlign w:val="bottom"/>
            <w:tcBorders>
              <w:top w:val="single" w:sz="8" w:color="auto"/>
            </w:tcBorders>
          </w:tcPr>
          <w:p>
            <w:pPr>
              <w:spacing w:after="0"/>
              <w:rPr>
                <w:sz w:val="10"/>
                <w:szCs w:val="10"/>
                <w:color w:val="auto"/>
              </w:rPr>
            </w:pPr>
          </w:p>
        </w:tc>
        <w:tc>
          <w:tcPr>
            <w:tcW w:w="540" w:type="dxa"/>
            <w:vAlign w:val="bottom"/>
            <w:tcBorders>
              <w:top w:val="single" w:sz="8" w:color="auto"/>
            </w:tcBorders>
          </w:tcPr>
          <w:p>
            <w:pPr>
              <w:jc w:val="right"/>
              <w:spacing w:after="0" w:line="116" w:lineRule="exact"/>
              <w:rPr>
                <w:sz w:val="20"/>
                <w:szCs w:val="20"/>
                <w:color w:val="auto"/>
              </w:rPr>
            </w:pPr>
            <w:r>
              <w:rPr>
                <w:rFonts w:ascii="Times New Roman" w:cs="Times New Roman" w:eastAsia="Times New Roman" w:hAnsi="Times New Roman"/>
                <w:sz w:val="13"/>
                <w:szCs w:val="13"/>
                <w:color w:val="auto"/>
              </w:rPr>
              <w:t>429,121</w:t>
            </w:r>
          </w:p>
        </w:tc>
        <w:tc>
          <w:tcPr>
            <w:tcW w:w="100" w:type="dxa"/>
            <w:vAlign w:val="bottom"/>
            <w:tcBorders>
              <w:top w:val="single" w:sz="8" w:color="CFF0FC"/>
            </w:tcBorders>
          </w:tcPr>
          <w:p>
            <w:pPr>
              <w:spacing w:after="0"/>
              <w:rPr>
                <w:sz w:val="10"/>
                <w:szCs w:val="10"/>
                <w:color w:val="auto"/>
              </w:rPr>
            </w:pPr>
          </w:p>
        </w:tc>
        <w:tc>
          <w:tcPr>
            <w:tcW w:w="0" w:type="dxa"/>
            <w:vAlign w:val="bottom"/>
          </w:tcPr>
          <w:p>
            <w:pPr>
              <w:spacing w:after="0"/>
              <w:rPr>
                <w:sz w:val="1"/>
                <w:szCs w:val="1"/>
                <w:color w:val="auto"/>
              </w:rPr>
            </w:pPr>
          </w:p>
        </w:tc>
      </w:tr>
      <w:tr>
        <w:trPr>
          <w:trHeight w:val="135"/>
        </w:trPr>
        <w:tc>
          <w:tcPr>
            <w:tcW w:w="2880" w:type="dxa"/>
            <w:vAlign w:val="bottom"/>
            <w:gridSpan w:val="2"/>
            <w:shd w:val="clear" w:color="auto" w:fill="CFF0FC"/>
          </w:tcPr>
          <w:p>
            <w:pPr>
              <w:ind w:left="20"/>
              <w:spacing w:after="0" w:line="135" w:lineRule="exact"/>
              <w:rPr>
                <w:sz w:val="20"/>
                <w:szCs w:val="20"/>
                <w:color w:val="auto"/>
              </w:rPr>
            </w:pPr>
            <w:r>
              <w:rPr>
                <w:rFonts w:ascii="Times New Roman" w:cs="Times New Roman" w:eastAsia="Times New Roman" w:hAnsi="Times New Roman"/>
                <w:sz w:val="13"/>
                <w:szCs w:val="13"/>
                <w:color w:val="auto"/>
              </w:rPr>
              <w:t>Other comprehensive income</w:t>
            </w:r>
          </w:p>
        </w:tc>
        <w:tc>
          <w:tcPr>
            <w:tcW w:w="4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2,357</w:t>
            </w:r>
          </w:p>
        </w:tc>
        <w:tc>
          <w:tcPr>
            <w:tcW w:w="240" w:type="dxa"/>
            <w:vAlign w:val="bottom"/>
            <w:shd w:val="clear" w:color="auto" w:fill="CFF0FC"/>
          </w:tcPr>
          <w:p>
            <w:pPr>
              <w:spacing w:after="0"/>
              <w:rPr>
                <w:sz w:val="11"/>
                <w:szCs w:val="11"/>
                <w:color w:val="auto"/>
              </w:rPr>
            </w:pPr>
          </w:p>
        </w:tc>
        <w:tc>
          <w:tcPr>
            <w:tcW w:w="70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1"/>
                <w:szCs w:val="11"/>
                <w:color w:val="auto"/>
              </w:rPr>
            </w:pPr>
          </w:p>
        </w:tc>
        <w:tc>
          <w:tcPr>
            <w:tcW w:w="320" w:type="dxa"/>
            <w:vAlign w:val="bottom"/>
            <w:shd w:val="clear" w:color="auto" w:fill="CFF0FC"/>
          </w:tcPr>
          <w:p>
            <w:pPr>
              <w:spacing w:after="0"/>
              <w:rPr>
                <w:sz w:val="11"/>
                <w:szCs w:val="11"/>
                <w:color w:val="auto"/>
              </w:rPr>
            </w:pPr>
          </w:p>
        </w:tc>
        <w:tc>
          <w:tcPr>
            <w:tcW w:w="2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1"/>
                <w:szCs w:val="11"/>
                <w:color w:val="auto"/>
              </w:rPr>
            </w:pPr>
          </w:p>
        </w:tc>
        <w:tc>
          <w:tcPr>
            <w:tcW w:w="6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54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56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5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140" w:type="dxa"/>
            <w:vAlign w:val="bottom"/>
            <w:shd w:val="clear" w:color="auto" w:fill="CFF0FC"/>
          </w:tcPr>
          <w:p>
            <w:pPr>
              <w:spacing w:after="0"/>
              <w:rPr>
                <w:sz w:val="11"/>
                <w:szCs w:val="11"/>
                <w:color w:val="auto"/>
              </w:rPr>
            </w:pPr>
          </w:p>
        </w:tc>
        <w:tc>
          <w:tcPr>
            <w:tcW w:w="5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2,357</w:t>
            </w:r>
          </w:p>
        </w:tc>
        <w:tc>
          <w:tcPr>
            <w:tcW w:w="220" w:type="dxa"/>
            <w:vAlign w:val="bottom"/>
            <w:shd w:val="clear" w:color="auto" w:fill="CFF0FC"/>
          </w:tcPr>
          <w:p>
            <w:pPr>
              <w:spacing w:after="0"/>
              <w:rPr>
                <w:sz w:val="11"/>
                <w:szCs w:val="11"/>
                <w:color w:val="auto"/>
              </w:rPr>
            </w:pPr>
          </w:p>
        </w:tc>
        <w:tc>
          <w:tcPr>
            <w:tcW w:w="100" w:type="dxa"/>
            <w:vAlign w:val="bottom"/>
            <w:shd w:val="clear" w:color="auto" w:fill="CFF0FC"/>
          </w:tcPr>
          <w:p>
            <w:pPr>
              <w:spacing w:after="0"/>
              <w:rPr>
                <w:sz w:val="11"/>
                <w:szCs w:val="11"/>
                <w:color w:val="auto"/>
              </w:rPr>
            </w:pPr>
          </w:p>
        </w:tc>
        <w:tc>
          <w:tcPr>
            <w:tcW w:w="54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100" w:type="dxa"/>
            <w:vAlign w:val="bottom"/>
            <w:shd w:val="clear" w:color="auto" w:fill="CFF0FC"/>
          </w:tcPr>
          <w:p>
            <w:pPr>
              <w:spacing w:after="0"/>
              <w:rPr>
                <w:sz w:val="11"/>
                <w:szCs w:val="11"/>
                <w:color w:val="auto"/>
              </w:rPr>
            </w:pPr>
          </w:p>
        </w:tc>
        <w:tc>
          <w:tcPr>
            <w:tcW w:w="0" w:type="dxa"/>
            <w:vAlign w:val="bottom"/>
          </w:tcPr>
          <w:p>
            <w:pPr>
              <w:spacing w:after="0"/>
              <w:rPr>
                <w:sz w:val="1"/>
                <w:szCs w:val="1"/>
                <w:color w:val="auto"/>
              </w:rPr>
            </w:pPr>
          </w:p>
        </w:tc>
      </w:tr>
      <w:tr>
        <w:trPr>
          <w:trHeight w:val="117"/>
        </w:trPr>
        <w:tc>
          <w:tcPr>
            <w:tcW w:w="2880" w:type="dxa"/>
            <w:vAlign w:val="bottom"/>
            <w:gridSpan w:val="2"/>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upon exercise</w:t>
            </w: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tcPr>
          <w:p>
            <w:pPr>
              <w:ind w:left="20"/>
              <w:spacing w:after="0"/>
              <w:rPr>
                <w:sz w:val="20"/>
                <w:szCs w:val="20"/>
                <w:color w:val="auto"/>
              </w:rPr>
            </w:pPr>
            <w:r>
              <w:rPr>
                <w:rFonts w:ascii="Times New Roman" w:cs="Times New Roman" w:eastAsia="Times New Roman" w:hAnsi="Times New Roman"/>
                <w:sz w:val="13"/>
                <w:szCs w:val="13"/>
                <w:color w:val="auto"/>
              </w:rPr>
              <w:t>of stock options</w:t>
            </w: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30,519</w:t>
            </w:r>
          </w:p>
        </w:tc>
        <w:tc>
          <w:tcPr>
            <w:tcW w:w="240" w:type="dxa"/>
            <w:vAlign w:val="bottom"/>
          </w:tcPr>
          <w:p>
            <w:pPr>
              <w:spacing w:after="0"/>
              <w:rPr>
                <w:sz w:val="13"/>
                <w:szCs w:val="13"/>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1,756</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30,518</w:t>
            </w:r>
          </w:p>
        </w:tc>
        <w:tc>
          <w:tcPr>
            <w:tcW w:w="220" w:type="dxa"/>
            <w:vAlign w:val="bottom"/>
          </w:tcPr>
          <w:p>
            <w:pPr>
              <w:spacing w:after="0"/>
              <w:rPr>
                <w:sz w:val="13"/>
                <w:szCs w:val="13"/>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shd w:val="clear" w:color="auto" w:fill="CFF0FC"/>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under employee</w:t>
            </w: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70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320" w:type="dxa"/>
            <w:vAlign w:val="bottom"/>
            <w:shd w:val="clear" w:color="auto" w:fill="CFF0FC"/>
          </w:tcPr>
          <w:p>
            <w:pPr>
              <w:spacing w:after="0"/>
              <w:rPr>
                <w:sz w:val="10"/>
                <w:szCs w:val="10"/>
                <w:color w:val="auto"/>
              </w:rPr>
            </w:pPr>
          </w:p>
        </w:tc>
        <w:tc>
          <w:tcPr>
            <w:tcW w:w="2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56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4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stock purchase plan</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3,955</w:t>
            </w:r>
          </w:p>
        </w:tc>
        <w:tc>
          <w:tcPr>
            <w:tcW w:w="240" w:type="dxa"/>
            <w:vAlign w:val="bottom"/>
            <w:shd w:val="clear" w:color="auto" w:fill="CFF0FC"/>
          </w:tcPr>
          <w:p>
            <w:pPr>
              <w:spacing w:after="0"/>
              <w:rPr>
                <w:sz w:val="13"/>
                <w:szCs w:val="13"/>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198</w:t>
            </w:r>
          </w:p>
        </w:tc>
        <w:tc>
          <w:tcPr>
            <w:tcW w:w="240" w:type="dxa"/>
            <w:vAlign w:val="bottom"/>
            <w:shd w:val="clear" w:color="auto" w:fill="CFF0FC"/>
          </w:tcPr>
          <w:p>
            <w:pPr>
              <w:spacing w:after="0"/>
              <w:rPr>
                <w:sz w:val="13"/>
                <w:szCs w:val="13"/>
                <w:color w:val="auto"/>
              </w:rPr>
            </w:pPr>
          </w:p>
        </w:tc>
        <w:tc>
          <w:tcPr>
            <w:tcW w:w="320" w:type="dxa"/>
            <w:vAlign w:val="bottom"/>
            <w:shd w:val="clear" w:color="auto" w:fill="CFF0FC"/>
          </w:tcPr>
          <w:p>
            <w:pPr>
              <w:spacing w:after="0"/>
              <w:rPr>
                <w:sz w:val="13"/>
                <w:szCs w:val="13"/>
                <w:color w:val="auto"/>
              </w:rPr>
            </w:pPr>
          </w:p>
        </w:tc>
        <w:tc>
          <w:tcPr>
            <w:tcW w:w="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3"/>
                <w:szCs w:val="13"/>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3,955</w:t>
            </w:r>
          </w:p>
        </w:tc>
        <w:tc>
          <w:tcPr>
            <w:tcW w:w="220" w:type="dxa"/>
            <w:vAlign w:val="bottom"/>
            <w:shd w:val="clear" w:color="auto" w:fill="CFF0FC"/>
          </w:tcPr>
          <w:p>
            <w:pPr>
              <w:spacing w:after="0"/>
              <w:rPr>
                <w:sz w:val="13"/>
                <w:szCs w:val="13"/>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upon vesting of</w:t>
            </w: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tcPr>
          <w:p>
            <w:pPr>
              <w:ind w:left="20"/>
              <w:spacing w:after="0"/>
              <w:rPr>
                <w:sz w:val="20"/>
                <w:szCs w:val="20"/>
                <w:color w:val="auto"/>
              </w:rPr>
            </w:pPr>
            <w:r>
              <w:rPr>
                <w:rFonts w:ascii="Times New Roman" w:cs="Times New Roman" w:eastAsia="Times New Roman" w:hAnsi="Times New Roman"/>
                <w:sz w:val="13"/>
                <w:szCs w:val="13"/>
                <w:color w:val="auto"/>
              </w:rPr>
              <w:t>restricted stock units, net of withholding taxes</w:t>
            </w:r>
          </w:p>
        </w:tc>
        <w:tc>
          <w:tcPr>
            <w:tcW w:w="720" w:type="dxa"/>
            <w:vAlign w:val="bottom"/>
            <w:gridSpan w:val="2"/>
          </w:tcPr>
          <w:p>
            <w:pPr>
              <w:jc w:val="right"/>
              <w:ind w:right="180"/>
              <w:spacing w:after="0"/>
              <w:rPr>
                <w:sz w:val="20"/>
                <w:szCs w:val="20"/>
                <w:color w:val="auto"/>
              </w:rPr>
            </w:pPr>
            <w:r>
              <w:rPr>
                <w:rFonts w:ascii="Times New Roman" w:cs="Times New Roman" w:eastAsia="Times New Roman" w:hAnsi="Times New Roman"/>
                <w:sz w:val="13"/>
                <w:szCs w:val="13"/>
                <w:color w:val="auto"/>
              </w:rPr>
              <w:t>(4,344 )</w:t>
            </w: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260</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700" w:type="dxa"/>
            <w:vAlign w:val="bottom"/>
            <w:gridSpan w:val="2"/>
          </w:tcPr>
          <w:p>
            <w:pPr>
              <w:jc w:val="right"/>
              <w:ind w:right="160"/>
              <w:spacing w:after="0"/>
              <w:rPr>
                <w:sz w:val="20"/>
                <w:szCs w:val="20"/>
                <w:color w:val="auto"/>
              </w:rPr>
            </w:pPr>
            <w:r>
              <w:rPr>
                <w:rFonts w:ascii="Times New Roman" w:cs="Times New Roman" w:eastAsia="Times New Roman" w:hAnsi="Times New Roman"/>
                <w:sz w:val="13"/>
                <w:szCs w:val="13"/>
                <w:color w:val="auto"/>
              </w:rPr>
              <w:t>(4,344 )</w:t>
            </w: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shd w:val="clear" w:color="auto" w:fill="CFF0FC"/>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under public</w:t>
            </w:r>
          </w:p>
        </w:tc>
        <w:tc>
          <w:tcPr>
            <w:tcW w:w="480" w:type="dxa"/>
            <w:vAlign w:val="bottom"/>
            <w:shd w:val="clear" w:color="auto" w:fill="CFF0FC"/>
          </w:tcPr>
          <w:p>
            <w:pPr>
              <w:jc w:val="right"/>
              <w:spacing w:after="0" w:line="117" w:lineRule="exact"/>
              <w:rPr>
                <w:sz w:val="20"/>
                <w:szCs w:val="20"/>
                <w:color w:val="auto"/>
              </w:rPr>
            </w:pPr>
            <w:r>
              <w:rPr>
                <w:rFonts w:ascii="Times New Roman" w:cs="Times New Roman" w:eastAsia="Times New Roman" w:hAnsi="Times New Roman"/>
                <w:sz w:val="13"/>
                <w:szCs w:val="13"/>
                <w:color w:val="auto"/>
              </w:rPr>
              <w:t>2,020,0</w:t>
            </w:r>
          </w:p>
        </w:tc>
        <w:tc>
          <w:tcPr>
            <w:tcW w:w="240" w:type="dxa"/>
            <w:vAlign w:val="bottom"/>
            <w:shd w:val="clear" w:color="auto" w:fill="CFF0FC"/>
          </w:tcPr>
          <w:p>
            <w:pPr>
              <w:spacing w:after="0"/>
              <w:rPr>
                <w:sz w:val="10"/>
                <w:szCs w:val="10"/>
                <w:color w:val="auto"/>
              </w:rPr>
            </w:pPr>
          </w:p>
        </w:tc>
        <w:tc>
          <w:tcPr>
            <w:tcW w:w="70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320" w:type="dxa"/>
            <w:vAlign w:val="bottom"/>
            <w:shd w:val="clear" w:color="auto" w:fill="CFF0FC"/>
          </w:tcPr>
          <w:p>
            <w:pPr>
              <w:spacing w:after="0"/>
              <w:rPr>
                <w:sz w:val="10"/>
                <w:szCs w:val="10"/>
                <w:color w:val="auto"/>
              </w:rPr>
            </w:pPr>
          </w:p>
        </w:tc>
        <w:tc>
          <w:tcPr>
            <w:tcW w:w="2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jc w:val="right"/>
              <w:spacing w:after="0" w:line="117" w:lineRule="exact"/>
              <w:rPr>
                <w:sz w:val="20"/>
                <w:szCs w:val="20"/>
                <w:color w:val="auto"/>
              </w:rPr>
            </w:pPr>
            <w:r>
              <w:rPr>
                <w:rFonts w:ascii="Times New Roman" w:cs="Times New Roman" w:eastAsia="Times New Roman" w:hAnsi="Times New Roman"/>
                <w:sz w:val="13"/>
                <w:szCs w:val="13"/>
                <w:color w:val="auto"/>
              </w:rPr>
              <w:t>2,020,0</w:t>
            </w:r>
          </w:p>
        </w:tc>
        <w:tc>
          <w:tcPr>
            <w:tcW w:w="220" w:type="dxa"/>
            <w:vAlign w:val="bottom"/>
            <w:shd w:val="clear" w:color="auto" w:fill="CFF0FC"/>
          </w:tcPr>
          <w:p>
            <w:pPr>
              <w:spacing w:after="0"/>
              <w:rPr>
                <w:sz w:val="10"/>
                <w:szCs w:val="10"/>
                <w:color w:val="auto"/>
              </w:rPr>
            </w:pPr>
          </w:p>
        </w:tc>
        <w:tc>
          <w:tcPr>
            <w:tcW w:w="56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4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offerings, net of issuance costs</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89</w:t>
            </w:r>
          </w:p>
        </w:tc>
        <w:tc>
          <w:tcPr>
            <w:tcW w:w="240" w:type="dxa"/>
            <w:vAlign w:val="bottom"/>
            <w:shd w:val="clear" w:color="auto" w:fill="CFF0FC"/>
          </w:tcPr>
          <w:p>
            <w:pPr>
              <w:spacing w:after="0"/>
              <w:rPr>
                <w:sz w:val="13"/>
                <w:szCs w:val="13"/>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50,979</w:t>
            </w:r>
          </w:p>
        </w:tc>
        <w:tc>
          <w:tcPr>
            <w:tcW w:w="240" w:type="dxa"/>
            <w:vAlign w:val="bottom"/>
            <w:shd w:val="clear" w:color="auto" w:fill="CFF0FC"/>
          </w:tcPr>
          <w:p>
            <w:pPr>
              <w:spacing w:after="0"/>
              <w:rPr>
                <w:sz w:val="13"/>
                <w:szCs w:val="13"/>
                <w:color w:val="auto"/>
              </w:rPr>
            </w:pPr>
          </w:p>
        </w:tc>
        <w:tc>
          <w:tcPr>
            <w:tcW w:w="320" w:type="dxa"/>
            <w:vAlign w:val="bottom"/>
            <w:shd w:val="clear" w:color="auto" w:fill="CFF0FC"/>
          </w:tcPr>
          <w:p>
            <w:pPr>
              <w:spacing w:after="0"/>
              <w:rPr>
                <w:sz w:val="13"/>
                <w:szCs w:val="13"/>
                <w:color w:val="auto"/>
              </w:rPr>
            </w:pPr>
          </w:p>
        </w:tc>
        <w:tc>
          <w:tcPr>
            <w:tcW w:w="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5</w:t>
            </w:r>
          </w:p>
        </w:tc>
        <w:tc>
          <w:tcPr>
            <w:tcW w:w="240" w:type="dxa"/>
            <w:vAlign w:val="bottom"/>
            <w:shd w:val="clear" w:color="auto" w:fill="CFF0FC"/>
          </w:tcPr>
          <w:p>
            <w:pPr>
              <w:spacing w:after="0"/>
              <w:rPr>
                <w:sz w:val="13"/>
                <w:szCs w:val="13"/>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84</w:t>
            </w:r>
          </w:p>
        </w:tc>
        <w:tc>
          <w:tcPr>
            <w:tcW w:w="220" w:type="dxa"/>
            <w:vAlign w:val="bottom"/>
            <w:shd w:val="clear" w:color="auto" w:fill="CFF0FC"/>
          </w:tcPr>
          <w:p>
            <w:pPr>
              <w:spacing w:after="0"/>
              <w:rPr>
                <w:sz w:val="13"/>
                <w:szCs w:val="13"/>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35"/>
        </w:trPr>
        <w:tc>
          <w:tcPr>
            <w:tcW w:w="2760" w:type="dxa"/>
            <w:vAlign w:val="bottom"/>
          </w:tcPr>
          <w:p>
            <w:pPr>
              <w:ind w:left="20"/>
              <w:spacing w:after="0" w:line="135" w:lineRule="exact"/>
              <w:rPr>
                <w:sz w:val="20"/>
                <w:szCs w:val="20"/>
                <w:color w:val="auto"/>
              </w:rPr>
            </w:pPr>
            <w:r>
              <w:rPr>
                <w:rFonts w:ascii="Times New Roman" w:cs="Times New Roman" w:eastAsia="Times New Roman" w:hAnsi="Times New Roman"/>
                <w:sz w:val="13"/>
                <w:szCs w:val="13"/>
                <w:color w:val="auto"/>
              </w:rPr>
              <w:t>Share-based compensation expense</w:t>
            </w:r>
          </w:p>
        </w:tc>
        <w:tc>
          <w:tcPr>
            <w:tcW w:w="120" w:type="dxa"/>
            <w:vAlign w:val="bottom"/>
            <w:tcBorders>
              <w:bottom w:val="single" w:sz="8" w:color="auto"/>
            </w:tcBorders>
          </w:tcPr>
          <w:p>
            <w:pPr>
              <w:spacing w:after="0"/>
              <w:rPr>
                <w:sz w:val="11"/>
                <w:szCs w:val="11"/>
                <w:color w:val="auto"/>
              </w:rPr>
            </w:pPr>
          </w:p>
        </w:tc>
        <w:tc>
          <w:tcPr>
            <w:tcW w:w="4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66,395</w:t>
            </w:r>
          </w:p>
        </w:tc>
        <w:tc>
          <w:tcPr>
            <w:tcW w:w="240" w:type="dxa"/>
            <w:vAlign w:val="bottom"/>
          </w:tcPr>
          <w:p>
            <w:pPr>
              <w:spacing w:after="0"/>
              <w:rPr>
                <w:sz w:val="11"/>
                <w:szCs w:val="11"/>
                <w:color w:val="auto"/>
              </w:rPr>
            </w:pPr>
          </w:p>
        </w:tc>
        <w:tc>
          <w:tcPr>
            <w:tcW w:w="70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1"/>
                <w:szCs w:val="11"/>
                <w:color w:val="auto"/>
              </w:rPr>
            </w:pPr>
          </w:p>
        </w:tc>
        <w:tc>
          <w:tcPr>
            <w:tcW w:w="320" w:type="dxa"/>
            <w:vAlign w:val="bottom"/>
            <w:tcBorders>
              <w:bottom w:val="single" w:sz="8" w:color="auto"/>
            </w:tcBorders>
          </w:tcPr>
          <w:p>
            <w:pPr>
              <w:spacing w:after="0"/>
              <w:rPr>
                <w:sz w:val="11"/>
                <w:szCs w:val="11"/>
                <w:color w:val="auto"/>
              </w:rPr>
            </w:pPr>
          </w:p>
        </w:tc>
        <w:tc>
          <w:tcPr>
            <w:tcW w:w="2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1"/>
                <w:szCs w:val="11"/>
                <w:color w:val="auto"/>
              </w:rPr>
            </w:pPr>
          </w:p>
        </w:tc>
        <w:tc>
          <w:tcPr>
            <w:tcW w:w="6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54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4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66,395</w:t>
            </w:r>
          </w:p>
        </w:tc>
        <w:tc>
          <w:tcPr>
            <w:tcW w:w="220" w:type="dxa"/>
            <w:vAlign w:val="bottom"/>
          </w:tcPr>
          <w:p>
            <w:pPr>
              <w:spacing w:after="0"/>
              <w:rPr>
                <w:sz w:val="11"/>
                <w:szCs w:val="11"/>
                <w:color w:val="auto"/>
              </w:rPr>
            </w:pPr>
          </w:p>
        </w:tc>
        <w:tc>
          <w:tcPr>
            <w:tcW w:w="56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5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140" w:type="dxa"/>
            <w:vAlign w:val="bottom"/>
            <w:tcBorders>
              <w:bottom w:val="single" w:sz="8" w:color="auto"/>
            </w:tcBorders>
          </w:tcPr>
          <w:p>
            <w:pPr>
              <w:spacing w:after="0"/>
              <w:rPr>
                <w:sz w:val="11"/>
                <w:szCs w:val="11"/>
                <w:color w:val="auto"/>
              </w:rPr>
            </w:pPr>
          </w:p>
        </w:tc>
        <w:tc>
          <w:tcPr>
            <w:tcW w:w="58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1"/>
                <w:szCs w:val="11"/>
                <w:color w:val="auto"/>
              </w:rPr>
            </w:pPr>
          </w:p>
        </w:tc>
        <w:tc>
          <w:tcPr>
            <w:tcW w:w="100" w:type="dxa"/>
            <w:vAlign w:val="bottom"/>
            <w:tcBorders>
              <w:bottom w:val="single" w:sz="8" w:color="auto"/>
            </w:tcBorders>
          </w:tcPr>
          <w:p>
            <w:pPr>
              <w:spacing w:after="0"/>
              <w:rPr>
                <w:sz w:val="11"/>
                <w:szCs w:val="11"/>
                <w:color w:val="auto"/>
              </w:rPr>
            </w:pPr>
          </w:p>
        </w:tc>
        <w:tc>
          <w:tcPr>
            <w:tcW w:w="540" w:type="dxa"/>
            <w:vAlign w:val="bottom"/>
            <w:tcBorders>
              <w:bottom w:val="single" w:sz="8" w:color="auto"/>
            </w:tcBorders>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10"/>
        </w:trPr>
        <w:tc>
          <w:tcPr>
            <w:tcW w:w="2880" w:type="dxa"/>
            <w:vAlign w:val="bottom"/>
            <w:gridSpan w:val="2"/>
            <w:shd w:val="clear" w:color="auto" w:fill="CFF0FC"/>
          </w:tcPr>
          <w:p>
            <w:pPr>
              <w:ind w:left="20"/>
              <w:spacing w:after="0" w:line="110" w:lineRule="exact"/>
              <w:rPr>
                <w:sz w:val="20"/>
                <w:szCs w:val="20"/>
                <w:color w:val="auto"/>
              </w:rPr>
            </w:pPr>
            <w:r>
              <w:rPr>
                <w:rFonts w:ascii="Times New Roman" w:cs="Times New Roman" w:eastAsia="Times New Roman" w:hAnsi="Times New Roman"/>
                <w:sz w:val="12"/>
                <w:szCs w:val="12"/>
                <w:b w:val="1"/>
                <w:bCs w:val="1"/>
                <w:color w:val="auto"/>
              </w:rPr>
              <w:t>Balance at December 31, 2023</w:t>
            </w:r>
          </w:p>
        </w:tc>
        <w:tc>
          <w:tcPr>
            <w:tcW w:w="480" w:type="dxa"/>
            <w:vAlign w:val="bottom"/>
            <w:shd w:val="clear" w:color="auto" w:fill="CFF0FC"/>
          </w:tcPr>
          <w:p>
            <w:pPr>
              <w:jc w:val="right"/>
              <w:spacing w:after="0" w:line="110" w:lineRule="exact"/>
              <w:rPr>
                <w:sz w:val="20"/>
                <w:szCs w:val="20"/>
                <w:color w:val="auto"/>
              </w:rPr>
            </w:pPr>
            <w:r>
              <w:rPr>
                <w:rFonts w:ascii="Times New Roman" w:cs="Times New Roman" w:eastAsia="Times New Roman" w:hAnsi="Times New Roman"/>
                <w:sz w:val="12"/>
                <w:szCs w:val="12"/>
                <w:color w:val="auto"/>
              </w:rPr>
              <w:t>2,164,9</w:t>
            </w:r>
          </w:p>
        </w:tc>
        <w:tc>
          <w:tcPr>
            <w:tcW w:w="240" w:type="dxa"/>
            <w:vAlign w:val="bottom"/>
            <w:shd w:val="clear" w:color="auto" w:fill="CFF0FC"/>
          </w:tcPr>
          <w:p>
            <w:pPr>
              <w:spacing w:after="0"/>
              <w:rPr>
                <w:sz w:val="9"/>
                <w:szCs w:val="9"/>
                <w:color w:val="auto"/>
              </w:rPr>
            </w:pPr>
          </w:p>
        </w:tc>
        <w:tc>
          <w:tcPr>
            <w:tcW w:w="700" w:type="dxa"/>
            <w:vAlign w:val="bottom"/>
            <w:shd w:val="clear" w:color="auto" w:fill="CFF0FC"/>
          </w:tcPr>
          <w:p>
            <w:pPr>
              <w:spacing w:after="0"/>
              <w:rPr>
                <w:sz w:val="9"/>
                <w:szCs w:val="9"/>
                <w:color w:val="auto"/>
              </w:rPr>
            </w:pPr>
          </w:p>
        </w:tc>
        <w:tc>
          <w:tcPr>
            <w:tcW w:w="240" w:type="dxa"/>
            <w:vAlign w:val="bottom"/>
            <w:shd w:val="clear" w:color="auto" w:fill="CFF0FC"/>
          </w:tcPr>
          <w:p>
            <w:pPr>
              <w:spacing w:after="0"/>
              <w:rPr>
                <w:sz w:val="9"/>
                <w:szCs w:val="9"/>
                <w:color w:val="auto"/>
              </w:rPr>
            </w:pPr>
          </w:p>
        </w:tc>
        <w:tc>
          <w:tcPr>
            <w:tcW w:w="320" w:type="dxa"/>
            <w:vAlign w:val="bottom"/>
            <w:shd w:val="clear" w:color="auto" w:fill="CFF0FC"/>
          </w:tcPr>
          <w:p>
            <w:pPr>
              <w:spacing w:after="0"/>
              <w:rPr>
                <w:sz w:val="9"/>
                <w:szCs w:val="9"/>
                <w:color w:val="auto"/>
              </w:rPr>
            </w:pPr>
          </w:p>
        </w:tc>
        <w:tc>
          <w:tcPr>
            <w:tcW w:w="280" w:type="dxa"/>
            <w:vAlign w:val="bottom"/>
            <w:shd w:val="clear" w:color="auto" w:fill="CFF0FC"/>
          </w:tcPr>
          <w:p>
            <w:pPr>
              <w:spacing w:after="0"/>
              <w:rPr>
                <w:sz w:val="9"/>
                <w:szCs w:val="9"/>
                <w:color w:val="auto"/>
              </w:rPr>
            </w:pPr>
          </w:p>
        </w:tc>
        <w:tc>
          <w:tcPr>
            <w:tcW w:w="240" w:type="dxa"/>
            <w:vAlign w:val="bottom"/>
            <w:shd w:val="clear" w:color="auto" w:fill="CFF0FC"/>
          </w:tcPr>
          <w:p>
            <w:pPr>
              <w:spacing w:after="0"/>
              <w:rPr>
                <w:sz w:val="9"/>
                <w:szCs w:val="9"/>
                <w:color w:val="auto"/>
              </w:rPr>
            </w:pPr>
          </w:p>
        </w:tc>
        <w:tc>
          <w:tcPr>
            <w:tcW w:w="68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80" w:type="dxa"/>
            <w:vAlign w:val="bottom"/>
            <w:shd w:val="clear" w:color="auto" w:fill="CFF0FC"/>
          </w:tcPr>
          <w:p>
            <w:pPr>
              <w:spacing w:after="0"/>
              <w:rPr>
                <w:sz w:val="9"/>
                <w:szCs w:val="9"/>
                <w:color w:val="auto"/>
              </w:rPr>
            </w:pPr>
          </w:p>
        </w:tc>
        <w:tc>
          <w:tcPr>
            <w:tcW w:w="54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80" w:type="dxa"/>
            <w:vAlign w:val="bottom"/>
            <w:shd w:val="clear" w:color="auto" w:fill="CFF0FC"/>
          </w:tcPr>
          <w:p>
            <w:pPr>
              <w:spacing w:after="0"/>
              <w:rPr>
                <w:sz w:val="9"/>
                <w:szCs w:val="9"/>
                <w:color w:val="auto"/>
              </w:rPr>
            </w:pPr>
          </w:p>
        </w:tc>
        <w:tc>
          <w:tcPr>
            <w:tcW w:w="480" w:type="dxa"/>
            <w:vAlign w:val="bottom"/>
            <w:shd w:val="clear" w:color="auto" w:fill="CFF0FC"/>
          </w:tcPr>
          <w:p>
            <w:pPr>
              <w:jc w:val="right"/>
              <w:spacing w:after="0" w:line="110" w:lineRule="exact"/>
              <w:rPr>
                <w:sz w:val="20"/>
                <w:szCs w:val="20"/>
                <w:color w:val="auto"/>
              </w:rPr>
            </w:pPr>
            <w:r>
              <w:rPr>
                <w:rFonts w:ascii="Times New Roman" w:cs="Times New Roman" w:eastAsia="Times New Roman" w:hAnsi="Times New Roman"/>
                <w:sz w:val="12"/>
                <w:szCs w:val="12"/>
                <w:color w:val="auto"/>
              </w:rPr>
              <w:t>3,957,7</w:t>
            </w:r>
          </w:p>
        </w:tc>
        <w:tc>
          <w:tcPr>
            <w:tcW w:w="220" w:type="dxa"/>
            <w:vAlign w:val="bottom"/>
            <w:shd w:val="clear" w:color="auto" w:fill="CFF0FC"/>
          </w:tcPr>
          <w:p>
            <w:pPr>
              <w:spacing w:after="0"/>
              <w:rPr>
                <w:sz w:val="9"/>
                <w:szCs w:val="9"/>
                <w:color w:val="auto"/>
              </w:rPr>
            </w:pPr>
          </w:p>
        </w:tc>
        <w:tc>
          <w:tcPr>
            <w:tcW w:w="56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80" w:type="dxa"/>
            <w:vAlign w:val="bottom"/>
            <w:shd w:val="clear" w:color="auto" w:fill="CFF0FC"/>
          </w:tcPr>
          <w:p>
            <w:pPr>
              <w:spacing w:after="0"/>
              <w:rPr>
                <w:sz w:val="9"/>
                <w:szCs w:val="9"/>
                <w:color w:val="auto"/>
              </w:rPr>
            </w:pPr>
          </w:p>
        </w:tc>
        <w:tc>
          <w:tcPr>
            <w:tcW w:w="58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140" w:type="dxa"/>
            <w:vAlign w:val="bottom"/>
            <w:shd w:val="clear" w:color="auto" w:fill="CFF0FC"/>
          </w:tcPr>
          <w:p>
            <w:pPr>
              <w:spacing w:after="0"/>
              <w:rPr>
                <w:sz w:val="9"/>
                <w:szCs w:val="9"/>
                <w:color w:val="auto"/>
              </w:rPr>
            </w:pPr>
          </w:p>
        </w:tc>
        <w:tc>
          <w:tcPr>
            <w:tcW w:w="580" w:type="dxa"/>
            <w:vAlign w:val="bottom"/>
            <w:shd w:val="clear" w:color="auto" w:fill="CFF0FC"/>
          </w:tcPr>
          <w:p>
            <w:pPr>
              <w:spacing w:after="0"/>
              <w:rPr>
                <w:sz w:val="9"/>
                <w:szCs w:val="9"/>
                <w:color w:val="auto"/>
              </w:rPr>
            </w:pPr>
          </w:p>
        </w:tc>
        <w:tc>
          <w:tcPr>
            <w:tcW w:w="220" w:type="dxa"/>
            <w:vAlign w:val="bottom"/>
            <w:shd w:val="clear" w:color="auto" w:fill="CFF0FC"/>
          </w:tcPr>
          <w:p>
            <w:pPr>
              <w:spacing w:after="0"/>
              <w:rPr>
                <w:sz w:val="9"/>
                <w:szCs w:val="9"/>
                <w:color w:val="auto"/>
              </w:rPr>
            </w:pPr>
          </w:p>
        </w:tc>
        <w:tc>
          <w:tcPr>
            <w:tcW w:w="100" w:type="dxa"/>
            <w:vAlign w:val="bottom"/>
            <w:shd w:val="clear" w:color="auto" w:fill="CFF0FC"/>
          </w:tcPr>
          <w:p>
            <w:pPr>
              <w:spacing w:after="0"/>
              <w:rPr>
                <w:sz w:val="9"/>
                <w:szCs w:val="9"/>
                <w:color w:val="auto"/>
              </w:rPr>
            </w:pPr>
          </w:p>
        </w:tc>
        <w:tc>
          <w:tcPr>
            <w:tcW w:w="540" w:type="dxa"/>
            <w:vAlign w:val="bottom"/>
            <w:shd w:val="clear" w:color="auto" w:fill="CFF0FC"/>
          </w:tcPr>
          <w:p>
            <w:pPr>
              <w:spacing w:after="0"/>
              <w:rPr>
                <w:sz w:val="9"/>
                <w:szCs w:val="9"/>
                <w:color w:val="auto"/>
              </w:rPr>
            </w:pPr>
          </w:p>
        </w:tc>
        <w:tc>
          <w:tcPr>
            <w:tcW w:w="100" w:type="dxa"/>
            <w:vAlign w:val="bottom"/>
            <w:shd w:val="clear" w:color="auto" w:fill="CFF0FC"/>
          </w:tcPr>
          <w:p>
            <w:pPr>
              <w:spacing w:after="0"/>
              <w:rPr>
                <w:sz w:val="9"/>
                <w:szCs w:val="9"/>
                <w:color w:val="auto"/>
              </w:rPr>
            </w:pPr>
          </w:p>
        </w:tc>
        <w:tc>
          <w:tcPr>
            <w:tcW w:w="0" w:type="dxa"/>
            <w:vAlign w:val="bottom"/>
          </w:tcPr>
          <w:p>
            <w:pPr>
              <w:spacing w:after="0"/>
              <w:rPr>
                <w:sz w:val="1"/>
                <w:szCs w:val="1"/>
                <w:color w:val="auto"/>
              </w:rPr>
            </w:pPr>
          </w:p>
        </w:tc>
      </w:tr>
      <w:tr>
        <w:trPr>
          <w:trHeight w:val="193"/>
        </w:trPr>
        <w:tc>
          <w:tcPr>
            <w:tcW w:w="2760" w:type="dxa"/>
            <w:vAlign w:val="bottom"/>
            <w:shd w:val="clear" w:color="auto" w:fill="CFF0FC"/>
          </w:tcPr>
          <w:p>
            <w:pPr>
              <w:spacing w:after="0"/>
              <w:rPr>
                <w:sz w:val="16"/>
                <w:szCs w:val="16"/>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72</w:t>
            </w:r>
          </w:p>
        </w:tc>
        <w:tc>
          <w:tcPr>
            <w:tcW w:w="240" w:type="dxa"/>
            <w:vAlign w:val="bottom"/>
            <w:shd w:val="clear" w:color="auto" w:fill="CFF0FC"/>
          </w:tcPr>
          <w:p>
            <w:pPr>
              <w:spacing w:after="0"/>
              <w:rPr>
                <w:sz w:val="16"/>
                <w:szCs w:val="16"/>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157,725</w:t>
            </w:r>
          </w:p>
        </w:tc>
        <w:tc>
          <w:tcPr>
            <w:tcW w:w="240" w:type="dxa"/>
            <w:vAlign w:val="bottom"/>
            <w:shd w:val="clear" w:color="auto" w:fill="CFF0FC"/>
          </w:tcPr>
          <w:p>
            <w:pPr>
              <w:spacing w:after="0"/>
              <w:rPr>
                <w:sz w:val="16"/>
                <w:szCs w:val="16"/>
                <w:color w:val="auto"/>
              </w:rPr>
            </w:pPr>
          </w:p>
        </w:tc>
        <w:tc>
          <w:tcPr>
            <w:tcW w:w="320" w:type="dxa"/>
            <w:vAlign w:val="bottom"/>
            <w:shd w:val="clear" w:color="auto" w:fill="CFF0FC"/>
          </w:tcPr>
          <w:p>
            <w:pPr>
              <w:jc w:val="right"/>
              <w:ind w:right="177"/>
              <w:spacing w:after="0"/>
              <w:rPr>
                <w:sz w:val="20"/>
                <w:szCs w:val="20"/>
                <w:color w:val="auto"/>
              </w:rPr>
            </w:pPr>
            <w:r>
              <w:rPr>
                <w:rFonts w:ascii="Times New Roman" w:cs="Times New Roman" w:eastAsia="Times New Roman" w:hAnsi="Times New Roman"/>
                <w:sz w:val="13"/>
                <w:szCs w:val="13"/>
                <w:color w:val="auto"/>
                <w:w w:val="91"/>
              </w:rPr>
              <w:t>$</w:t>
            </w:r>
          </w:p>
        </w:tc>
        <w:tc>
          <w:tcPr>
            <w:tcW w:w="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24</w:t>
            </w:r>
          </w:p>
        </w:tc>
        <w:tc>
          <w:tcPr>
            <w:tcW w:w="240" w:type="dxa"/>
            <w:vAlign w:val="bottom"/>
            <w:shd w:val="clear" w:color="auto" w:fill="CFF0FC"/>
          </w:tcPr>
          <w:p>
            <w:pPr>
              <w:spacing w:after="0"/>
              <w:rPr>
                <w:sz w:val="16"/>
                <w:szCs w:val="16"/>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19,640</w:t>
            </w:r>
          </w:p>
        </w:tc>
        <w:tc>
          <w:tcPr>
            <w:tcW w:w="22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0"/>
                <w:szCs w:val="10"/>
                <w:color w:val="auto"/>
                <w:w w:val="79"/>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2</w:t>
            </w:r>
          </w:p>
        </w:tc>
        <w:tc>
          <w:tcPr>
            <w:tcW w:w="22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w w:val="91"/>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28</w:t>
            </w:r>
          </w:p>
        </w:tc>
        <w:tc>
          <w:tcPr>
            <w:tcW w:w="220" w:type="dxa"/>
            <w:vAlign w:val="bottom"/>
            <w:shd w:val="clear" w:color="auto" w:fill="CFF0FC"/>
          </w:tcPr>
          <w:p>
            <w:pPr>
              <w:spacing w:after="0"/>
              <w:rPr>
                <w:sz w:val="16"/>
                <w:szCs w:val="16"/>
                <w:color w:val="auto"/>
              </w:rPr>
            </w:pPr>
          </w:p>
        </w:tc>
        <w:tc>
          <w:tcPr>
            <w:tcW w:w="7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(8,684 )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w w:val="91"/>
              </w:rPr>
              <w:t>$</w:t>
            </w:r>
          </w:p>
        </w:tc>
        <w:tc>
          <w:tcPr>
            <w:tcW w:w="8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(782,104 )</w:t>
            </w:r>
          </w:p>
        </w:tc>
        <w:tc>
          <w:tcPr>
            <w:tcW w:w="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w:t>
            </w:r>
          </w:p>
        </w:tc>
        <w:tc>
          <w:tcPr>
            <w:tcW w:w="8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(11,444 )</w:t>
            </w: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w w:val="91"/>
              </w:rPr>
              <w:t>$</w:t>
            </w:r>
          </w:p>
        </w:tc>
        <w:tc>
          <w:tcPr>
            <w:tcW w:w="64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3"/>
                <w:szCs w:val="13"/>
                <w:color w:val="auto"/>
              </w:rPr>
              <w:t>(999,234 )</w:t>
            </w:r>
          </w:p>
        </w:tc>
        <w:tc>
          <w:tcPr>
            <w:tcW w:w="0" w:type="dxa"/>
            <w:vAlign w:val="bottom"/>
          </w:tcPr>
          <w:p>
            <w:pPr>
              <w:spacing w:after="0"/>
              <w:rPr>
                <w:sz w:val="1"/>
                <w:szCs w:val="1"/>
                <w:color w:val="auto"/>
              </w:rPr>
            </w:pPr>
          </w:p>
        </w:tc>
      </w:tr>
      <w:tr>
        <w:trPr>
          <w:trHeight w:val="97"/>
        </w:trPr>
        <w:tc>
          <w:tcPr>
            <w:tcW w:w="2760" w:type="dxa"/>
            <w:vAlign w:val="bottom"/>
            <w:tcBorders>
              <w:top w:val="single" w:sz="8" w:color="CFF0FC"/>
            </w:tcBorders>
          </w:tcPr>
          <w:p>
            <w:pPr>
              <w:ind w:left="20"/>
              <w:spacing w:after="0" w:line="98" w:lineRule="exact"/>
              <w:rPr>
                <w:sz w:val="20"/>
                <w:szCs w:val="20"/>
                <w:color w:val="auto"/>
              </w:rPr>
            </w:pPr>
            <w:r>
              <w:rPr>
                <w:rFonts w:ascii="Times New Roman" w:cs="Times New Roman" w:eastAsia="Times New Roman" w:hAnsi="Times New Roman"/>
                <w:sz w:val="10"/>
                <w:szCs w:val="10"/>
                <w:color w:val="auto"/>
              </w:rPr>
              <w:t>Net loss</w:t>
            </w:r>
          </w:p>
        </w:tc>
        <w:tc>
          <w:tcPr>
            <w:tcW w:w="120" w:type="dxa"/>
            <w:vAlign w:val="bottom"/>
            <w:tcBorders>
              <w:top w:val="single" w:sz="8" w:color="auto"/>
            </w:tcBorders>
          </w:tcPr>
          <w:p>
            <w:pPr>
              <w:spacing w:after="0"/>
              <w:rPr>
                <w:sz w:val="8"/>
                <w:szCs w:val="8"/>
                <w:color w:val="auto"/>
              </w:rPr>
            </w:pPr>
          </w:p>
        </w:tc>
        <w:tc>
          <w:tcPr>
            <w:tcW w:w="480" w:type="dxa"/>
            <w:vAlign w:val="bottom"/>
            <w:tcBorders>
              <w:top w:val="single" w:sz="8" w:color="auto"/>
            </w:tcBorders>
          </w:tcPr>
          <w:p>
            <w:pPr>
              <w:jc w:val="right"/>
              <w:spacing w:after="0" w:line="98" w:lineRule="exact"/>
              <w:rPr>
                <w:sz w:val="20"/>
                <w:szCs w:val="20"/>
                <w:color w:val="auto"/>
              </w:rPr>
            </w:pPr>
            <w:r>
              <w:rPr>
                <w:rFonts w:ascii="Times New Roman" w:cs="Times New Roman" w:eastAsia="Times New Roman" w:hAnsi="Times New Roman"/>
                <w:sz w:val="10"/>
                <w:szCs w:val="10"/>
                <w:color w:val="auto"/>
              </w:rPr>
              <w:t>(1,166,6</w:t>
            </w:r>
          </w:p>
        </w:tc>
        <w:tc>
          <w:tcPr>
            <w:tcW w:w="240" w:type="dxa"/>
            <w:vAlign w:val="bottom"/>
            <w:tcBorders>
              <w:top w:val="single" w:sz="8" w:color="CFF0FC"/>
            </w:tcBorders>
          </w:tcPr>
          <w:p>
            <w:pPr>
              <w:spacing w:after="0"/>
              <w:rPr>
                <w:sz w:val="8"/>
                <w:szCs w:val="8"/>
                <w:color w:val="auto"/>
              </w:rPr>
            </w:pPr>
          </w:p>
        </w:tc>
        <w:tc>
          <w:tcPr>
            <w:tcW w:w="700" w:type="dxa"/>
            <w:vAlign w:val="bottom"/>
            <w:tcBorders>
              <w:top w:val="single" w:sz="8" w:color="auto"/>
            </w:tcBorders>
          </w:tcPr>
          <w:p>
            <w:pPr>
              <w:spacing w:after="0"/>
              <w:rPr>
                <w:sz w:val="8"/>
                <w:szCs w:val="8"/>
                <w:color w:val="auto"/>
              </w:rPr>
            </w:pPr>
          </w:p>
        </w:tc>
        <w:tc>
          <w:tcPr>
            <w:tcW w:w="240" w:type="dxa"/>
            <w:vAlign w:val="bottom"/>
            <w:tcBorders>
              <w:top w:val="single" w:sz="8" w:color="CFF0FC"/>
            </w:tcBorders>
          </w:tcPr>
          <w:p>
            <w:pPr>
              <w:spacing w:after="0"/>
              <w:rPr>
                <w:sz w:val="8"/>
                <w:szCs w:val="8"/>
                <w:color w:val="auto"/>
              </w:rPr>
            </w:pPr>
          </w:p>
        </w:tc>
        <w:tc>
          <w:tcPr>
            <w:tcW w:w="320" w:type="dxa"/>
            <w:vAlign w:val="bottom"/>
            <w:tcBorders>
              <w:top w:val="single" w:sz="8" w:color="auto"/>
            </w:tcBorders>
          </w:tcPr>
          <w:p>
            <w:pPr>
              <w:spacing w:after="0"/>
              <w:rPr>
                <w:sz w:val="8"/>
                <w:szCs w:val="8"/>
                <w:color w:val="auto"/>
              </w:rPr>
            </w:pPr>
          </w:p>
        </w:tc>
        <w:tc>
          <w:tcPr>
            <w:tcW w:w="280" w:type="dxa"/>
            <w:vAlign w:val="bottom"/>
            <w:tcBorders>
              <w:top w:val="single" w:sz="8" w:color="auto"/>
            </w:tcBorders>
          </w:tcPr>
          <w:p>
            <w:pPr>
              <w:spacing w:after="0"/>
              <w:rPr>
                <w:sz w:val="8"/>
                <w:szCs w:val="8"/>
                <w:color w:val="auto"/>
              </w:rPr>
            </w:pPr>
          </w:p>
        </w:tc>
        <w:tc>
          <w:tcPr>
            <w:tcW w:w="240" w:type="dxa"/>
            <w:vAlign w:val="bottom"/>
            <w:tcBorders>
              <w:top w:val="single" w:sz="8" w:color="CFF0FC"/>
            </w:tcBorders>
          </w:tcPr>
          <w:p>
            <w:pPr>
              <w:spacing w:after="0"/>
              <w:rPr>
                <w:sz w:val="8"/>
                <w:szCs w:val="8"/>
                <w:color w:val="auto"/>
              </w:rPr>
            </w:pPr>
          </w:p>
        </w:tc>
        <w:tc>
          <w:tcPr>
            <w:tcW w:w="68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80" w:type="dxa"/>
            <w:vAlign w:val="bottom"/>
            <w:tcBorders>
              <w:top w:val="single" w:sz="8" w:color="auto"/>
            </w:tcBorders>
          </w:tcPr>
          <w:p>
            <w:pPr>
              <w:spacing w:after="0"/>
              <w:rPr>
                <w:sz w:val="8"/>
                <w:szCs w:val="8"/>
                <w:color w:val="auto"/>
              </w:rPr>
            </w:pPr>
          </w:p>
        </w:tc>
        <w:tc>
          <w:tcPr>
            <w:tcW w:w="54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80" w:type="dxa"/>
            <w:vAlign w:val="bottom"/>
            <w:tcBorders>
              <w:top w:val="single" w:sz="8" w:color="auto"/>
            </w:tcBorders>
          </w:tcPr>
          <w:p>
            <w:pPr>
              <w:spacing w:after="0"/>
              <w:rPr>
                <w:sz w:val="8"/>
                <w:szCs w:val="8"/>
                <w:color w:val="auto"/>
              </w:rPr>
            </w:pPr>
          </w:p>
        </w:tc>
        <w:tc>
          <w:tcPr>
            <w:tcW w:w="48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56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80" w:type="dxa"/>
            <w:vAlign w:val="bottom"/>
            <w:tcBorders>
              <w:top w:val="single" w:sz="8" w:color="auto"/>
            </w:tcBorders>
          </w:tcPr>
          <w:p>
            <w:pPr>
              <w:spacing w:after="0"/>
              <w:rPr>
                <w:sz w:val="8"/>
                <w:szCs w:val="8"/>
                <w:color w:val="auto"/>
              </w:rPr>
            </w:pPr>
          </w:p>
        </w:tc>
        <w:tc>
          <w:tcPr>
            <w:tcW w:w="58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140" w:type="dxa"/>
            <w:vAlign w:val="bottom"/>
            <w:tcBorders>
              <w:top w:val="single" w:sz="8" w:color="auto"/>
            </w:tcBorders>
          </w:tcPr>
          <w:p>
            <w:pPr>
              <w:spacing w:after="0"/>
              <w:rPr>
                <w:sz w:val="8"/>
                <w:szCs w:val="8"/>
                <w:color w:val="auto"/>
              </w:rPr>
            </w:pPr>
          </w:p>
        </w:tc>
        <w:tc>
          <w:tcPr>
            <w:tcW w:w="580" w:type="dxa"/>
            <w:vAlign w:val="bottom"/>
            <w:tcBorders>
              <w:top w:val="single" w:sz="8" w:color="auto"/>
            </w:tcBorders>
          </w:tcPr>
          <w:p>
            <w:pPr>
              <w:spacing w:after="0"/>
              <w:rPr>
                <w:sz w:val="8"/>
                <w:szCs w:val="8"/>
                <w:color w:val="auto"/>
              </w:rPr>
            </w:pPr>
          </w:p>
        </w:tc>
        <w:tc>
          <w:tcPr>
            <w:tcW w:w="220" w:type="dxa"/>
            <w:vAlign w:val="bottom"/>
            <w:tcBorders>
              <w:top w:val="single" w:sz="8" w:color="CFF0FC"/>
            </w:tcBorders>
          </w:tcPr>
          <w:p>
            <w:pPr>
              <w:spacing w:after="0"/>
              <w:rPr>
                <w:sz w:val="8"/>
                <w:szCs w:val="8"/>
                <w:color w:val="auto"/>
              </w:rPr>
            </w:pPr>
          </w:p>
        </w:tc>
        <w:tc>
          <w:tcPr>
            <w:tcW w:w="100" w:type="dxa"/>
            <w:vAlign w:val="bottom"/>
            <w:tcBorders>
              <w:top w:val="single" w:sz="8" w:color="auto"/>
            </w:tcBorders>
          </w:tcPr>
          <w:p>
            <w:pPr>
              <w:spacing w:after="0"/>
              <w:rPr>
                <w:sz w:val="8"/>
                <w:szCs w:val="8"/>
                <w:color w:val="auto"/>
              </w:rPr>
            </w:pPr>
          </w:p>
        </w:tc>
        <w:tc>
          <w:tcPr>
            <w:tcW w:w="540" w:type="dxa"/>
            <w:vAlign w:val="bottom"/>
            <w:tcBorders>
              <w:top w:val="single" w:sz="8" w:color="auto"/>
            </w:tcBorders>
          </w:tcPr>
          <w:p>
            <w:pPr>
              <w:jc w:val="right"/>
              <w:spacing w:after="0" w:line="98" w:lineRule="exact"/>
              <w:rPr>
                <w:sz w:val="20"/>
                <w:szCs w:val="20"/>
                <w:color w:val="auto"/>
              </w:rPr>
            </w:pPr>
            <w:r>
              <w:rPr>
                <w:rFonts w:ascii="Times New Roman" w:cs="Times New Roman" w:eastAsia="Times New Roman" w:hAnsi="Times New Roman"/>
                <w:sz w:val="10"/>
                <w:szCs w:val="10"/>
                <w:color w:val="auto"/>
              </w:rPr>
              <w:t>(1,166,66</w:t>
            </w:r>
          </w:p>
        </w:tc>
        <w:tc>
          <w:tcPr>
            <w:tcW w:w="100" w:type="dxa"/>
            <w:vAlign w:val="bottom"/>
            <w:tcBorders>
              <w:top w:val="single" w:sz="8" w:color="CFF0FC"/>
            </w:tcBorders>
          </w:tcPr>
          <w:p>
            <w:pPr>
              <w:spacing w:after="0"/>
              <w:rPr>
                <w:sz w:val="8"/>
                <w:szCs w:val="8"/>
                <w:color w:val="auto"/>
              </w:rPr>
            </w:pPr>
          </w:p>
        </w:tc>
        <w:tc>
          <w:tcPr>
            <w:tcW w:w="0" w:type="dxa"/>
            <w:vAlign w:val="bottom"/>
          </w:tcPr>
          <w:p>
            <w:pPr>
              <w:spacing w:after="0"/>
              <w:rPr>
                <w:sz w:val="1"/>
                <w:szCs w:val="1"/>
                <w:color w:val="auto"/>
              </w:rPr>
            </w:pPr>
          </w:p>
        </w:tc>
      </w:tr>
      <w:tr>
        <w:trPr>
          <w:trHeight w:val="153"/>
        </w:trPr>
        <w:tc>
          <w:tcPr>
            <w:tcW w:w="276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720" w:type="dxa"/>
            <w:vAlign w:val="bottom"/>
            <w:gridSpan w:val="2"/>
          </w:tcPr>
          <w:p>
            <w:pPr>
              <w:jc w:val="right"/>
              <w:ind w:right="180"/>
              <w:spacing w:after="0"/>
              <w:rPr>
                <w:sz w:val="20"/>
                <w:szCs w:val="20"/>
                <w:color w:val="auto"/>
              </w:rPr>
            </w:pPr>
            <w:r>
              <w:rPr>
                <w:rFonts w:ascii="Times New Roman" w:cs="Times New Roman" w:eastAsia="Times New Roman" w:hAnsi="Times New Roman"/>
                <w:sz w:val="13"/>
                <w:szCs w:val="13"/>
                <w:color w:val="auto"/>
              </w:rPr>
              <w:t>61 )</w:t>
            </w: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3"/>
                <w:szCs w:val="13"/>
                <w:color w:val="auto"/>
              </w:rPr>
              <w:t>1 )</w:t>
            </w:r>
          </w:p>
        </w:tc>
        <w:tc>
          <w:tcPr>
            <w:tcW w:w="0" w:type="dxa"/>
            <w:vAlign w:val="bottom"/>
          </w:tcPr>
          <w:p>
            <w:pPr>
              <w:spacing w:after="0"/>
              <w:rPr>
                <w:sz w:val="1"/>
                <w:szCs w:val="1"/>
                <w:color w:val="auto"/>
              </w:rPr>
            </w:pPr>
          </w:p>
        </w:tc>
      </w:tr>
      <w:tr>
        <w:trPr>
          <w:trHeight w:val="135"/>
        </w:trPr>
        <w:tc>
          <w:tcPr>
            <w:tcW w:w="2880" w:type="dxa"/>
            <w:vAlign w:val="bottom"/>
            <w:gridSpan w:val="2"/>
            <w:shd w:val="clear" w:color="auto" w:fill="CFF0FC"/>
          </w:tcPr>
          <w:p>
            <w:pPr>
              <w:ind w:left="20"/>
              <w:spacing w:after="0" w:line="135" w:lineRule="exact"/>
              <w:rPr>
                <w:sz w:val="20"/>
                <w:szCs w:val="20"/>
                <w:color w:val="auto"/>
              </w:rPr>
            </w:pPr>
            <w:r>
              <w:rPr>
                <w:rFonts w:ascii="Times New Roman" w:cs="Times New Roman" w:eastAsia="Times New Roman" w:hAnsi="Times New Roman"/>
                <w:sz w:val="13"/>
                <w:szCs w:val="13"/>
                <w:color w:val="auto"/>
              </w:rPr>
              <w:t>Other comprehensive loss</w:t>
            </w:r>
          </w:p>
        </w:tc>
        <w:tc>
          <w:tcPr>
            <w:tcW w:w="720" w:type="dxa"/>
            <w:vAlign w:val="bottom"/>
            <w:gridSpan w:val="2"/>
            <w:shd w:val="clear" w:color="auto" w:fill="CFF0FC"/>
          </w:tcPr>
          <w:p>
            <w:pPr>
              <w:jc w:val="right"/>
              <w:ind w:right="180"/>
              <w:spacing w:after="0" w:line="135" w:lineRule="exact"/>
              <w:rPr>
                <w:sz w:val="20"/>
                <w:szCs w:val="20"/>
                <w:color w:val="auto"/>
              </w:rPr>
            </w:pPr>
            <w:r>
              <w:rPr>
                <w:rFonts w:ascii="Times New Roman" w:cs="Times New Roman" w:eastAsia="Times New Roman" w:hAnsi="Times New Roman"/>
                <w:sz w:val="13"/>
                <w:szCs w:val="13"/>
                <w:color w:val="auto"/>
              </w:rPr>
              <w:t>(3,940 )</w:t>
            </w:r>
          </w:p>
        </w:tc>
        <w:tc>
          <w:tcPr>
            <w:tcW w:w="70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1"/>
                <w:szCs w:val="11"/>
                <w:color w:val="auto"/>
              </w:rPr>
            </w:pPr>
          </w:p>
        </w:tc>
        <w:tc>
          <w:tcPr>
            <w:tcW w:w="320" w:type="dxa"/>
            <w:vAlign w:val="bottom"/>
            <w:shd w:val="clear" w:color="auto" w:fill="CFF0FC"/>
          </w:tcPr>
          <w:p>
            <w:pPr>
              <w:spacing w:after="0"/>
              <w:rPr>
                <w:sz w:val="11"/>
                <w:szCs w:val="11"/>
                <w:color w:val="auto"/>
              </w:rPr>
            </w:pPr>
          </w:p>
        </w:tc>
        <w:tc>
          <w:tcPr>
            <w:tcW w:w="2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1"/>
                <w:szCs w:val="11"/>
                <w:color w:val="auto"/>
              </w:rPr>
            </w:pPr>
          </w:p>
        </w:tc>
        <w:tc>
          <w:tcPr>
            <w:tcW w:w="6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54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56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58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1"/>
                <w:szCs w:val="11"/>
                <w:color w:val="auto"/>
              </w:rPr>
            </w:pPr>
          </w:p>
        </w:tc>
        <w:tc>
          <w:tcPr>
            <w:tcW w:w="140" w:type="dxa"/>
            <w:vAlign w:val="bottom"/>
            <w:shd w:val="clear" w:color="auto" w:fill="CFF0FC"/>
          </w:tcPr>
          <w:p>
            <w:pPr>
              <w:spacing w:after="0"/>
              <w:rPr>
                <w:sz w:val="11"/>
                <w:szCs w:val="11"/>
                <w:color w:val="auto"/>
              </w:rPr>
            </w:pPr>
          </w:p>
        </w:tc>
        <w:tc>
          <w:tcPr>
            <w:tcW w:w="800" w:type="dxa"/>
            <w:vAlign w:val="bottom"/>
            <w:gridSpan w:val="2"/>
            <w:shd w:val="clear" w:color="auto" w:fill="CFF0FC"/>
          </w:tcPr>
          <w:p>
            <w:pPr>
              <w:jc w:val="right"/>
              <w:ind w:right="160"/>
              <w:spacing w:after="0" w:line="135" w:lineRule="exact"/>
              <w:rPr>
                <w:sz w:val="20"/>
                <w:szCs w:val="20"/>
                <w:color w:val="auto"/>
              </w:rPr>
            </w:pPr>
            <w:r>
              <w:rPr>
                <w:rFonts w:ascii="Times New Roman" w:cs="Times New Roman" w:eastAsia="Times New Roman" w:hAnsi="Times New Roman"/>
                <w:sz w:val="13"/>
                <w:szCs w:val="13"/>
                <w:color w:val="auto"/>
              </w:rPr>
              <w:t>(3,940 )</w:t>
            </w:r>
          </w:p>
        </w:tc>
        <w:tc>
          <w:tcPr>
            <w:tcW w:w="100" w:type="dxa"/>
            <w:vAlign w:val="bottom"/>
            <w:shd w:val="clear" w:color="auto" w:fill="CFF0FC"/>
          </w:tcPr>
          <w:p>
            <w:pPr>
              <w:spacing w:after="0"/>
              <w:rPr>
                <w:sz w:val="11"/>
                <w:szCs w:val="11"/>
                <w:color w:val="auto"/>
              </w:rPr>
            </w:pPr>
          </w:p>
        </w:tc>
        <w:tc>
          <w:tcPr>
            <w:tcW w:w="540" w:type="dxa"/>
            <w:vAlign w:val="bottom"/>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100" w:type="dxa"/>
            <w:vAlign w:val="bottom"/>
            <w:shd w:val="clear" w:color="auto" w:fill="CFF0FC"/>
          </w:tcPr>
          <w:p>
            <w:pPr>
              <w:spacing w:after="0"/>
              <w:rPr>
                <w:sz w:val="11"/>
                <w:szCs w:val="11"/>
                <w:color w:val="auto"/>
              </w:rPr>
            </w:pPr>
          </w:p>
        </w:tc>
        <w:tc>
          <w:tcPr>
            <w:tcW w:w="0" w:type="dxa"/>
            <w:vAlign w:val="bottom"/>
          </w:tcPr>
          <w:p>
            <w:pPr>
              <w:spacing w:after="0"/>
              <w:rPr>
                <w:sz w:val="1"/>
                <w:szCs w:val="1"/>
                <w:color w:val="auto"/>
              </w:rPr>
            </w:pPr>
          </w:p>
        </w:tc>
      </w:tr>
      <w:tr>
        <w:trPr>
          <w:trHeight w:val="117"/>
        </w:trPr>
        <w:tc>
          <w:tcPr>
            <w:tcW w:w="2880" w:type="dxa"/>
            <w:vAlign w:val="bottom"/>
            <w:gridSpan w:val="2"/>
          </w:tcPr>
          <w:p>
            <w:pPr>
              <w:ind w:left="20"/>
              <w:spacing w:after="0" w:line="117" w:lineRule="exact"/>
              <w:rPr>
                <w:sz w:val="20"/>
                <w:szCs w:val="20"/>
                <w:color w:val="auto"/>
              </w:rPr>
            </w:pPr>
            <w:r>
              <w:rPr>
                <w:rFonts w:ascii="Times New Roman" w:cs="Times New Roman" w:eastAsia="Times New Roman" w:hAnsi="Times New Roman"/>
                <w:sz w:val="13"/>
                <w:szCs w:val="13"/>
                <w:color w:val="auto"/>
              </w:rPr>
              <w:t>Par value adjustment for class A and B common</w:t>
            </w: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tcPr>
          <w:p>
            <w:pPr>
              <w:ind w:left="20"/>
              <w:spacing w:after="0"/>
              <w:rPr>
                <w:sz w:val="20"/>
                <w:szCs w:val="20"/>
                <w:color w:val="auto"/>
              </w:rPr>
            </w:pPr>
            <w:r>
              <w:rPr>
                <w:rFonts w:ascii="Times New Roman" w:cs="Times New Roman" w:eastAsia="Times New Roman" w:hAnsi="Times New Roman"/>
                <w:sz w:val="13"/>
                <w:szCs w:val="13"/>
                <w:color w:val="auto"/>
              </w:rPr>
              <w:t>stock issued upon stock split</w:t>
            </w: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157</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18</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700" w:type="dxa"/>
            <w:vAlign w:val="bottom"/>
            <w:gridSpan w:val="2"/>
          </w:tcPr>
          <w:p>
            <w:pPr>
              <w:jc w:val="right"/>
              <w:ind w:right="160"/>
              <w:spacing w:after="0"/>
              <w:rPr>
                <w:sz w:val="20"/>
                <w:szCs w:val="20"/>
                <w:color w:val="auto"/>
              </w:rPr>
            </w:pPr>
            <w:r>
              <w:rPr>
                <w:rFonts w:ascii="Times New Roman" w:cs="Times New Roman" w:eastAsia="Times New Roman" w:hAnsi="Times New Roman"/>
                <w:sz w:val="13"/>
                <w:szCs w:val="13"/>
                <w:color w:val="auto"/>
              </w:rPr>
              <w:t>(175 )</w:t>
            </w: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shd w:val="clear" w:color="auto" w:fill="CFF0FC"/>
          </w:tcPr>
          <w:p>
            <w:pPr>
              <w:ind w:left="20"/>
              <w:spacing w:after="0" w:line="117" w:lineRule="exact"/>
              <w:rPr>
                <w:sz w:val="20"/>
                <w:szCs w:val="20"/>
                <w:color w:val="auto"/>
              </w:rPr>
            </w:pPr>
            <w:r>
              <w:rPr>
                <w:rFonts w:ascii="Times New Roman" w:cs="Times New Roman" w:eastAsia="Times New Roman" w:hAnsi="Times New Roman"/>
                <w:sz w:val="13"/>
                <w:szCs w:val="13"/>
                <w:color w:val="auto"/>
              </w:rPr>
              <w:t>Retirement of treasury stock</w:t>
            </w: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70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320" w:type="dxa"/>
            <w:vAlign w:val="bottom"/>
            <w:shd w:val="clear" w:color="auto" w:fill="CFF0FC"/>
          </w:tcPr>
          <w:p>
            <w:pPr>
              <w:spacing w:after="0"/>
              <w:rPr>
                <w:sz w:val="10"/>
                <w:szCs w:val="10"/>
                <w:color w:val="auto"/>
              </w:rPr>
            </w:pPr>
          </w:p>
        </w:tc>
        <w:tc>
          <w:tcPr>
            <w:tcW w:w="2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jc w:val="right"/>
              <w:spacing w:after="0" w:line="117" w:lineRule="exact"/>
              <w:rPr>
                <w:sz w:val="20"/>
                <w:szCs w:val="20"/>
                <w:color w:val="auto"/>
              </w:rPr>
            </w:pPr>
            <w:r>
              <w:rPr>
                <w:rFonts w:ascii="Times New Roman" w:cs="Times New Roman" w:eastAsia="Times New Roman" w:hAnsi="Times New Roman"/>
                <w:sz w:val="13"/>
                <w:szCs w:val="13"/>
                <w:color w:val="auto"/>
              </w:rPr>
              <w:t>(781,11</w:t>
            </w:r>
          </w:p>
        </w:tc>
        <w:tc>
          <w:tcPr>
            <w:tcW w:w="220" w:type="dxa"/>
            <w:vAlign w:val="bottom"/>
            <w:shd w:val="clear" w:color="auto" w:fill="CFF0FC"/>
          </w:tcPr>
          <w:p>
            <w:pPr>
              <w:spacing w:after="0"/>
              <w:rPr>
                <w:sz w:val="10"/>
                <w:szCs w:val="10"/>
                <w:color w:val="auto"/>
              </w:rPr>
            </w:pPr>
          </w:p>
        </w:tc>
        <w:tc>
          <w:tcPr>
            <w:tcW w:w="56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4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760" w:type="dxa"/>
            <w:vAlign w:val="bottom"/>
            <w:shd w:val="clear" w:color="auto" w:fill="CFF0FC"/>
          </w:tcPr>
          <w:p>
            <w:pPr>
              <w:spacing w:after="0"/>
              <w:rPr>
                <w:sz w:val="13"/>
                <w:szCs w:val="13"/>
                <w:color w:val="auto"/>
              </w:rPr>
            </w:pPr>
          </w:p>
        </w:tc>
        <w:tc>
          <w:tcPr>
            <w:tcW w:w="12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3"/>
                <w:szCs w:val="13"/>
                <w:color w:val="auto"/>
              </w:rPr>
            </w:pPr>
          </w:p>
        </w:tc>
        <w:tc>
          <w:tcPr>
            <w:tcW w:w="94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3"/>
                <w:szCs w:val="13"/>
                <w:color w:val="auto"/>
              </w:rPr>
              <w:t>(8,684 )</w:t>
            </w:r>
          </w:p>
        </w:tc>
        <w:tc>
          <w:tcPr>
            <w:tcW w:w="320" w:type="dxa"/>
            <w:vAlign w:val="bottom"/>
            <w:shd w:val="clear" w:color="auto" w:fill="CFF0FC"/>
          </w:tcPr>
          <w:p>
            <w:pPr>
              <w:spacing w:after="0"/>
              <w:rPr>
                <w:sz w:val="13"/>
                <w:szCs w:val="13"/>
                <w:color w:val="auto"/>
              </w:rPr>
            </w:pPr>
          </w:p>
        </w:tc>
        <w:tc>
          <w:tcPr>
            <w:tcW w:w="52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3"/>
                <w:szCs w:val="13"/>
                <w:color w:val="auto"/>
              </w:rPr>
              <w:t>(9 )</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3"/>
                <w:szCs w:val="13"/>
                <w:color w:val="auto"/>
              </w:rPr>
              <w:t>4 )</w:t>
            </w: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8,684</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782,104</w:t>
            </w:r>
          </w:p>
        </w:tc>
        <w:tc>
          <w:tcPr>
            <w:tcW w:w="22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64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3"/>
                <w:szCs w:val="13"/>
                <w:color w:val="auto"/>
              </w:rPr>
              <w:t>(981 )</w:t>
            </w:r>
          </w:p>
        </w:tc>
        <w:tc>
          <w:tcPr>
            <w:tcW w:w="0" w:type="dxa"/>
            <w:vAlign w:val="bottom"/>
          </w:tcPr>
          <w:p>
            <w:pPr>
              <w:spacing w:after="0"/>
              <w:rPr>
                <w:sz w:val="1"/>
                <w:szCs w:val="1"/>
                <w:color w:val="auto"/>
              </w:rPr>
            </w:pPr>
          </w:p>
        </w:tc>
      </w:tr>
      <w:tr>
        <w:trPr>
          <w:trHeight w:val="117"/>
        </w:trPr>
        <w:tc>
          <w:tcPr>
            <w:tcW w:w="2880" w:type="dxa"/>
            <w:vAlign w:val="bottom"/>
            <w:gridSpan w:val="2"/>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upon exercise</w:t>
            </w: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tcPr>
          <w:p>
            <w:pPr>
              <w:ind w:left="20"/>
              <w:spacing w:after="0"/>
              <w:rPr>
                <w:sz w:val="20"/>
                <w:szCs w:val="20"/>
                <w:color w:val="auto"/>
              </w:rPr>
            </w:pPr>
            <w:r>
              <w:rPr>
                <w:rFonts w:ascii="Times New Roman" w:cs="Times New Roman" w:eastAsia="Times New Roman" w:hAnsi="Times New Roman"/>
                <w:sz w:val="13"/>
                <w:szCs w:val="13"/>
                <w:color w:val="auto"/>
              </w:rPr>
              <w:t>of stock options</w:t>
            </w: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184,287</w:t>
            </w:r>
          </w:p>
        </w:tc>
        <w:tc>
          <w:tcPr>
            <w:tcW w:w="240" w:type="dxa"/>
            <w:vAlign w:val="bottom"/>
          </w:tcPr>
          <w:p>
            <w:pPr>
              <w:spacing w:after="0"/>
              <w:rPr>
                <w:sz w:val="13"/>
                <w:szCs w:val="13"/>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7,826</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2</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184,285</w:t>
            </w:r>
          </w:p>
        </w:tc>
        <w:tc>
          <w:tcPr>
            <w:tcW w:w="220" w:type="dxa"/>
            <w:vAlign w:val="bottom"/>
          </w:tcPr>
          <w:p>
            <w:pPr>
              <w:spacing w:after="0"/>
              <w:rPr>
                <w:sz w:val="13"/>
                <w:szCs w:val="13"/>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shd w:val="clear" w:color="auto" w:fill="CFF0FC"/>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under employee</w:t>
            </w: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70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320" w:type="dxa"/>
            <w:vAlign w:val="bottom"/>
            <w:shd w:val="clear" w:color="auto" w:fill="CFF0FC"/>
          </w:tcPr>
          <w:p>
            <w:pPr>
              <w:spacing w:after="0"/>
              <w:rPr>
                <w:sz w:val="10"/>
                <w:szCs w:val="10"/>
                <w:color w:val="auto"/>
              </w:rPr>
            </w:pPr>
          </w:p>
        </w:tc>
        <w:tc>
          <w:tcPr>
            <w:tcW w:w="2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56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4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stock purchase plan</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4,304</w:t>
            </w:r>
          </w:p>
        </w:tc>
        <w:tc>
          <w:tcPr>
            <w:tcW w:w="240" w:type="dxa"/>
            <w:vAlign w:val="bottom"/>
            <w:shd w:val="clear" w:color="auto" w:fill="CFF0FC"/>
          </w:tcPr>
          <w:p>
            <w:pPr>
              <w:spacing w:after="0"/>
              <w:rPr>
                <w:sz w:val="13"/>
                <w:szCs w:val="13"/>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94</w:t>
            </w:r>
          </w:p>
        </w:tc>
        <w:tc>
          <w:tcPr>
            <w:tcW w:w="240" w:type="dxa"/>
            <w:vAlign w:val="bottom"/>
            <w:shd w:val="clear" w:color="auto" w:fill="CFF0FC"/>
          </w:tcPr>
          <w:p>
            <w:pPr>
              <w:spacing w:after="0"/>
              <w:rPr>
                <w:sz w:val="13"/>
                <w:szCs w:val="13"/>
                <w:color w:val="auto"/>
              </w:rPr>
            </w:pPr>
          </w:p>
        </w:tc>
        <w:tc>
          <w:tcPr>
            <w:tcW w:w="320" w:type="dxa"/>
            <w:vAlign w:val="bottom"/>
            <w:shd w:val="clear" w:color="auto" w:fill="CFF0FC"/>
          </w:tcPr>
          <w:p>
            <w:pPr>
              <w:spacing w:after="0"/>
              <w:rPr>
                <w:sz w:val="13"/>
                <w:szCs w:val="13"/>
                <w:color w:val="auto"/>
              </w:rPr>
            </w:pPr>
          </w:p>
        </w:tc>
        <w:tc>
          <w:tcPr>
            <w:tcW w:w="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shd w:val="clear" w:color="auto" w:fill="CFF0FC"/>
          </w:tcPr>
          <w:p>
            <w:pPr>
              <w:spacing w:after="0"/>
              <w:rPr>
                <w:sz w:val="13"/>
                <w:szCs w:val="13"/>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4,304</w:t>
            </w:r>
          </w:p>
        </w:tc>
        <w:tc>
          <w:tcPr>
            <w:tcW w:w="220" w:type="dxa"/>
            <w:vAlign w:val="bottom"/>
            <w:shd w:val="clear" w:color="auto" w:fill="CFF0FC"/>
          </w:tcPr>
          <w:p>
            <w:pPr>
              <w:spacing w:after="0"/>
              <w:rPr>
                <w:sz w:val="13"/>
                <w:szCs w:val="13"/>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upon vesting of</w:t>
            </w: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tcPr>
          <w:p>
            <w:pPr>
              <w:ind w:left="20"/>
              <w:spacing w:after="0"/>
              <w:rPr>
                <w:sz w:val="20"/>
                <w:szCs w:val="20"/>
                <w:color w:val="auto"/>
              </w:rPr>
            </w:pPr>
            <w:r>
              <w:rPr>
                <w:rFonts w:ascii="Times New Roman" w:cs="Times New Roman" w:eastAsia="Times New Roman" w:hAnsi="Times New Roman"/>
                <w:sz w:val="13"/>
                <w:szCs w:val="13"/>
                <w:color w:val="auto"/>
              </w:rPr>
              <w:t>restricted stock units, net of withholding taxes</w:t>
            </w:r>
          </w:p>
        </w:tc>
        <w:tc>
          <w:tcPr>
            <w:tcW w:w="720" w:type="dxa"/>
            <w:vAlign w:val="bottom"/>
            <w:gridSpan w:val="2"/>
          </w:tcPr>
          <w:p>
            <w:pPr>
              <w:jc w:val="right"/>
              <w:ind w:right="180"/>
              <w:spacing w:after="0"/>
              <w:rPr>
                <w:sz w:val="20"/>
                <w:szCs w:val="20"/>
                <w:color w:val="auto"/>
              </w:rPr>
            </w:pPr>
            <w:r>
              <w:rPr>
                <w:rFonts w:ascii="Times New Roman" w:cs="Times New Roman" w:eastAsia="Times New Roman" w:hAnsi="Times New Roman"/>
                <w:sz w:val="13"/>
                <w:szCs w:val="13"/>
                <w:color w:val="auto"/>
              </w:rPr>
              <w:t>(2,207 )</w:t>
            </w: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545</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700" w:type="dxa"/>
            <w:vAlign w:val="bottom"/>
            <w:gridSpan w:val="2"/>
          </w:tcPr>
          <w:p>
            <w:pPr>
              <w:jc w:val="right"/>
              <w:ind w:right="160"/>
              <w:spacing w:after="0"/>
              <w:rPr>
                <w:sz w:val="20"/>
                <w:szCs w:val="20"/>
                <w:color w:val="auto"/>
              </w:rPr>
            </w:pPr>
            <w:r>
              <w:rPr>
                <w:rFonts w:ascii="Times New Roman" w:cs="Times New Roman" w:eastAsia="Times New Roman" w:hAnsi="Times New Roman"/>
                <w:sz w:val="13"/>
                <w:szCs w:val="13"/>
                <w:color w:val="auto"/>
              </w:rPr>
              <w:t>(2,207 )</w:t>
            </w: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shd w:val="clear" w:color="auto" w:fill="CFF0FC"/>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under public</w:t>
            </w:r>
          </w:p>
        </w:tc>
        <w:tc>
          <w:tcPr>
            <w:tcW w:w="480" w:type="dxa"/>
            <w:vAlign w:val="bottom"/>
            <w:shd w:val="clear" w:color="auto" w:fill="CFF0FC"/>
          </w:tcPr>
          <w:p>
            <w:pPr>
              <w:jc w:val="right"/>
              <w:spacing w:after="0" w:line="117" w:lineRule="exact"/>
              <w:rPr>
                <w:sz w:val="20"/>
                <w:szCs w:val="20"/>
                <w:color w:val="auto"/>
              </w:rPr>
            </w:pPr>
            <w:r>
              <w:rPr>
                <w:rFonts w:ascii="Times New Roman" w:cs="Times New Roman" w:eastAsia="Times New Roman" w:hAnsi="Times New Roman"/>
                <w:sz w:val="13"/>
                <w:szCs w:val="13"/>
                <w:color w:val="auto"/>
              </w:rPr>
              <w:t>16,329,</w:t>
            </w:r>
          </w:p>
        </w:tc>
        <w:tc>
          <w:tcPr>
            <w:tcW w:w="240" w:type="dxa"/>
            <w:vAlign w:val="bottom"/>
            <w:shd w:val="clear" w:color="auto" w:fill="CFF0FC"/>
          </w:tcPr>
          <w:p>
            <w:pPr>
              <w:spacing w:after="0"/>
              <w:rPr>
                <w:sz w:val="10"/>
                <w:szCs w:val="10"/>
                <w:color w:val="auto"/>
              </w:rPr>
            </w:pPr>
          </w:p>
        </w:tc>
        <w:tc>
          <w:tcPr>
            <w:tcW w:w="70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320" w:type="dxa"/>
            <w:vAlign w:val="bottom"/>
            <w:shd w:val="clear" w:color="auto" w:fill="CFF0FC"/>
          </w:tcPr>
          <w:p>
            <w:pPr>
              <w:spacing w:after="0"/>
              <w:rPr>
                <w:sz w:val="10"/>
                <w:szCs w:val="10"/>
                <w:color w:val="auto"/>
              </w:rPr>
            </w:pPr>
          </w:p>
        </w:tc>
        <w:tc>
          <w:tcPr>
            <w:tcW w:w="2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jc w:val="right"/>
              <w:spacing w:after="0" w:line="117" w:lineRule="exact"/>
              <w:rPr>
                <w:sz w:val="20"/>
                <w:szCs w:val="20"/>
                <w:color w:val="auto"/>
              </w:rPr>
            </w:pPr>
            <w:r>
              <w:rPr>
                <w:rFonts w:ascii="Times New Roman" w:cs="Times New Roman" w:eastAsia="Times New Roman" w:hAnsi="Times New Roman"/>
                <w:sz w:val="13"/>
                <w:szCs w:val="13"/>
                <w:color w:val="auto"/>
              </w:rPr>
              <w:t>16,329,</w:t>
            </w:r>
          </w:p>
        </w:tc>
        <w:tc>
          <w:tcPr>
            <w:tcW w:w="220" w:type="dxa"/>
            <w:vAlign w:val="bottom"/>
            <w:shd w:val="clear" w:color="auto" w:fill="CFF0FC"/>
          </w:tcPr>
          <w:p>
            <w:pPr>
              <w:spacing w:after="0"/>
              <w:rPr>
                <w:sz w:val="10"/>
                <w:szCs w:val="10"/>
                <w:color w:val="auto"/>
              </w:rPr>
            </w:pPr>
          </w:p>
        </w:tc>
        <w:tc>
          <w:tcPr>
            <w:tcW w:w="56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40" w:type="dxa"/>
            <w:vAlign w:val="bottom"/>
            <w:shd w:val="clear" w:color="auto" w:fill="CFF0FC"/>
          </w:tcPr>
          <w:p>
            <w:pPr>
              <w:spacing w:after="0"/>
              <w:rPr>
                <w:sz w:val="10"/>
                <w:szCs w:val="10"/>
                <w:color w:val="auto"/>
              </w:rPr>
            </w:pPr>
          </w:p>
        </w:tc>
        <w:tc>
          <w:tcPr>
            <w:tcW w:w="5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3"/>
                <w:szCs w:val="13"/>
                <w:color w:val="auto"/>
              </w:rPr>
              <w:t>offerings, net of issuance costs</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857</w:t>
            </w:r>
          </w:p>
        </w:tc>
        <w:tc>
          <w:tcPr>
            <w:tcW w:w="240" w:type="dxa"/>
            <w:vAlign w:val="bottom"/>
            <w:shd w:val="clear" w:color="auto" w:fill="CFF0FC"/>
          </w:tcPr>
          <w:p>
            <w:pPr>
              <w:spacing w:after="0"/>
              <w:rPr>
                <w:sz w:val="13"/>
                <w:szCs w:val="13"/>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52,309</w:t>
            </w:r>
          </w:p>
        </w:tc>
        <w:tc>
          <w:tcPr>
            <w:tcW w:w="240" w:type="dxa"/>
            <w:vAlign w:val="bottom"/>
            <w:shd w:val="clear" w:color="auto" w:fill="CFF0FC"/>
          </w:tcPr>
          <w:p>
            <w:pPr>
              <w:spacing w:after="0"/>
              <w:rPr>
                <w:sz w:val="13"/>
                <w:szCs w:val="13"/>
                <w:color w:val="auto"/>
              </w:rPr>
            </w:pPr>
          </w:p>
        </w:tc>
        <w:tc>
          <w:tcPr>
            <w:tcW w:w="320" w:type="dxa"/>
            <w:vAlign w:val="bottom"/>
            <w:shd w:val="clear" w:color="auto" w:fill="CFF0FC"/>
          </w:tcPr>
          <w:p>
            <w:pPr>
              <w:spacing w:after="0"/>
              <w:rPr>
                <w:sz w:val="13"/>
                <w:szCs w:val="13"/>
                <w:color w:val="auto"/>
              </w:rPr>
            </w:pPr>
          </w:p>
        </w:tc>
        <w:tc>
          <w:tcPr>
            <w:tcW w:w="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50</w:t>
            </w:r>
          </w:p>
        </w:tc>
        <w:tc>
          <w:tcPr>
            <w:tcW w:w="240" w:type="dxa"/>
            <w:vAlign w:val="bottom"/>
            <w:shd w:val="clear" w:color="auto" w:fill="CFF0FC"/>
          </w:tcPr>
          <w:p>
            <w:pPr>
              <w:spacing w:after="0"/>
              <w:rPr>
                <w:sz w:val="13"/>
                <w:szCs w:val="13"/>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807</w:t>
            </w:r>
          </w:p>
        </w:tc>
        <w:tc>
          <w:tcPr>
            <w:tcW w:w="220" w:type="dxa"/>
            <w:vAlign w:val="bottom"/>
            <w:shd w:val="clear" w:color="auto" w:fill="CFF0FC"/>
          </w:tcPr>
          <w:p>
            <w:pPr>
              <w:spacing w:after="0"/>
              <w:rPr>
                <w:sz w:val="13"/>
                <w:szCs w:val="13"/>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17"/>
        </w:trPr>
        <w:tc>
          <w:tcPr>
            <w:tcW w:w="2880" w:type="dxa"/>
            <w:vAlign w:val="bottom"/>
            <w:gridSpan w:val="2"/>
          </w:tcPr>
          <w:p>
            <w:pPr>
              <w:ind w:left="20"/>
              <w:spacing w:after="0" w:line="117" w:lineRule="exact"/>
              <w:rPr>
                <w:sz w:val="20"/>
                <w:szCs w:val="20"/>
                <w:color w:val="auto"/>
              </w:rPr>
            </w:pPr>
            <w:r>
              <w:rPr>
                <w:rFonts w:ascii="Times New Roman" w:cs="Times New Roman" w:eastAsia="Times New Roman" w:hAnsi="Times New Roman"/>
                <w:sz w:val="13"/>
                <w:szCs w:val="13"/>
                <w:color w:val="auto"/>
              </w:rPr>
              <w:t>Issuance of class A common stock upon</w:t>
            </w: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53"/>
        </w:trPr>
        <w:tc>
          <w:tcPr>
            <w:tcW w:w="2880" w:type="dxa"/>
            <w:vAlign w:val="bottom"/>
            <w:gridSpan w:val="2"/>
          </w:tcPr>
          <w:p>
            <w:pPr>
              <w:ind w:left="20"/>
              <w:spacing w:after="0"/>
              <w:rPr>
                <w:sz w:val="20"/>
                <w:szCs w:val="20"/>
                <w:color w:val="auto"/>
              </w:rPr>
            </w:pPr>
            <w:r>
              <w:rPr>
                <w:rFonts w:ascii="Times New Roman" w:cs="Times New Roman" w:eastAsia="Times New Roman" w:hAnsi="Times New Roman"/>
                <w:sz w:val="13"/>
                <w:szCs w:val="13"/>
                <w:color w:val="auto"/>
              </w:rPr>
              <w:t>conversions of convertible senior notes</w:t>
            </w: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645,164</w:t>
            </w:r>
          </w:p>
        </w:tc>
        <w:tc>
          <w:tcPr>
            <w:tcW w:w="240" w:type="dxa"/>
            <w:vAlign w:val="bottom"/>
          </w:tcPr>
          <w:p>
            <w:pPr>
              <w:spacing w:after="0"/>
              <w:rPr>
                <w:sz w:val="13"/>
                <w:szCs w:val="13"/>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16,323</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2</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645,162</w:t>
            </w:r>
          </w:p>
        </w:tc>
        <w:tc>
          <w:tcPr>
            <w:tcW w:w="220" w:type="dxa"/>
            <w:vAlign w:val="bottom"/>
          </w:tcPr>
          <w:p>
            <w:pPr>
              <w:spacing w:after="0"/>
              <w:rPr>
                <w:sz w:val="13"/>
                <w:szCs w:val="13"/>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35"/>
        </w:trPr>
        <w:tc>
          <w:tcPr>
            <w:tcW w:w="2760" w:type="dxa"/>
            <w:vAlign w:val="bottom"/>
            <w:tcBorders>
              <w:bottom w:val="single" w:sz="8" w:color="CFF0FC"/>
            </w:tcBorders>
            <w:shd w:val="clear" w:color="auto" w:fill="CFF0FC"/>
          </w:tcPr>
          <w:p>
            <w:pPr>
              <w:ind w:left="20"/>
              <w:spacing w:after="0" w:line="135" w:lineRule="exact"/>
              <w:rPr>
                <w:sz w:val="20"/>
                <w:szCs w:val="20"/>
                <w:color w:val="auto"/>
              </w:rPr>
            </w:pPr>
            <w:r>
              <w:rPr>
                <w:rFonts w:ascii="Times New Roman" w:cs="Times New Roman" w:eastAsia="Times New Roman" w:hAnsi="Times New Roman"/>
                <w:sz w:val="13"/>
                <w:szCs w:val="13"/>
                <w:color w:val="auto"/>
              </w:rPr>
              <w:t>Share-based compensation expense</w:t>
            </w:r>
          </w:p>
        </w:tc>
        <w:tc>
          <w:tcPr>
            <w:tcW w:w="120" w:type="dxa"/>
            <w:vAlign w:val="bottom"/>
            <w:tcBorders>
              <w:bottom w:val="single" w:sz="8" w:color="auto"/>
            </w:tcBorders>
            <w:shd w:val="clear" w:color="auto" w:fill="CFF0FC"/>
          </w:tcPr>
          <w:p>
            <w:pPr>
              <w:spacing w:after="0"/>
              <w:rPr>
                <w:sz w:val="11"/>
                <w:szCs w:val="11"/>
                <w:color w:val="auto"/>
              </w:rPr>
            </w:pPr>
          </w:p>
        </w:tc>
        <w:tc>
          <w:tcPr>
            <w:tcW w:w="48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74,208</w:t>
            </w:r>
          </w:p>
        </w:tc>
        <w:tc>
          <w:tcPr>
            <w:tcW w:w="240" w:type="dxa"/>
            <w:vAlign w:val="bottom"/>
            <w:tcBorders>
              <w:bottom w:val="single" w:sz="8" w:color="CFF0FC"/>
            </w:tcBorders>
            <w:shd w:val="clear" w:color="auto" w:fill="CFF0FC"/>
          </w:tcPr>
          <w:p>
            <w:pPr>
              <w:spacing w:after="0"/>
              <w:rPr>
                <w:sz w:val="11"/>
                <w:szCs w:val="11"/>
                <w:color w:val="auto"/>
              </w:rPr>
            </w:pPr>
          </w:p>
        </w:tc>
        <w:tc>
          <w:tcPr>
            <w:tcW w:w="70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tcBorders>
              <w:bottom w:val="single" w:sz="8" w:color="CFF0FC"/>
            </w:tcBorders>
            <w:shd w:val="clear" w:color="auto" w:fill="CFF0FC"/>
          </w:tcPr>
          <w:p>
            <w:pPr>
              <w:spacing w:after="0"/>
              <w:rPr>
                <w:sz w:val="11"/>
                <w:szCs w:val="11"/>
                <w:color w:val="auto"/>
              </w:rPr>
            </w:pPr>
          </w:p>
        </w:tc>
        <w:tc>
          <w:tcPr>
            <w:tcW w:w="320" w:type="dxa"/>
            <w:vAlign w:val="bottom"/>
            <w:tcBorders>
              <w:bottom w:val="single" w:sz="8" w:color="auto"/>
            </w:tcBorders>
            <w:shd w:val="clear" w:color="auto" w:fill="CFF0FC"/>
          </w:tcPr>
          <w:p>
            <w:pPr>
              <w:spacing w:after="0"/>
              <w:rPr>
                <w:sz w:val="11"/>
                <w:szCs w:val="11"/>
                <w:color w:val="auto"/>
              </w:rPr>
            </w:pPr>
          </w:p>
        </w:tc>
        <w:tc>
          <w:tcPr>
            <w:tcW w:w="28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40" w:type="dxa"/>
            <w:vAlign w:val="bottom"/>
            <w:tcBorders>
              <w:bottom w:val="single" w:sz="8" w:color="CFF0FC"/>
            </w:tcBorders>
            <w:shd w:val="clear" w:color="auto" w:fill="CFF0FC"/>
          </w:tcPr>
          <w:p>
            <w:pPr>
              <w:spacing w:after="0"/>
              <w:rPr>
                <w:sz w:val="11"/>
                <w:szCs w:val="11"/>
                <w:color w:val="auto"/>
              </w:rPr>
            </w:pPr>
          </w:p>
        </w:tc>
        <w:tc>
          <w:tcPr>
            <w:tcW w:w="68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bottom w:val="single" w:sz="8" w:color="CFF0FC"/>
            </w:tcBorders>
            <w:shd w:val="clear" w:color="auto" w:fill="CFF0FC"/>
          </w:tcPr>
          <w:p>
            <w:pPr>
              <w:spacing w:after="0"/>
              <w:rPr>
                <w:sz w:val="11"/>
                <w:szCs w:val="11"/>
                <w:color w:val="auto"/>
              </w:rPr>
            </w:pPr>
          </w:p>
        </w:tc>
        <w:tc>
          <w:tcPr>
            <w:tcW w:w="80" w:type="dxa"/>
            <w:vAlign w:val="bottom"/>
            <w:tcBorders>
              <w:bottom w:val="single" w:sz="8" w:color="auto"/>
            </w:tcBorders>
            <w:shd w:val="clear" w:color="auto" w:fill="CFF0FC"/>
          </w:tcPr>
          <w:p>
            <w:pPr>
              <w:spacing w:after="0"/>
              <w:rPr>
                <w:sz w:val="11"/>
                <w:szCs w:val="11"/>
                <w:color w:val="auto"/>
              </w:rPr>
            </w:pPr>
          </w:p>
        </w:tc>
        <w:tc>
          <w:tcPr>
            <w:tcW w:w="54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bottom w:val="single" w:sz="8" w:color="CFF0FC"/>
            </w:tcBorders>
            <w:shd w:val="clear" w:color="auto" w:fill="CFF0FC"/>
          </w:tcPr>
          <w:p>
            <w:pPr>
              <w:spacing w:after="0"/>
              <w:rPr>
                <w:sz w:val="11"/>
                <w:szCs w:val="11"/>
                <w:color w:val="auto"/>
              </w:rPr>
            </w:pPr>
          </w:p>
        </w:tc>
        <w:tc>
          <w:tcPr>
            <w:tcW w:w="80" w:type="dxa"/>
            <w:vAlign w:val="bottom"/>
            <w:tcBorders>
              <w:bottom w:val="single" w:sz="8" w:color="auto"/>
            </w:tcBorders>
            <w:shd w:val="clear" w:color="auto" w:fill="CFF0FC"/>
          </w:tcPr>
          <w:p>
            <w:pPr>
              <w:spacing w:after="0"/>
              <w:rPr>
                <w:sz w:val="11"/>
                <w:szCs w:val="11"/>
                <w:color w:val="auto"/>
              </w:rPr>
            </w:pPr>
          </w:p>
        </w:tc>
        <w:tc>
          <w:tcPr>
            <w:tcW w:w="48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74,208</w:t>
            </w:r>
          </w:p>
        </w:tc>
        <w:tc>
          <w:tcPr>
            <w:tcW w:w="220" w:type="dxa"/>
            <w:vAlign w:val="bottom"/>
            <w:tcBorders>
              <w:bottom w:val="single" w:sz="8" w:color="CFF0FC"/>
            </w:tcBorders>
            <w:shd w:val="clear" w:color="auto" w:fill="CFF0FC"/>
          </w:tcPr>
          <w:p>
            <w:pPr>
              <w:spacing w:after="0"/>
              <w:rPr>
                <w:sz w:val="11"/>
                <w:szCs w:val="11"/>
                <w:color w:val="auto"/>
              </w:rPr>
            </w:pPr>
          </w:p>
        </w:tc>
        <w:tc>
          <w:tcPr>
            <w:tcW w:w="56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bottom w:val="single" w:sz="8" w:color="CFF0FC"/>
            </w:tcBorders>
            <w:shd w:val="clear" w:color="auto" w:fill="CFF0FC"/>
          </w:tcPr>
          <w:p>
            <w:pPr>
              <w:spacing w:after="0"/>
              <w:rPr>
                <w:sz w:val="11"/>
                <w:szCs w:val="11"/>
                <w:color w:val="auto"/>
              </w:rPr>
            </w:pPr>
          </w:p>
        </w:tc>
        <w:tc>
          <w:tcPr>
            <w:tcW w:w="80" w:type="dxa"/>
            <w:vAlign w:val="bottom"/>
            <w:tcBorders>
              <w:bottom w:val="single" w:sz="8" w:color="auto"/>
            </w:tcBorders>
            <w:shd w:val="clear" w:color="auto" w:fill="CFF0FC"/>
          </w:tcPr>
          <w:p>
            <w:pPr>
              <w:spacing w:after="0"/>
              <w:rPr>
                <w:sz w:val="11"/>
                <w:szCs w:val="11"/>
                <w:color w:val="auto"/>
              </w:rPr>
            </w:pPr>
          </w:p>
        </w:tc>
        <w:tc>
          <w:tcPr>
            <w:tcW w:w="58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bottom w:val="single" w:sz="8" w:color="CFF0FC"/>
            </w:tcBorders>
            <w:shd w:val="clear" w:color="auto" w:fill="CFF0FC"/>
          </w:tcPr>
          <w:p>
            <w:pPr>
              <w:spacing w:after="0"/>
              <w:rPr>
                <w:sz w:val="11"/>
                <w:szCs w:val="11"/>
                <w:color w:val="auto"/>
              </w:rPr>
            </w:pPr>
          </w:p>
        </w:tc>
        <w:tc>
          <w:tcPr>
            <w:tcW w:w="140" w:type="dxa"/>
            <w:vAlign w:val="bottom"/>
            <w:tcBorders>
              <w:bottom w:val="single" w:sz="8" w:color="auto"/>
            </w:tcBorders>
            <w:shd w:val="clear" w:color="auto" w:fill="CFF0FC"/>
          </w:tcPr>
          <w:p>
            <w:pPr>
              <w:spacing w:after="0"/>
              <w:rPr>
                <w:sz w:val="11"/>
                <w:szCs w:val="11"/>
                <w:color w:val="auto"/>
              </w:rPr>
            </w:pPr>
          </w:p>
        </w:tc>
        <w:tc>
          <w:tcPr>
            <w:tcW w:w="58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220" w:type="dxa"/>
            <w:vAlign w:val="bottom"/>
            <w:tcBorders>
              <w:bottom w:val="single" w:sz="8" w:color="CFF0FC"/>
            </w:tcBorders>
            <w:shd w:val="clear" w:color="auto" w:fill="CFF0FC"/>
          </w:tcPr>
          <w:p>
            <w:pPr>
              <w:spacing w:after="0"/>
              <w:rPr>
                <w:sz w:val="11"/>
                <w:szCs w:val="11"/>
                <w:color w:val="auto"/>
              </w:rPr>
            </w:pPr>
          </w:p>
        </w:tc>
        <w:tc>
          <w:tcPr>
            <w:tcW w:w="100" w:type="dxa"/>
            <w:vAlign w:val="bottom"/>
            <w:tcBorders>
              <w:bottom w:val="single" w:sz="8" w:color="auto"/>
            </w:tcBorders>
            <w:shd w:val="clear" w:color="auto" w:fill="CFF0FC"/>
          </w:tcPr>
          <w:p>
            <w:pPr>
              <w:spacing w:after="0"/>
              <w:rPr>
                <w:sz w:val="11"/>
                <w:szCs w:val="11"/>
                <w:color w:val="auto"/>
              </w:rPr>
            </w:pPr>
          </w:p>
        </w:tc>
        <w:tc>
          <w:tcPr>
            <w:tcW w:w="540" w:type="dxa"/>
            <w:vAlign w:val="bottom"/>
            <w:tcBorders>
              <w:bottom w:val="single" w:sz="8" w:color="auto"/>
            </w:tcBorders>
            <w:shd w:val="clear" w:color="auto" w:fill="CFF0FC"/>
          </w:tcPr>
          <w:p>
            <w:pPr>
              <w:jc w:val="right"/>
              <w:spacing w:after="0" w:line="135" w:lineRule="exact"/>
              <w:rPr>
                <w:sz w:val="20"/>
                <w:szCs w:val="20"/>
                <w:color w:val="auto"/>
              </w:rPr>
            </w:pPr>
            <w:r>
              <w:rPr>
                <w:rFonts w:ascii="Times New Roman" w:cs="Times New Roman" w:eastAsia="Times New Roman" w:hAnsi="Times New Roman"/>
                <w:sz w:val="13"/>
                <w:szCs w:val="13"/>
                <w:color w:val="auto"/>
              </w:rPr>
              <w:t>0</w:t>
            </w:r>
          </w:p>
        </w:tc>
        <w:tc>
          <w:tcPr>
            <w:tcW w:w="100" w:type="dxa"/>
            <w:vAlign w:val="bottom"/>
            <w:tcBorders>
              <w:bottom w:val="single" w:sz="8" w:color="CFF0FC"/>
            </w:tcBorders>
            <w:shd w:val="clear" w:color="auto" w:fill="CFF0FC"/>
          </w:tcPr>
          <w:p>
            <w:pPr>
              <w:spacing w:after="0"/>
              <w:rPr>
                <w:sz w:val="11"/>
                <w:szCs w:val="11"/>
                <w:color w:val="auto"/>
              </w:rPr>
            </w:pPr>
          </w:p>
        </w:tc>
        <w:tc>
          <w:tcPr>
            <w:tcW w:w="0" w:type="dxa"/>
            <w:vAlign w:val="bottom"/>
          </w:tcPr>
          <w:p>
            <w:pPr>
              <w:spacing w:after="0"/>
              <w:rPr>
                <w:sz w:val="1"/>
                <w:szCs w:val="1"/>
                <w:color w:val="auto"/>
              </w:rPr>
            </w:pPr>
          </w:p>
        </w:tc>
      </w:tr>
      <w:tr>
        <w:trPr>
          <w:trHeight w:val="110"/>
        </w:trPr>
        <w:tc>
          <w:tcPr>
            <w:tcW w:w="2880" w:type="dxa"/>
            <w:vAlign w:val="bottom"/>
            <w:gridSpan w:val="2"/>
          </w:tcPr>
          <w:p>
            <w:pPr>
              <w:ind w:left="20"/>
              <w:spacing w:after="0" w:line="110" w:lineRule="exact"/>
              <w:rPr>
                <w:sz w:val="20"/>
                <w:szCs w:val="20"/>
                <w:color w:val="auto"/>
              </w:rPr>
            </w:pPr>
            <w:r>
              <w:rPr>
                <w:rFonts w:ascii="Times New Roman" w:cs="Times New Roman" w:eastAsia="Times New Roman" w:hAnsi="Times New Roman"/>
                <w:sz w:val="12"/>
                <w:szCs w:val="12"/>
                <w:b w:val="1"/>
                <w:bCs w:val="1"/>
                <w:color w:val="auto"/>
              </w:rPr>
              <w:t>Balance at December 31, 2024</w:t>
            </w:r>
          </w:p>
        </w:tc>
        <w:tc>
          <w:tcPr>
            <w:tcW w:w="480" w:type="dxa"/>
            <w:vAlign w:val="bottom"/>
          </w:tcPr>
          <w:p>
            <w:pPr>
              <w:jc w:val="right"/>
              <w:spacing w:after="0" w:line="110" w:lineRule="exact"/>
              <w:rPr>
                <w:sz w:val="20"/>
                <w:szCs w:val="20"/>
                <w:color w:val="auto"/>
              </w:rPr>
            </w:pPr>
            <w:r>
              <w:rPr>
                <w:rFonts w:ascii="Times New Roman" w:cs="Times New Roman" w:eastAsia="Times New Roman" w:hAnsi="Times New Roman"/>
                <w:sz w:val="12"/>
                <w:szCs w:val="12"/>
                <w:color w:val="auto"/>
              </w:rPr>
              <w:t>18,229,</w:t>
            </w:r>
          </w:p>
        </w:tc>
        <w:tc>
          <w:tcPr>
            <w:tcW w:w="240" w:type="dxa"/>
            <w:vAlign w:val="bottom"/>
          </w:tcPr>
          <w:p>
            <w:pPr>
              <w:spacing w:after="0"/>
              <w:rPr>
                <w:sz w:val="9"/>
                <w:szCs w:val="9"/>
                <w:color w:val="auto"/>
              </w:rPr>
            </w:pPr>
          </w:p>
        </w:tc>
        <w:tc>
          <w:tcPr>
            <w:tcW w:w="700" w:type="dxa"/>
            <w:vAlign w:val="bottom"/>
          </w:tcPr>
          <w:p>
            <w:pPr>
              <w:spacing w:after="0"/>
              <w:rPr>
                <w:sz w:val="9"/>
                <w:szCs w:val="9"/>
                <w:color w:val="auto"/>
              </w:rPr>
            </w:pPr>
          </w:p>
        </w:tc>
        <w:tc>
          <w:tcPr>
            <w:tcW w:w="240" w:type="dxa"/>
            <w:vAlign w:val="bottom"/>
          </w:tcPr>
          <w:p>
            <w:pPr>
              <w:spacing w:after="0"/>
              <w:rPr>
                <w:sz w:val="9"/>
                <w:szCs w:val="9"/>
                <w:color w:val="auto"/>
              </w:rPr>
            </w:pPr>
          </w:p>
        </w:tc>
        <w:tc>
          <w:tcPr>
            <w:tcW w:w="320" w:type="dxa"/>
            <w:vAlign w:val="bottom"/>
          </w:tcPr>
          <w:p>
            <w:pPr>
              <w:spacing w:after="0"/>
              <w:rPr>
                <w:sz w:val="9"/>
                <w:szCs w:val="9"/>
                <w:color w:val="auto"/>
              </w:rPr>
            </w:pPr>
          </w:p>
        </w:tc>
        <w:tc>
          <w:tcPr>
            <w:tcW w:w="280" w:type="dxa"/>
            <w:vAlign w:val="bottom"/>
          </w:tcPr>
          <w:p>
            <w:pPr>
              <w:spacing w:after="0"/>
              <w:rPr>
                <w:sz w:val="9"/>
                <w:szCs w:val="9"/>
                <w:color w:val="auto"/>
              </w:rPr>
            </w:pPr>
          </w:p>
        </w:tc>
        <w:tc>
          <w:tcPr>
            <w:tcW w:w="240" w:type="dxa"/>
            <w:vAlign w:val="bottom"/>
          </w:tcPr>
          <w:p>
            <w:pPr>
              <w:spacing w:after="0"/>
              <w:rPr>
                <w:sz w:val="9"/>
                <w:szCs w:val="9"/>
                <w:color w:val="auto"/>
              </w:rPr>
            </w:pPr>
          </w:p>
        </w:tc>
        <w:tc>
          <w:tcPr>
            <w:tcW w:w="680" w:type="dxa"/>
            <w:vAlign w:val="bottom"/>
          </w:tcPr>
          <w:p>
            <w:pPr>
              <w:spacing w:after="0"/>
              <w:rPr>
                <w:sz w:val="9"/>
                <w:szCs w:val="9"/>
                <w:color w:val="auto"/>
              </w:rPr>
            </w:pPr>
          </w:p>
        </w:tc>
        <w:tc>
          <w:tcPr>
            <w:tcW w:w="220" w:type="dxa"/>
            <w:vAlign w:val="bottom"/>
          </w:tcPr>
          <w:p>
            <w:pPr>
              <w:spacing w:after="0"/>
              <w:rPr>
                <w:sz w:val="9"/>
                <w:szCs w:val="9"/>
                <w:color w:val="auto"/>
              </w:rPr>
            </w:pPr>
          </w:p>
        </w:tc>
        <w:tc>
          <w:tcPr>
            <w:tcW w:w="80" w:type="dxa"/>
            <w:vAlign w:val="bottom"/>
          </w:tcPr>
          <w:p>
            <w:pPr>
              <w:spacing w:after="0"/>
              <w:rPr>
                <w:sz w:val="9"/>
                <w:szCs w:val="9"/>
                <w:color w:val="auto"/>
              </w:rPr>
            </w:pPr>
          </w:p>
        </w:tc>
        <w:tc>
          <w:tcPr>
            <w:tcW w:w="540" w:type="dxa"/>
            <w:vAlign w:val="bottom"/>
          </w:tcPr>
          <w:p>
            <w:pPr>
              <w:spacing w:after="0"/>
              <w:rPr>
                <w:sz w:val="9"/>
                <w:szCs w:val="9"/>
                <w:color w:val="auto"/>
              </w:rPr>
            </w:pPr>
          </w:p>
        </w:tc>
        <w:tc>
          <w:tcPr>
            <w:tcW w:w="220" w:type="dxa"/>
            <w:vAlign w:val="bottom"/>
          </w:tcPr>
          <w:p>
            <w:pPr>
              <w:spacing w:after="0"/>
              <w:rPr>
                <w:sz w:val="9"/>
                <w:szCs w:val="9"/>
                <w:color w:val="auto"/>
              </w:rPr>
            </w:pPr>
          </w:p>
        </w:tc>
        <w:tc>
          <w:tcPr>
            <w:tcW w:w="80" w:type="dxa"/>
            <w:vAlign w:val="bottom"/>
          </w:tcPr>
          <w:p>
            <w:pPr>
              <w:spacing w:after="0"/>
              <w:rPr>
                <w:sz w:val="9"/>
                <w:szCs w:val="9"/>
                <w:color w:val="auto"/>
              </w:rPr>
            </w:pPr>
          </w:p>
        </w:tc>
        <w:tc>
          <w:tcPr>
            <w:tcW w:w="480" w:type="dxa"/>
            <w:vAlign w:val="bottom"/>
          </w:tcPr>
          <w:p>
            <w:pPr>
              <w:jc w:val="right"/>
              <w:spacing w:after="0" w:line="110" w:lineRule="exact"/>
              <w:rPr>
                <w:sz w:val="20"/>
                <w:szCs w:val="20"/>
                <w:color w:val="auto"/>
              </w:rPr>
            </w:pPr>
            <w:r>
              <w:rPr>
                <w:rFonts w:ascii="Times New Roman" w:cs="Times New Roman" w:eastAsia="Times New Roman" w:hAnsi="Times New Roman"/>
                <w:sz w:val="12"/>
                <w:szCs w:val="12"/>
                <w:color w:val="auto"/>
              </w:rPr>
              <w:t>20,411,</w:t>
            </w:r>
          </w:p>
        </w:tc>
        <w:tc>
          <w:tcPr>
            <w:tcW w:w="220" w:type="dxa"/>
            <w:vAlign w:val="bottom"/>
          </w:tcPr>
          <w:p>
            <w:pPr>
              <w:spacing w:after="0"/>
              <w:rPr>
                <w:sz w:val="9"/>
                <w:szCs w:val="9"/>
                <w:color w:val="auto"/>
              </w:rPr>
            </w:pPr>
          </w:p>
        </w:tc>
        <w:tc>
          <w:tcPr>
            <w:tcW w:w="560" w:type="dxa"/>
            <w:vAlign w:val="bottom"/>
          </w:tcPr>
          <w:p>
            <w:pPr>
              <w:spacing w:after="0"/>
              <w:rPr>
                <w:sz w:val="9"/>
                <w:szCs w:val="9"/>
                <w:color w:val="auto"/>
              </w:rPr>
            </w:pPr>
          </w:p>
        </w:tc>
        <w:tc>
          <w:tcPr>
            <w:tcW w:w="220" w:type="dxa"/>
            <w:vAlign w:val="bottom"/>
          </w:tcPr>
          <w:p>
            <w:pPr>
              <w:spacing w:after="0"/>
              <w:rPr>
                <w:sz w:val="9"/>
                <w:szCs w:val="9"/>
                <w:color w:val="auto"/>
              </w:rPr>
            </w:pPr>
          </w:p>
        </w:tc>
        <w:tc>
          <w:tcPr>
            <w:tcW w:w="80" w:type="dxa"/>
            <w:vAlign w:val="bottom"/>
          </w:tcPr>
          <w:p>
            <w:pPr>
              <w:spacing w:after="0"/>
              <w:rPr>
                <w:sz w:val="9"/>
                <w:szCs w:val="9"/>
                <w:color w:val="auto"/>
              </w:rPr>
            </w:pPr>
          </w:p>
        </w:tc>
        <w:tc>
          <w:tcPr>
            <w:tcW w:w="580" w:type="dxa"/>
            <w:vAlign w:val="bottom"/>
          </w:tcPr>
          <w:p>
            <w:pPr>
              <w:spacing w:after="0"/>
              <w:rPr>
                <w:sz w:val="9"/>
                <w:szCs w:val="9"/>
                <w:color w:val="auto"/>
              </w:rPr>
            </w:pPr>
          </w:p>
        </w:tc>
        <w:tc>
          <w:tcPr>
            <w:tcW w:w="220" w:type="dxa"/>
            <w:vAlign w:val="bottom"/>
          </w:tcPr>
          <w:p>
            <w:pPr>
              <w:spacing w:after="0"/>
              <w:rPr>
                <w:sz w:val="9"/>
                <w:szCs w:val="9"/>
                <w:color w:val="auto"/>
              </w:rPr>
            </w:pPr>
          </w:p>
        </w:tc>
        <w:tc>
          <w:tcPr>
            <w:tcW w:w="140" w:type="dxa"/>
            <w:vAlign w:val="bottom"/>
          </w:tcPr>
          <w:p>
            <w:pPr>
              <w:spacing w:after="0"/>
              <w:rPr>
                <w:sz w:val="9"/>
                <w:szCs w:val="9"/>
                <w:color w:val="auto"/>
              </w:rPr>
            </w:pPr>
          </w:p>
        </w:tc>
        <w:tc>
          <w:tcPr>
            <w:tcW w:w="580" w:type="dxa"/>
            <w:vAlign w:val="bottom"/>
          </w:tcPr>
          <w:p>
            <w:pPr>
              <w:spacing w:after="0"/>
              <w:rPr>
                <w:sz w:val="9"/>
                <w:szCs w:val="9"/>
                <w:color w:val="auto"/>
              </w:rPr>
            </w:pPr>
          </w:p>
        </w:tc>
        <w:tc>
          <w:tcPr>
            <w:tcW w:w="220" w:type="dxa"/>
            <w:vAlign w:val="bottom"/>
          </w:tcPr>
          <w:p>
            <w:pPr>
              <w:spacing w:after="0"/>
              <w:rPr>
                <w:sz w:val="9"/>
                <w:szCs w:val="9"/>
                <w:color w:val="auto"/>
              </w:rPr>
            </w:pPr>
          </w:p>
        </w:tc>
        <w:tc>
          <w:tcPr>
            <w:tcW w:w="100" w:type="dxa"/>
            <w:vAlign w:val="bottom"/>
          </w:tcPr>
          <w:p>
            <w:pPr>
              <w:spacing w:after="0"/>
              <w:rPr>
                <w:sz w:val="9"/>
                <w:szCs w:val="9"/>
                <w:color w:val="auto"/>
              </w:rPr>
            </w:pPr>
          </w:p>
        </w:tc>
        <w:tc>
          <w:tcPr>
            <w:tcW w:w="540" w:type="dxa"/>
            <w:vAlign w:val="bottom"/>
          </w:tcPr>
          <w:p>
            <w:pPr>
              <w:jc w:val="right"/>
              <w:spacing w:after="0" w:line="110" w:lineRule="exact"/>
              <w:rPr>
                <w:sz w:val="20"/>
                <w:szCs w:val="20"/>
                <w:color w:val="auto"/>
              </w:rPr>
            </w:pPr>
            <w:r>
              <w:rPr>
                <w:rFonts w:ascii="Times New Roman" w:cs="Times New Roman" w:eastAsia="Times New Roman" w:hAnsi="Times New Roman"/>
                <w:sz w:val="12"/>
                <w:szCs w:val="12"/>
                <w:color w:val="auto"/>
              </w:rPr>
              <w:t>(2,166,87</w:t>
            </w:r>
          </w:p>
        </w:tc>
        <w:tc>
          <w:tcPr>
            <w:tcW w:w="1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3"/>
        </w:trPr>
        <w:tc>
          <w:tcPr>
            <w:tcW w:w="2880" w:type="dxa"/>
            <w:vAlign w:val="bottom"/>
            <w:gridSpan w:val="2"/>
          </w:tcPr>
          <w:p>
            <w:pPr>
              <w:ind w:left="2780"/>
              <w:spacing w:after="0"/>
              <w:rPr>
                <w:sz w:val="20"/>
                <w:szCs w:val="20"/>
                <w:color w:val="auto"/>
              </w:rPr>
            </w:pPr>
            <w:r>
              <w:rPr>
                <w:rFonts w:ascii="Times New Roman" w:cs="Times New Roman" w:eastAsia="Times New Roman" w:hAnsi="Times New Roman"/>
                <w:sz w:val="13"/>
                <w:szCs w:val="13"/>
                <w:color w:val="auto"/>
              </w:rPr>
              <w:t>$</w:t>
            </w: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984</w:t>
            </w:r>
          </w:p>
        </w:tc>
        <w:tc>
          <w:tcPr>
            <w:tcW w:w="240" w:type="dxa"/>
            <w:vAlign w:val="bottom"/>
          </w:tcPr>
          <w:p>
            <w:pPr>
              <w:spacing w:after="0"/>
              <w:rPr>
                <w:sz w:val="13"/>
                <w:szCs w:val="13"/>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226,138</w:t>
            </w:r>
          </w:p>
        </w:tc>
        <w:tc>
          <w:tcPr>
            <w:tcW w:w="240" w:type="dxa"/>
            <w:vAlign w:val="bottom"/>
          </w:tcPr>
          <w:p>
            <w:pPr>
              <w:spacing w:after="0"/>
              <w:rPr>
                <w:sz w:val="13"/>
                <w:szCs w:val="13"/>
                <w:color w:val="auto"/>
              </w:rPr>
            </w:pPr>
          </w:p>
        </w:tc>
        <w:tc>
          <w:tcPr>
            <w:tcW w:w="320" w:type="dxa"/>
            <w:vAlign w:val="bottom"/>
          </w:tcPr>
          <w:p>
            <w:pPr>
              <w:jc w:val="right"/>
              <w:ind w:right="177"/>
              <w:spacing w:after="0"/>
              <w:rPr>
                <w:sz w:val="20"/>
                <w:szCs w:val="20"/>
                <w:color w:val="auto"/>
              </w:rPr>
            </w:pPr>
            <w:r>
              <w:rPr>
                <w:rFonts w:ascii="Times New Roman" w:cs="Times New Roman" w:eastAsia="Times New Roman" w:hAnsi="Times New Roman"/>
                <w:sz w:val="13"/>
                <w:szCs w:val="13"/>
                <w:color w:val="auto"/>
                <w:w w:val="91"/>
              </w:rPr>
              <w:t>$</w:t>
            </w:r>
          </w:p>
        </w:tc>
        <w:tc>
          <w:tcPr>
            <w:tcW w:w="2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226</w:t>
            </w:r>
          </w:p>
        </w:tc>
        <w:tc>
          <w:tcPr>
            <w:tcW w:w="240" w:type="dxa"/>
            <w:vAlign w:val="bottom"/>
          </w:tcPr>
          <w:p>
            <w:pPr>
              <w:spacing w:after="0"/>
              <w:rPr>
                <w:sz w:val="13"/>
                <w:szCs w:val="13"/>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19,640</w:t>
            </w:r>
          </w:p>
        </w:tc>
        <w:tc>
          <w:tcPr>
            <w:tcW w:w="300" w:type="dxa"/>
            <w:vAlign w:val="bottom"/>
            <w:gridSpan w:val="2"/>
          </w:tcPr>
          <w:p>
            <w:pPr>
              <w:jc w:val="right"/>
              <w:spacing w:after="0"/>
              <w:rPr>
                <w:sz w:val="20"/>
                <w:szCs w:val="20"/>
                <w:color w:val="auto"/>
              </w:rPr>
            </w:pPr>
            <w:r>
              <w:rPr>
                <w:rFonts w:ascii="Times New Roman" w:cs="Times New Roman" w:eastAsia="Times New Roman" w:hAnsi="Times New Roman"/>
                <w:sz w:val="13"/>
                <w:szCs w:val="13"/>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20</w:t>
            </w:r>
          </w:p>
        </w:tc>
        <w:tc>
          <w:tcPr>
            <w:tcW w:w="300" w:type="dxa"/>
            <w:vAlign w:val="bottom"/>
            <w:gridSpan w:val="2"/>
          </w:tcPr>
          <w:p>
            <w:pPr>
              <w:jc w:val="right"/>
              <w:spacing w:after="0"/>
              <w:rPr>
                <w:sz w:val="20"/>
                <w:szCs w:val="20"/>
                <w:color w:val="auto"/>
              </w:rPr>
            </w:pPr>
            <w:r>
              <w:rPr>
                <w:rFonts w:ascii="Times New Roman" w:cs="Times New Roman" w:eastAsia="Times New Roman" w:hAnsi="Times New Roman"/>
                <w:sz w:val="13"/>
                <w:szCs w:val="13"/>
                <w:color w:val="auto"/>
              </w:rPr>
              <w:t>$</w:t>
            </w:r>
          </w:p>
        </w:tc>
        <w:tc>
          <w:tcPr>
            <w:tcW w:w="4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998</w:t>
            </w:r>
          </w:p>
        </w:tc>
        <w:tc>
          <w:tcPr>
            <w:tcW w:w="220" w:type="dxa"/>
            <w:vAlign w:val="bottom"/>
          </w:tcPr>
          <w:p>
            <w:pPr>
              <w:spacing w:after="0"/>
              <w:rPr>
                <w:sz w:val="13"/>
                <w:szCs w:val="13"/>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3"/>
                <w:szCs w:val="13"/>
                <w:color w:val="auto"/>
                <w:w w:val="91"/>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3"/>
                <w:szCs w:val="13"/>
                <w:color w:val="auto"/>
              </w:rPr>
              <w:t>0</w:t>
            </w:r>
          </w:p>
        </w:tc>
        <w:tc>
          <w:tcPr>
            <w:tcW w:w="220" w:type="dxa"/>
            <w:vAlign w:val="bottom"/>
          </w:tcPr>
          <w:p>
            <w:pPr>
              <w:spacing w:after="0"/>
              <w:rPr>
                <w:sz w:val="13"/>
                <w:szCs w:val="13"/>
                <w:color w:val="auto"/>
              </w:rPr>
            </w:pPr>
          </w:p>
        </w:tc>
        <w:tc>
          <w:tcPr>
            <w:tcW w:w="140" w:type="dxa"/>
            <w:vAlign w:val="bottom"/>
          </w:tcPr>
          <w:p>
            <w:pPr>
              <w:ind w:left="20"/>
              <w:spacing w:after="0"/>
              <w:rPr>
                <w:sz w:val="20"/>
                <w:szCs w:val="20"/>
                <w:color w:val="auto"/>
              </w:rPr>
            </w:pPr>
            <w:r>
              <w:rPr>
                <w:rFonts w:ascii="Times New Roman" w:cs="Times New Roman" w:eastAsia="Times New Roman" w:hAnsi="Times New Roman"/>
                <w:sz w:val="13"/>
                <w:szCs w:val="13"/>
                <w:color w:val="auto"/>
              </w:rPr>
              <w:t>$</w:t>
            </w:r>
          </w:p>
        </w:tc>
        <w:tc>
          <w:tcPr>
            <w:tcW w:w="800" w:type="dxa"/>
            <w:vAlign w:val="bottom"/>
            <w:gridSpan w:val="2"/>
          </w:tcPr>
          <w:p>
            <w:pPr>
              <w:jc w:val="right"/>
              <w:ind w:right="160"/>
              <w:spacing w:after="0"/>
              <w:rPr>
                <w:sz w:val="20"/>
                <w:szCs w:val="20"/>
                <w:color w:val="auto"/>
              </w:rPr>
            </w:pPr>
            <w:r>
              <w:rPr>
                <w:rFonts w:ascii="Times New Roman" w:cs="Times New Roman" w:eastAsia="Times New Roman" w:hAnsi="Times New Roman"/>
                <w:sz w:val="13"/>
                <w:szCs w:val="13"/>
                <w:color w:val="auto"/>
              </w:rPr>
              <w:t>(15,384 )</w:t>
            </w:r>
          </w:p>
        </w:tc>
        <w:tc>
          <w:tcPr>
            <w:tcW w:w="100" w:type="dxa"/>
            <w:vAlign w:val="bottom"/>
          </w:tcPr>
          <w:p>
            <w:pPr>
              <w:ind w:left="20"/>
              <w:spacing w:after="0"/>
              <w:rPr>
                <w:sz w:val="20"/>
                <w:szCs w:val="20"/>
                <w:color w:val="auto"/>
              </w:rPr>
            </w:pPr>
            <w:r>
              <w:rPr>
                <w:rFonts w:ascii="Times New Roman" w:cs="Times New Roman" w:eastAsia="Times New Roman" w:hAnsi="Times New Roman"/>
                <w:sz w:val="13"/>
                <w:szCs w:val="13"/>
                <w:color w:val="auto"/>
                <w:w w:val="91"/>
              </w:rPr>
              <w:t>$</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3"/>
                <w:szCs w:val="13"/>
                <w:color w:val="auto"/>
              </w:rPr>
              <w:t>6 )</w:t>
            </w:r>
          </w:p>
        </w:tc>
        <w:tc>
          <w:tcPr>
            <w:tcW w:w="0" w:type="dxa"/>
            <w:vAlign w:val="bottom"/>
          </w:tcPr>
          <w:p>
            <w:pPr>
              <w:spacing w:after="0"/>
              <w:rPr>
                <w:sz w:val="1"/>
                <w:szCs w:val="1"/>
                <w:color w:val="auto"/>
              </w:rPr>
            </w:pPr>
          </w:p>
        </w:tc>
      </w:tr>
      <w:tr>
        <w:trPr>
          <w:trHeight w:val="20"/>
        </w:trPr>
        <w:tc>
          <w:tcPr>
            <w:tcW w:w="276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70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6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0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2131060</wp:posOffset>
            </wp:positionH>
            <wp:positionV relativeFrom="paragraph">
              <wp:posOffset>-4156710</wp:posOffset>
            </wp:positionV>
            <wp:extent cx="77470" cy="8255"/>
            <wp:wrapNone/>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07">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2131060</wp:posOffset>
            </wp:positionH>
            <wp:positionV relativeFrom="paragraph">
              <wp:posOffset>-4139565</wp:posOffset>
            </wp:positionV>
            <wp:extent cx="77470" cy="8255"/>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08">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2731135</wp:posOffset>
            </wp:positionH>
            <wp:positionV relativeFrom="paragraph">
              <wp:posOffset>-4156710</wp:posOffset>
            </wp:positionV>
            <wp:extent cx="76835" cy="8255"/>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9">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2731135</wp:posOffset>
            </wp:positionH>
            <wp:positionV relativeFrom="paragraph">
              <wp:posOffset>-4139565</wp:posOffset>
            </wp:positionV>
            <wp:extent cx="76835" cy="8255"/>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0">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3262630</wp:posOffset>
            </wp:positionH>
            <wp:positionV relativeFrom="paragraph">
              <wp:posOffset>-4156710</wp:posOffset>
            </wp:positionV>
            <wp:extent cx="77470" cy="8255"/>
            <wp:wrapNone/>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1">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3262630</wp:posOffset>
            </wp:positionH>
            <wp:positionV relativeFrom="paragraph">
              <wp:posOffset>-4139565</wp:posOffset>
            </wp:positionV>
            <wp:extent cx="77470" cy="8255"/>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2">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3845560</wp:posOffset>
            </wp:positionH>
            <wp:positionV relativeFrom="paragraph">
              <wp:posOffset>-4156710</wp:posOffset>
            </wp:positionV>
            <wp:extent cx="68580" cy="8255"/>
            <wp:wrapNone/>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1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3845560</wp:posOffset>
            </wp:positionH>
            <wp:positionV relativeFrom="paragraph">
              <wp:posOffset>-4139565</wp:posOffset>
            </wp:positionV>
            <wp:extent cx="68580" cy="8255"/>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4385310</wp:posOffset>
            </wp:positionH>
            <wp:positionV relativeFrom="paragraph">
              <wp:posOffset>-4156710</wp:posOffset>
            </wp:positionV>
            <wp:extent cx="68580" cy="8255"/>
            <wp:wrapNone/>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1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4385310</wp:posOffset>
            </wp:positionH>
            <wp:positionV relativeFrom="paragraph">
              <wp:posOffset>-4139565</wp:posOffset>
            </wp:positionV>
            <wp:extent cx="68580" cy="8255"/>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1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4882515</wp:posOffset>
            </wp:positionH>
            <wp:positionV relativeFrom="paragraph">
              <wp:posOffset>-4156710</wp:posOffset>
            </wp:positionV>
            <wp:extent cx="68580" cy="8255"/>
            <wp:wrapNone/>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1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4882515</wp:posOffset>
            </wp:positionH>
            <wp:positionV relativeFrom="paragraph">
              <wp:posOffset>-4139565</wp:posOffset>
            </wp:positionV>
            <wp:extent cx="68580" cy="8255"/>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1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5371465</wp:posOffset>
            </wp:positionH>
            <wp:positionV relativeFrom="paragraph">
              <wp:posOffset>-4156710</wp:posOffset>
            </wp:positionV>
            <wp:extent cx="68580" cy="8255"/>
            <wp:wrapNone/>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1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5371465</wp:posOffset>
            </wp:positionH>
            <wp:positionV relativeFrom="paragraph">
              <wp:posOffset>-4139565</wp:posOffset>
            </wp:positionV>
            <wp:extent cx="68580" cy="8255"/>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2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5937250</wp:posOffset>
            </wp:positionH>
            <wp:positionV relativeFrom="paragraph">
              <wp:posOffset>-4156710</wp:posOffset>
            </wp:positionV>
            <wp:extent cx="68580" cy="8255"/>
            <wp:wrapNone/>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2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5937250</wp:posOffset>
            </wp:positionH>
            <wp:positionV relativeFrom="paragraph">
              <wp:posOffset>-4139565</wp:posOffset>
            </wp:positionV>
            <wp:extent cx="68580" cy="8255"/>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2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6528435</wp:posOffset>
            </wp:positionH>
            <wp:positionV relativeFrom="paragraph">
              <wp:posOffset>-4156710</wp:posOffset>
            </wp:positionV>
            <wp:extent cx="68580" cy="8255"/>
            <wp:wrapNone/>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2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6528435</wp:posOffset>
            </wp:positionH>
            <wp:positionV relativeFrom="paragraph">
              <wp:posOffset>-4139565</wp:posOffset>
            </wp:positionV>
            <wp:extent cx="68580" cy="8255"/>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-4156710</wp:posOffset>
            </wp:positionV>
            <wp:extent cx="68580" cy="8255"/>
            <wp:wrapNone/>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2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-4139565</wp:posOffset>
            </wp:positionV>
            <wp:extent cx="68580" cy="8255"/>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2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2131060</wp:posOffset>
            </wp:positionH>
            <wp:positionV relativeFrom="paragraph">
              <wp:posOffset>-2922270</wp:posOffset>
            </wp:positionV>
            <wp:extent cx="77470" cy="8255"/>
            <wp:wrapNone/>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27">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2131060</wp:posOffset>
            </wp:positionH>
            <wp:positionV relativeFrom="paragraph">
              <wp:posOffset>-2905125</wp:posOffset>
            </wp:positionV>
            <wp:extent cx="77470" cy="8255"/>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28">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2731135</wp:posOffset>
            </wp:positionH>
            <wp:positionV relativeFrom="paragraph">
              <wp:posOffset>-2922270</wp:posOffset>
            </wp:positionV>
            <wp:extent cx="76835" cy="8255"/>
            <wp:wrapNone/>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29">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2731135</wp:posOffset>
            </wp:positionH>
            <wp:positionV relativeFrom="paragraph">
              <wp:posOffset>-2905125</wp:posOffset>
            </wp:positionV>
            <wp:extent cx="76835" cy="8255"/>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0">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3262630</wp:posOffset>
            </wp:positionH>
            <wp:positionV relativeFrom="paragraph">
              <wp:posOffset>-2922270</wp:posOffset>
            </wp:positionV>
            <wp:extent cx="77470" cy="8255"/>
            <wp:wrapNone/>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31">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3262630</wp:posOffset>
            </wp:positionH>
            <wp:positionV relativeFrom="paragraph">
              <wp:posOffset>-2905125</wp:posOffset>
            </wp:positionV>
            <wp:extent cx="77470" cy="8255"/>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2">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3845560</wp:posOffset>
            </wp:positionH>
            <wp:positionV relativeFrom="paragraph">
              <wp:posOffset>-2922270</wp:posOffset>
            </wp:positionV>
            <wp:extent cx="68580" cy="8255"/>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3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3845560</wp:posOffset>
            </wp:positionH>
            <wp:positionV relativeFrom="paragraph">
              <wp:posOffset>-2905125</wp:posOffset>
            </wp:positionV>
            <wp:extent cx="68580" cy="8255"/>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3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4385310</wp:posOffset>
            </wp:positionH>
            <wp:positionV relativeFrom="paragraph">
              <wp:posOffset>-2922270</wp:posOffset>
            </wp:positionV>
            <wp:extent cx="68580" cy="8255"/>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3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4385310</wp:posOffset>
            </wp:positionH>
            <wp:positionV relativeFrom="paragraph">
              <wp:posOffset>-2905125</wp:posOffset>
            </wp:positionV>
            <wp:extent cx="68580" cy="8255"/>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3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4882515</wp:posOffset>
            </wp:positionH>
            <wp:positionV relativeFrom="paragraph">
              <wp:posOffset>-2922270</wp:posOffset>
            </wp:positionV>
            <wp:extent cx="68580" cy="8255"/>
            <wp:wrapNone/>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3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4882515</wp:posOffset>
            </wp:positionH>
            <wp:positionV relativeFrom="paragraph">
              <wp:posOffset>-2905125</wp:posOffset>
            </wp:positionV>
            <wp:extent cx="68580" cy="8255"/>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3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5371465</wp:posOffset>
            </wp:positionH>
            <wp:positionV relativeFrom="paragraph">
              <wp:posOffset>-2922270</wp:posOffset>
            </wp:positionV>
            <wp:extent cx="68580" cy="8255"/>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3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5371465</wp:posOffset>
            </wp:positionH>
            <wp:positionV relativeFrom="paragraph">
              <wp:posOffset>-2905125</wp:posOffset>
            </wp:positionV>
            <wp:extent cx="68580" cy="8255"/>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4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5937250</wp:posOffset>
            </wp:positionH>
            <wp:positionV relativeFrom="paragraph">
              <wp:posOffset>-2922270</wp:posOffset>
            </wp:positionV>
            <wp:extent cx="68580" cy="8255"/>
            <wp:wrapNone/>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4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5937250</wp:posOffset>
            </wp:positionH>
            <wp:positionV relativeFrom="paragraph">
              <wp:posOffset>-2905125</wp:posOffset>
            </wp:positionV>
            <wp:extent cx="68580" cy="8255"/>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4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6528435</wp:posOffset>
            </wp:positionH>
            <wp:positionV relativeFrom="paragraph">
              <wp:posOffset>-2922270</wp:posOffset>
            </wp:positionV>
            <wp:extent cx="68580" cy="8255"/>
            <wp:wrapNone/>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4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6528435</wp:posOffset>
            </wp:positionH>
            <wp:positionV relativeFrom="paragraph">
              <wp:posOffset>-2905125</wp:posOffset>
            </wp:positionV>
            <wp:extent cx="68580" cy="8255"/>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4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-2922270</wp:posOffset>
            </wp:positionV>
            <wp:extent cx="68580" cy="8255"/>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4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-2905125</wp:posOffset>
            </wp:positionV>
            <wp:extent cx="68580" cy="8255"/>
            <wp:wrapNone/>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4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2131060</wp:posOffset>
            </wp:positionH>
            <wp:positionV relativeFrom="paragraph">
              <wp:posOffset>-1774190</wp:posOffset>
            </wp:positionV>
            <wp:extent cx="77470" cy="8890"/>
            <wp:wrapNone/>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47">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2131060</wp:posOffset>
            </wp:positionH>
            <wp:positionV relativeFrom="paragraph">
              <wp:posOffset>-1757045</wp:posOffset>
            </wp:positionV>
            <wp:extent cx="77470" cy="8255"/>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48">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2731135</wp:posOffset>
            </wp:positionH>
            <wp:positionV relativeFrom="paragraph">
              <wp:posOffset>-1774190</wp:posOffset>
            </wp:positionV>
            <wp:extent cx="76835" cy="8890"/>
            <wp:wrapNone/>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49">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2731135</wp:posOffset>
            </wp:positionH>
            <wp:positionV relativeFrom="paragraph">
              <wp:posOffset>-1757045</wp:posOffset>
            </wp:positionV>
            <wp:extent cx="76835" cy="8255"/>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50">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3262630</wp:posOffset>
            </wp:positionH>
            <wp:positionV relativeFrom="paragraph">
              <wp:posOffset>-1774190</wp:posOffset>
            </wp:positionV>
            <wp:extent cx="77470" cy="8890"/>
            <wp:wrapNone/>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51">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3262630</wp:posOffset>
            </wp:positionH>
            <wp:positionV relativeFrom="paragraph">
              <wp:posOffset>-1757045</wp:posOffset>
            </wp:positionV>
            <wp:extent cx="77470" cy="8255"/>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52">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3845560</wp:posOffset>
            </wp:positionH>
            <wp:positionV relativeFrom="paragraph">
              <wp:posOffset>-1774190</wp:posOffset>
            </wp:positionV>
            <wp:extent cx="68580" cy="8890"/>
            <wp:wrapNone/>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5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3845560</wp:posOffset>
            </wp:positionH>
            <wp:positionV relativeFrom="paragraph">
              <wp:posOffset>-1757045</wp:posOffset>
            </wp:positionV>
            <wp:extent cx="68580" cy="8255"/>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5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4385310</wp:posOffset>
            </wp:positionH>
            <wp:positionV relativeFrom="paragraph">
              <wp:posOffset>-1774190</wp:posOffset>
            </wp:positionV>
            <wp:extent cx="68580" cy="8890"/>
            <wp:wrapNone/>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5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4385310</wp:posOffset>
            </wp:positionH>
            <wp:positionV relativeFrom="paragraph">
              <wp:posOffset>-1757045</wp:posOffset>
            </wp:positionV>
            <wp:extent cx="68580" cy="8255"/>
            <wp:wrapNone/>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4882515</wp:posOffset>
            </wp:positionH>
            <wp:positionV relativeFrom="paragraph">
              <wp:posOffset>-1774190</wp:posOffset>
            </wp:positionV>
            <wp:extent cx="68580" cy="8890"/>
            <wp:wrapNone/>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5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4882515</wp:posOffset>
            </wp:positionH>
            <wp:positionV relativeFrom="paragraph">
              <wp:posOffset>-1757045</wp:posOffset>
            </wp:positionV>
            <wp:extent cx="68580" cy="8255"/>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5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5371465</wp:posOffset>
            </wp:positionH>
            <wp:positionV relativeFrom="paragraph">
              <wp:posOffset>-1774190</wp:posOffset>
            </wp:positionV>
            <wp:extent cx="68580" cy="8890"/>
            <wp:wrapNone/>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5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5371465</wp:posOffset>
            </wp:positionH>
            <wp:positionV relativeFrom="paragraph">
              <wp:posOffset>-1757045</wp:posOffset>
            </wp:positionV>
            <wp:extent cx="68580" cy="8255"/>
            <wp:wrapNone/>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6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5937250</wp:posOffset>
            </wp:positionH>
            <wp:positionV relativeFrom="paragraph">
              <wp:posOffset>-1774190</wp:posOffset>
            </wp:positionV>
            <wp:extent cx="68580" cy="8890"/>
            <wp:wrapNone/>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6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5937250</wp:posOffset>
            </wp:positionH>
            <wp:positionV relativeFrom="paragraph">
              <wp:posOffset>-1757045</wp:posOffset>
            </wp:positionV>
            <wp:extent cx="68580" cy="8255"/>
            <wp:wrapNone/>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6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6528435</wp:posOffset>
            </wp:positionH>
            <wp:positionV relativeFrom="paragraph">
              <wp:posOffset>-1774190</wp:posOffset>
            </wp:positionV>
            <wp:extent cx="68580" cy="8890"/>
            <wp:wrapNone/>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6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6528435</wp:posOffset>
            </wp:positionH>
            <wp:positionV relativeFrom="paragraph">
              <wp:posOffset>-1757045</wp:posOffset>
            </wp:positionV>
            <wp:extent cx="68580" cy="8255"/>
            <wp:wrapNone/>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6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-1774190</wp:posOffset>
            </wp:positionV>
            <wp:extent cx="68580" cy="8890"/>
            <wp:wrapNone/>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6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-1757045</wp:posOffset>
            </wp:positionV>
            <wp:extent cx="68580" cy="8255"/>
            <wp:wrapNone/>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6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2131060</wp:posOffset>
            </wp:positionH>
            <wp:positionV relativeFrom="paragraph">
              <wp:posOffset>-205105</wp:posOffset>
            </wp:positionV>
            <wp:extent cx="77470" cy="8255"/>
            <wp:wrapNone/>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67">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2731135</wp:posOffset>
            </wp:positionH>
            <wp:positionV relativeFrom="paragraph">
              <wp:posOffset>-205105</wp:posOffset>
            </wp:positionV>
            <wp:extent cx="76835" cy="8255"/>
            <wp:wrapNone/>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68">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3262630</wp:posOffset>
            </wp:positionH>
            <wp:positionV relativeFrom="paragraph">
              <wp:posOffset>-205105</wp:posOffset>
            </wp:positionV>
            <wp:extent cx="77470" cy="8255"/>
            <wp:wrapNone/>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69">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3845560</wp:posOffset>
            </wp:positionH>
            <wp:positionV relativeFrom="paragraph">
              <wp:posOffset>-205105</wp:posOffset>
            </wp:positionV>
            <wp:extent cx="68580" cy="8255"/>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7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4385310</wp:posOffset>
            </wp:positionH>
            <wp:positionV relativeFrom="paragraph">
              <wp:posOffset>-205105</wp:posOffset>
            </wp:positionV>
            <wp:extent cx="68580" cy="8255"/>
            <wp:wrapNone/>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7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4882515</wp:posOffset>
            </wp:positionH>
            <wp:positionV relativeFrom="paragraph">
              <wp:posOffset>-205105</wp:posOffset>
            </wp:positionV>
            <wp:extent cx="68580" cy="8255"/>
            <wp:wrapNone/>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5371465</wp:posOffset>
            </wp:positionH>
            <wp:positionV relativeFrom="paragraph">
              <wp:posOffset>-205105</wp:posOffset>
            </wp:positionV>
            <wp:extent cx="68580" cy="8255"/>
            <wp:wrapNone/>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7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5937250</wp:posOffset>
            </wp:positionH>
            <wp:positionV relativeFrom="paragraph">
              <wp:posOffset>-205105</wp:posOffset>
            </wp:positionV>
            <wp:extent cx="68580" cy="8255"/>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6528435</wp:posOffset>
            </wp:positionH>
            <wp:positionV relativeFrom="paragraph">
              <wp:posOffset>-205105</wp:posOffset>
            </wp:positionV>
            <wp:extent cx="68580" cy="8255"/>
            <wp:wrapNone/>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7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-205105</wp:posOffset>
            </wp:positionV>
            <wp:extent cx="68580" cy="825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76">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The accompanying notes are an integral part of these Consolidated Financial Statements.</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7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08" w:right="339" w:bottom="1440" w:gutter="0" w:footer="0" w:header="0"/>
        </w:sectPr>
      </w:pPr>
    </w:p>
    <w:bookmarkStart w:id="76" w:name="page77"/>
    <w:bookmarkEnd w:id="76"/>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STATEMENTS OF CASH FLOWS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200"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300" w:type="dxa"/>
            <w:vAlign w:val="bottom"/>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1100" w:type="dxa"/>
            <w:vAlign w:val="bottom"/>
            <w:tcBorders>
              <w:bottom w:val="single" w:sz="8" w:color="auto"/>
            </w:tcBorders>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1860" w:type="dxa"/>
            <w:vAlign w:val="bottom"/>
            <w:tcBorders>
              <w:bottom w:val="single" w:sz="8" w:color="auto"/>
            </w:tcBorders>
            <w:gridSpan w:val="4"/>
          </w:tcPr>
          <w:p>
            <w:pPr>
              <w:jc w:val="right"/>
              <w:ind w:right="14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320" w:type="dxa"/>
            <w:vAlign w:val="bottom"/>
            <w:tcBorders>
              <w:bottom w:val="single" w:sz="8" w:color="auto"/>
            </w:tcBorders>
          </w:tcPr>
          <w:p>
            <w:pPr>
              <w:spacing w:after="0"/>
              <w:rPr>
                <w:sz w:val="15"/>
                <w:szCs w:val="15"/>
                <w:color w:val="auto"/>
              </w:rPr>
            </w:pPr>
          </w:p>
        </w:tc>
        <w:tc>
          <w:tcPr>
            <w:tcW w:w="1120" w:type="dxa"/>
            <w:vAlign w:val="bottom"/>
            <w:tcBorders>
              <w:bottom w:val="single" w:sz="8" w:color="auto"/>
            </w:tcBorders>
          </w:tcPr>
          <w:p>
            <w:pPr>
              <w:spacing w:after="0"/>
              <w:rPr>
                <w:sz w:val="15"/>
                <w:szCs w:val="15"/>
                <w:color w:val="auto"/>
              </w:rPr>
            </w:pPr>
          </w:p>
        </w:tc>
        <w:tc>
          <w:tcPr>
            <w:tcW w:w="120" w:type="dxa"/>
            <w:vAlign w:val="bottom"/>
          </w:tcPr>
          <w:p>
            <w:pPr>
              <w:spacing w:after="0"/>
              <w:rPr>
                <w:sz w:val="15"/>
                <w:szCs w:val="15"/>
                <w:color w:val="auto"/>
              </w:rPr>
            </w:pPr>
          </w:p>
        </w:tc>
      </w:tr>
      <w:tr>
        <w:trPr>
          <w:trHeight w:val="142"/>
        </w:trPr>
        <w:tc>
          <w:tcPr>
            <w:tcW w:w="630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100" w:type="dxa"/>
            <w:vAlign w:val="bottom"/>
            <w:tcBorders>
              <w:bottom w:val="single" w:sz="8" w:color="auto"/>
            </w:tcBorders>
          </w:tcPr>
          <w:p>
            <w:pPr>
              <w:jc w:val="right"/>
              <w:ind w:right="488"/>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Borders>
              <w:bottom w:val="single" w:sz="8" w:color="auto"/>
            </w:tcBorders>
          </w:tcPr>
          <w:p>
            <w:pPr>
              <w:spacing w:after="0"/>
              <w:rPr>
                <w:sz w:val="12"/>
                <w:szCs w:val="12"/>
                <w:color w:val="auto"/>
              </w:rPr>
            </w:pPr>
          </w:p>
        </w:tc>
        <w:tc>
          <w:tcPr>
            <w:tcW w:w="1100" w:type="dxa"/>
            <w:vAlign w:val="bottom"/>
            <w:tcBorders>
              <w:bottom w:val="single" w:sz="8" w:color="auto"/>
            </w:tcBorders>
          </w:tcPr>
          <w:p>
            <w:pPr>
              <w:jc w:val="right"/>
              <w:ind w:right="508"/>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6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120" w:type="dxa"/>
            <w:vAlign w:val="bottom"/>
            <w:tcBorders>
              <w:bottom w:val="single" w:sz="8" w:color="auto"/>
            </w:tcBorders>
          </w:tcPr>
          <w:p>
            <w:pPr>
              <w:jc w:val="right"/>
              <w:ind w:right="508"/>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120" w:type="dxa"/>
            <w:vAlign w:val="bottom"/>
          </w:tcPr>
          <w:p>
            <w:pPr>
              <w:spacing w:after="0"/>
              <w:rPr>
                <w:sz w:val="12"/>
                <w:szCs w:val="12"/>
                <w:color w:val="auto"/>
              </w:rPr>
            </w:pPr>
          </w:p>
        </w:tc>
      </w:tr>
      <w:tr>
        <w:trPr>
          <w:trHeight w:val="142"/>
        </w:trPr>
        <w:tc>
          <w:tcPr>
            <w:tcW w:w="6300" w:type="dxa"/>
            <w:vAlign w:val="bottom"/>
            <w:shd w:val="clear" w:color="auto" w:fill="CFF0FC"/>
          </w:tcPr>
          <w:p>
            <w:pPr>
              <w:ind w:left="20"/>
              <w:spacing w:after="0" w:line="142" w:lineRule="exact"/>
              <w:rPr>
                <w:sz w:val="20"/>
                <w:szCs w:val="20"/>
                <w:color w:val="auto"/>
              </w:rPr>
            </w:pPr>
            <w:r>
              <w:rPr>
                <w:rFonts w:ascii="Times New Roman" w:cs="Times New Roman" w:eastAsia="Times New Roman" w:hAnsi="Times New Roman"/>
                <w:sz w:val="14"/>
                <w:szCs w:val="14"/>
                <w:b w:val="1"/>
                <w:bCs w:val="1"/>
                <w:color w:val="auto"/>
              </w:rPr>
              <w:t>Operating activities:</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spacing w:after="0"/>
              <w:rPr>
                <w:sz w:val="12"/>
                <w:szCs w:val="12"/>
                <w:color w:val="auto"/>
              </w:rPr>
            </w:pP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spacing w:after="0"/>
              <w:rPr>
                <w:sz w:val="12"/>
                <w:szCs w:val="12"/>
                <w:color w:val="auto"/>
              </w:rPr>
            </w:pP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spacing w:after="0"/>
              <w:rPr>
                <w:sz w:val="12"/>
                <w:szCs w:val="12"/>
                <w:color w:val="auto"/>
              </w:rPr>
            </w:pP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Net (loss) income</w:t>
            </w:r>
          </w:p>
        </w:tc>
        <w:tc>
          <w:tcPr>
            <w:tcW w:w="320" w:type="dxa"/>
            <w:vAlign w:val="bottom"/>
          </w:tcPr>
          <w:p>
            <w:pPr>
              <w:jc w:val="right"/>
              <w:ind w:right="168"/>
              <w:spacing w:after="0" w:line="149" w:lineRule="exact"/>
              <w:rPr>
                <w:sz w:val="20"/>
                <w:szCs w:val="20"/>
                <w:color w:val="auto"/>
              </w:rPr>
            </w:pPr>
            <w:r>
              <w:rPr>
                <w:rFonts w:ascii="Times New Roman" w:cs="Times New Roman" w:eastAsia="Times New Roman" w:hAnsi="Times New Roman"/>
                <w:sz w:val="14"/>
                <w:szCs w:val="14"/>
                <w:color w:val="auto"/>
                <w:w w:val="85"/>
              </w:rPr>
              <w:t>$</w:t>
            </w: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(1,166,661 )</w:t>
            </w:r>
          </w:p>
        </w:tc>
        <w:tc>
          <w:tcPr>
            <w:tcW w:w="500" w:type="dxa"/>
            <w:vAlign w:val="bottom"/>
            <w:gridSpan w:val="2"/>
          </w:tcPr>
          <w:p>
            <w:pPr>
              <w:jc w:val="right"/>
              <w:ind w:right="168"/>
              <w:spacing w:after="0" w:line="149" w:lineRule="exact"/>
              <w:rPr>
                <w:sz w:val="20"/>
                <w:szCs w:val="20"/>
                <w:color w:val="auto"/>
              </w:rPr>
            </w:pPr>
            <w:r>
              <w:rPr>
                <w:rFonts w:ascii="Times New Roman" w:cs="Times New Roman" w:eastAsia="Times New Roman" w:hAnsi="Times New Roman"/>
                <w:sz w:val="14"/>
                <w:szCs w:val="14"/>
                <w:color w:val="auto"/>
              </w:rPr>
              <w:t>$</w:t>
            </w: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429,121</w:t>
            </w:r>
          </w:p>
        </w:tc>
        <w:tc>
          <w:tcPr>
            <w:tcW w:w="260" w:type="dxa"/>
            <w:vAlign w:val="bottom"/>
          </w:tcPr>
          <w:p>
            <w:pPr>
              <w:spacing w:after="0"/>
              <w:rPr>
                <w:sz w:val="12"/>
                <w:szCs w:val="12"/>
                <w:color w:val="auto"/>
              </w:rPr>
            </w:pPr>
          </w:p>
        </w:tc>
        <w:tc>
          <w:tcPr>
            <w:tcW w:w="320" w:type="dxa"/>
            <w:vAlign w:val="bottom"/>
          </w:tcPr>
          <w:p>
            <w:pPr>
              <w:jc w:val="right"/>
              <w:ind w:right="168"/>
              <w:spacing w:after="0" w:line="149" w:lineRule="exact"/>
              <w:rPr>
                <w:sz w:val="20"/>
                <w:szCs w:val="20"/>
                <w:color w:val="auto"/>
              </w:rPr>
            </w:pPr>
            <w:r>
              <w:rPr>
                <w:rFonts w:ascii="Times New Roman" w:cs="Times New Roman" w:eastAsia="Times New Roman" w:hAnsi="Times New Roman"/>
                <w:sz w:val="14"/>
                <w:szCs w:val="14"/>
                <w:color w:val="auto"/>
                <w:w w:val="85"/>
              </w:rPr>
              <w:t>$</w:t>
            </w: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(1,469,797 )</w:t>
            </w:r>
          </w:p>
        </w:tc>
      </w:tr>
      <w:tr>
        <w:trPr>
          <w:trHeight w:val="149"/>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Adjustments to reconcile net (loss) income to net cash (used in) provided by operating activities:</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spacing w:after="0"/>
              <w:rPr>
                <w:sz w:val="12"/>
                <w:szCs w:val="12"/>
                <w:color w:val="auto"/>
              </w:rPr>
            </w:pP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spacing w:after="0"/>
              <w:rPr>
                <w:sz w:val="12"/>
                <w:szCs w:val="12"/>
                <w:color w:val="auto"/>
              </w:rPr>
            </w:pP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spacing w:after="0"/>
              <w:rPr>
                <w:sz w:val="12"/>
                <w:szCs w:val="12"/>
                <w:color w:val="auto"/>
              </w:rPr>
            </w:pP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Depreciation and amortization</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17,808</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14,527</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10,874</w:t>
            </w: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380"/>
              <w:spacing w:after="0" w:line="149" w:lineRule="exact"/>
              <w:rPr>
                <w:sz w:val="20"/>
                <w:szCs w:val="20"/>
                <w:color w:val="auto"/>
              </w:rPr>
            </w:pPr>
            <w:r>
              <w:rPr>
                <w:rFonts w:ascii="Times New Roman" w:cs="Times New Roman" w:eastAsia="Times New Roman" w:hAnsi="Times New Roman"/>
                <w:sz w:val="14"/>
                <w:szCs w:val="14"/>
                <w:color w:val="auto"/>
              </w:rPr>
              <w:t>Reduction in carrying amount of right-of-use assets</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8,475</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8,643</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8,072</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Credit losses and sales allowances</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649</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1,387</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939</w:t>
            </w: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380"/>
              <w:spacing w:after="0" w:line="149" w:lineRule="exact"/>
              <w:rPr>
                <w:sz w:val="20"/>
                <w:szCs w:val="20"/>
                <w:color w:val="auto"/>
              </w:rPr>
            </w:pPr>
            <w:r>
              <w:rPr>
                <w:rFonts w:ascii="Times New Roman" w:cs="Times New Roman" w:eastAsia="Times New Roman" w:hAnsi="Times New Roman"/>
                <w:sz w:val="14"/>
                <w:szCs w:val="14"/>
                <w:color w:val="auto"/>
              </w:rPr>
              <w:t>Deferred taxes</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(774,586 )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(568,949 )</w:t>
            </w: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131,493</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Release of liabilities for unrecognized tax benefits</w:t>
            </w:r>
          </w:p>
        </w:tc>
        <w:tc>
          <w:tcPr>
            <w:tcW w:w="320" w:type="dxa"/>
            <w:vAlign w:val="bottom"/>
          </w:tcPr>
          <w:p>
            <w:pPr>
              <w:spacing w:after="0"/>
              <w:rPr>
                <w:sz w:val="12"/>
                <w:szCs w:val="12"/>
                <w:color w:val="auto"/>
              </w:rPr>
            </w:pP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(1,265 )</w:t>
            </w: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360" w:type="dxa"/>
            <w:vAlign w:val="bottom"/>
            <w:gridSpan w:val="2"/>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(506 )</w:t>
            </w:r>
          </w:p>
        </w:tc>
        <w:tc>
          <w:tcPr>
            <w:tcW w:w="320" w:type="dxa"/>
            <w:vAlign w:val="bottom"/>
          </w:tcPr>
          <w:p>
            <w:pPr>
              <w:spacing w:after="0"/>
              <w:rPr>
                <w:sz w:val="12"/>
                <w:szCs w:val="12"/>
                <w:color w:val="auto"/>
              </w:rPr>
            </w:pP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(360 )</w:t>
            </w:r>
          </w:p>
        </w:tc>
      </w:tr>
      <w:tr>
        <w:trPr>
          <w:trHeight w:val="149"/>
        </w:trPr>
        <w:tc>
          <w:tcPr>
            <w:tcW w:w="6300" w:type="dxa"/>
            <w:vAlign w:val="bottom"/>
            <w:shd w:val="clear" w:color="auto" w:fill="CFF0FC"/>
          </w:tcPr>
          <w:p>
            <w:pPr>
              <w:ind w:left="380"/>
              <w:spacing w:after="0" w:line="149" w:lineRule="exact"/>
              <w:rPr>
                <w:sz w:val="20"/>
                <w:szCs w:val="20"/>
                <w:color w:val="auto"/>
              </w:rPr>
            </w:pPr>
            <w:r>
              <w:rPr>
                <w:rFonts w:ascii="Times New Roman" w:cs="Times New Roman" w:eastAsia="Times New Roman" w:hAnsi="Times New Roman"/>
                <w:sz w:val="14"/>
                <w:szCs w:val="14"/>
                <w:color w:val="auto"/>
              </w:rPr>
              <w:t>Share-based compensation expense</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77,124</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69,571</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63,619</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Digital asset impairment losses (gains on sale), net</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1,789,862</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115,851</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1,286,286</w:t>
            </w: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380"/>
              <w:spacing w:after="0" w:line="149" w:lineRule="exact"/>
              <w:rPr>
                <w:sz w:val="20"/>
                <w:szCs w:val="20"/>
                <w:color w:val="auto"/>
              </w:rPr>
            </w:pPr>
            <w:r>
              <w:rPr>
                <w:rFonts w:ascii="Times New Roman" w:cs="Times New Roman" w:eastAsia="Times New Roman" w:hAnsi="Times New Roman"/>
                <w:sz w:val="14"/>
                <w:szCs w:val="14"/>
                <w:color w:val="auto"/>
              </w:rPr>
              <w:t>Amortization of issuance costs on long-term debt</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15,336</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8,808</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8,694</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Loss (gain) on debt extinguishment</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22,933</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360" w:type="dxa"/>
            <w:vAlign w:val="bottom"/>
            <w:gridSpan w:val="2"/>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(44,686 )</w:t>
            </w: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Changes in operating assets and liabilities:</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spacing w:after="0"/>
              <w:rPr>
                <w:sz w:val="12"/>
                <w:szCs w:val="12"/>
                <w:color w:val="auto"/>
              </w:rPr>
            </w:pP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spacing w:after="0"/>
              <w:rPr>
                <w:sz w:val="12"/>
                <w:szCs w:val="12"/>
                <w:color w:val="auto"/>
              </w:rPr>
            </w:pP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spacing w:after="0"/>
              <w:rPr>
                <w:sz w:val="12"/>
                <w:szCs w:val="12"/>
                <w:color w:val="auto"/>
              </w:rPr>
            </w:pPr>
          </w:p>
        </w:tc>
        <w:tc>
          <w:tcPr>
            <w:tcW w:w="120" w:type="dxa"/>
            <w:vAlign w:val="bottom"/>
            <w:shd w:val="clear" w:color="auto" w:fill="CFF0FC"/>
          </w:tcPr>
          <w:p>
            <w:pPr>
              <w:spacing w:after="0"/>
              <w:rPr>
                <w:sz w:val="12"/>
                <w:szCs w:val="12"/>
                <w:color w:val="auto"/>
              </w:rPr>
            </w:pPr>
          </w:p>
        </w:tc>
      </w:tr>
      <w:tr>
        <w:trPr>
          <w:trHeight w:val="149"/>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Accounts receivable</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5,688</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10,307</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(5,292 )</w:t>
            </w:r>
          </w:p>
        </w:tc>
      </w:tr>
      <w:tr>
        <w:trPr>
          <w:trHeight w:val="148"/>
        </w:trPr>
        <w:tc>
          <w:tcPr>
            <w:tcW w:w="6300" w:type="dxa"/>
            <w:vAlign w:val="bottom"/>
            <w:shd w:val="clear" w:color="auto" w:fill="CFF0FC"/>
          </w:tcPr>
          <w:p>
            <w:pPr>
              <w:ind w:left="380"/>
              <w:spacing w:after="0" w:line="149" w:lineRule="exact"/>
              <w:rPr>
                <w:sz w:val="20"/>
                <w:szCs w:val="20"/>
                <w:color w:val="auto"/>
              </w:rPr>
            </w:pPr>
            <w:r>
              <w:rPr>
                <w:rFonts w:ascii="Times New Roman" w:cs="Times New Roman" w:eastAsia="Times New Roman" w:hAnsi="Times New Roman"/>
                <w:sz w:val="14"/>
                <w:szCs w:val="14"/>
                <w:color w:val="auto"/>
              </w:rPr>
              <w:t>Prepaid expenses and other current assets</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3,804</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(11,358 )</w:t>
            </w:r>
          </w:p>
        </w:tc>
        <w:tc>
          <w:tcPr>
            <w:tcW w:w="320" w:type="dxa"/>
            <w:vAlign w:val="bottom"/>
            <w:shd w:val="clear" w:color="auto" w:fill="CFF0FC"/>
          </w:tcPr>
          <w:p>
            <w:pPr>
              <w:spacing w:after="0"/>
              <w:rPr>
                <w:sz w:val="12"/>
                <w:szCs w:val="12"/>
                <w:color w:val="auto"/>
              </w:rPr>
            </w:pPr>
          </w:p>
        </w:tc>
        <w:tc>
          <w:tcPr>
            <w:tcW w:w="1240" w:type="dxa"/>
            <w:vAlign w:val="bottom"/>
            <w:gridSpan w:val="2"/>
            <w:shd w:val="clear" w:color="auto" w:fill="CFF0FC"/>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(6,342 )</w:t>
            </w:r>
          </w:p>
        </w:tc>
      </w:tr>
      <w:tr>
        <w:trPr>
          <w:trHeight w:val="148"/>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Deposits and other assets</w:t>
            </w:r>
          </w:p>
        </w:tc>
        <w:tc>
          <w:tcPr>
            <w:tcW w:w="320" w:type="dxa"/>
            <w:vAlign w:val="bottom"/>
          </w:tcPr>
          <w:p>
            <w:pPr>
              <w:spacing w:after="0"/>
              <w:rPr>
                <w:sz w:val="12"/>
                <w:szCs w:val="12"/>
                <w:color w:val="auto"/>
              </w:rPr>
            </w:pP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(10,668 )</w:t>
            </w: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360" w:type="dxa"/>
            <w:vAlign w:val="bottom"/>
            <w:gridSpan w:val="2"/>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(632 )</w:t>
            </w:r>
          </w:p>
        </w:tc>
        <w:tc>
          <w:tcPr>
            <w:tcW w:w="320" w:type="dxa"/>
            <w:vAlign w:val="bottom"/>
          </w:tcPr>
          <w:p>
            <w:pPr>
              <w:spacing w:after="0"/>
              <w:rPr>
                <w:sz w:val="12"/>
                <w:szCs w:val="12"/>
                <w:color w:val="auto"/>
              </w:rPr>
            </w:pP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(7,455 )</w:t>
            </w:r>
          </w:p>
        </w:tc>
      </w:tr>
      <w:tr>
        <w:trPr>
          <w:trHeight w:val="148"/>
        </w:trPr>
        <w:tc>
          <w:tcPr>
            <w:tcW w:w="6300" w:type="dxa"/>
            <w:vAlign w:val="bottom"/>
            <w:shd w:val="clear" w:color="auto" w:fill="CFF0FC"/>
          </w:tcPr>
          <w:p>
            <w:pPr>
              <w:ind w:left="380"/>
              <w:spacing w:after="0" w:line="149" w:lineRule="exact"/>
              <w:rPr>
                <w:sz w:val="20"/>
                <w:szCs w:val="20"/>
                <w:color w:val="auto"/>
              </w:rPr>
            </w:pPr>
            <w:r>
              <w:rPr>
                <w:rFonts w:ascii="Times New Roman" w:cs="Times New Roman" w:eastAsia="Times New Roman" w:hAnsi="Times New Roman"/>
                <w:sz w:val="14"/>
                <w:szCs w:val="14"/>
                <w:color w:val="auto"/>
              </w:rPr>
              <w:t>Accounts payable and accrued expenses</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1,141</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(634 )</w:t>
            </w:r>
          </w:p>
        </w:tc>
        <w:tc>
          <w:tcPr>
            <w:tcW w:w="320" w:type="dxa"/>
            <w:vAlign w:val="bottom"/>
            <w:shd w:val="clear" w:color="auto" w:fill="CFF0FC"/>
          </w:tcPr>
          <w:p>
            <w:pPr>
              <w:spacing w:after="0"/>
              <w:rPr>
                <w:sz w:val="12"/>
                <w:szCs w:val="12"/>
                <w:color w:val="auto"/>
              </w:rPr>
            </w:pPr>
          </w:p>
        </w:tc>
        <w:tc>
          <w:tcPr>
            <w:tcW w:w="1240" w:type="dxa"/>
            <w:vAlign w:val="bottom"/>
            <w:gridSpan w:val="2"/>
            <w:shd w:val="clear" w:color="auto" w:fill="CFF0FC"/>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(3,521 )</w:t>
            </w:r>
          </w:p>
        </w:tc>
      </w:tr>
      <w:tr>
        <w:trPr>
          <w:trHeight w:val="148"/>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Accrued compensation and employee benefits</w:t>
            </w:r>
          </w:p>
        </w:tc>
        <w:tc>
          <w:tcPr>
            <w:tcW w:w="320" w:type="dxa"/>
            <w:vAlign w:val="bottom"/>
          </w:tcPr>
          <w:p>
            <w:pPr>
              <w:spacing w:after="0"/>
              <w:rPr>
                <w:sz w:val="12"/>
                <w:szCs w:val="12"/>
                <w:color w:val="auto"/>
              </w:rPr>
            </w:pP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(34,563 )</w:t>
            </w: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360" w:type="dxa"/>
            <w:vAlign w:val="bottom"/>
            <w:gridSpan w:val="2"/>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(12,000 )</w:t>
            </w:r>
          </w:p>
        </w:tc>
        <w:tc>
          <w:tcPr>
            <w:tcW w:w="320" w:type="dxa"/>
            <w:vAlign w:val="bottom"/>
          </w:tcPr>
          <w:p>
            <w:pPr>
              <w:spacing w:after="0"/>
              <w:rPr>
                <w:sz w:val="12"/>
                <w:szCs w:val="12"/>
                <w:color w:val="auto"/>
              </w:rPr>
            </w:pP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(12,344 )</w:t>
            </w:r>
          </w:p>
        </w:tc>
      </w:tr>
      <w:tr>
        <w:trPr>
          <w:trHeight w:val="149"/>
        </w:trPr>
        <w:tc>
          <w:tcPr>
            <w:tcW w:w="6300" w:type="dxa"/>
            <w:vAlign w:val="bottom"/>
            <w:shd w:val="clear" w:color="auto" w:fill="CFF0FC"/>
          </w:tcPr>
          <w:p>
            <w:pPr>
              <w:ind w:left="380"/>
              <w:spacing w:after="0" w:line="149" w:lineRule="exact"/>
              <w:rPr>
                <w:sz w:val="20"/>
                <w:szCs w:val="20"/>
                <w:color w:val="auto"/>
              </w:rPr>
            </w:pPr>
            <w:r>
              <w:rPr>
                <w:rFonts w:ascii="Times New Roman" w:cs="Times New Roman" w:eastAsia="Times New Roman" w:hAnsi="Times New Roman"/>
                <w:sz w:val="14"/>
                <w:szCs w:val="14"/>
                <w:color w:val="auto"/>
              </w:rPr>
              <w:t>Accrued interest</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4,193</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(1,336 )</w:t>
            </w: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1,336</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Deferred revenue and advance payments</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1,049</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2,362</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14,839</w:t>
            </w: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380"/>
              <w:spacing w:after="0" w:line="149" w:lineRule="exact"/>
              <w:rPr>
                <w:sz w:val="20"/>
                <w:szCs w:val="20"/>
                <w:color w:val="auto"/>
              </w:rPr>
            </w:pPr>
            <w:r>
              <w:rPr>
                <w:rFonts w:ascii="Times New Roman" w:cs="Times New Roman" w:eastAsia="Times New Roman" w:hAnsi="Times New Roman"/>
                <w:sz w:val="14"/>
                <w:szCs w:val="14"/>
                <w:color w:val="auto"/>
              </w:rPr>
              <w:t>Operating lease liabilities</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(10,510 )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(10,218 )</w:t>
            </w:r>
          </w:p>
        </w:tc>
        <w:tc>
          <w:tcPr>
            <w:tcW w:w="320" w:type="dxa"/>
            <w:vAlign w:val="bottom"/>
            <w:shd w:val="clear" w:color="auto" w:fill="CFF0FC"/>
          </w:tcPr>
          <w:p>
            <w:pPr>
              <w:spacing w:after="0"/>
              <w:rPr>
                <w:sz w:val="12"/>
                <w:szCs w:val="12"/>
                <w:color w:val="auto"/>
              </w:rPr>
            </w:pPr>
          </w:p>
        </w:tc>
        <w:tc>
          <w:tcPr>
            <w:tcW w:w="1240" w:type="dxa"/>
            <w:vAlign w:val="bottom"/>
            <w:gridSpan w:val="2"/>
            <w:shd w:val="clear" w:color="auto" w:fill="CFF0FC"/>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(9,634 )</w:t>
            </w:r>
          </w:p>
        </w:tc>
      </w:tr>
      <w:tr>
        <w:trPr>
          <w:trHeight w:val="148"/>
        </w:trPr>
        <w:tc>
          <w:tcPr>
            <w:tcW w:w="6300" w:type="dxa"/>
            <w:vAlign w:val="bottom"/>
          </w:tcPr>
          <w:p>
            <w:pPr>
              <w:ind w:left="380"/>
              <w:spacing w:after="0" w:line="149" w:lineRule="exact"/>
              <w:rPr>
                <w:sz w:val="20"/>
                <w:szCs w:val="20"/>
                <w:color w:val="auto"/>
              </w:rPr>
            </w:pPr>
            <w:r>
              <w:rPr>
                <w:rFonts w:ascii="Times New Roman" w:cs="Times New Roman" w:eastAsia="Times New Roman" w:hAnsi="Times New Roman"/>
                <w:sz w:val="14"/>
                <w:szCs w:val="14"/>
                <w:color w:val="auto"/>
              </w:rPr>
              <w:t>Other long-term liabilities</w:t>
            </w:r>
          </w:p>
        </w:tc>
        <w:tc>
          <w:tcPr>
            <w:tcW w:w="320" w:type="dxa"/>
            <w:vAlign w:val="bottom"/>
          </w:tcPr>
          <w:p>
            <w:pPr>
              <w:spacing w:after="0"/>
              <w:rPr>
                <w:sz w:val="12"/>
                <w:szCs w:val="12"/>
                <w:color w:val="auto"/>
              </w:rPr>
            </w:pP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(2,841 )</w:t>
            </w: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2,454</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(8,196 )</w:t>
            </w:r>
          </w:p>
        </w:tc>
      </w:tr>
      <w:tr>
        <w:trPr>
          <w:trHeight w:val="20"/>
        </w:trPr>
        <w:tc>
          <w:tcPr>
            <w:tcW w:w="630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10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340" w:type="dxa"/>
            <w:vAlign w:val="bottom"/>
            <w:shd w:val="clear" w:color="auto" w:fill="000000"/>
          </w:tcPr>
          <w:p>
            <w:pPr>
              <w:spacing w:after="0" w:line="20" w:lineRule="exact"/>
              <w:rPr>
                <w:sz w:val="1"/>
                <w:szCs w:val="1"/>
                <w:color w:val="auto"/>
              </w:rPr>
            </w:pPr>
          </w:p>
        </w:tc>
        <w:tc>
          <w:tcPr>
            <w:tcW w:w="1100" w:type="dxa"/>
            <w:vAlign w:val="bottom"/>
            <w:shd w:val="clear" w:color="auto" w:fill="000000"/>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120" w:type="dxa"/>
            <w:vAlign w:val="bottom"/>
            <w:shd w:val="clear" w:color="auto" w:fill="000000"/>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r>
      <w:tr>
        <w:trPr>
          <w:trHeight w:val="142"/>
        </w:trPr>
        <w:tc>
          <w:tcPr>
            <w:tcW w:w="6300" w:type="dxa"/>
            <w:vAlign w:val="bottom"/>
            <w:shd w:val="clear" w:color="auto" w:fill="CFF0FC"/>
          </w:tcPr>
          <w:p>
            <w:pPr>
              <w:ind w:left="560"/>
              <w:spacing w:after="0" w:line="142" w:lineRule="exact"/>
              <w:rPr>
                <w:sz w:val="20"/>
                <w:szCs w:val="20"/>
                <w:color w:val="auto"/>
              </w:rPr>
            </w:pPr>
            <w:r>
              <w:rPr>
                <w:rFonts w:ascii="Times New Roman" w:cs="Times New Roman" w:eastAsia="Times New Roman" w:hAnsi="Times New Roman"/>
                <w:sz w:val="14"/>
                <w:szCs w:val="14"/>
                <w:color w:val="auto"/>
              </w:rPr>
              <w:t>Net cash (used in) provided by operating activities</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2" w:lineRule="exact"/>
              <w:rPr>
                <w:sz w:val="20"/>
                <w:szCs w:val="20"/>
                <w:color w:val="auto"/>
              </w:rPr>
            </w:pPr>
            <w:r>
              <w:rPr>
                <w:rFonts w:ascii="Times New Roman" w:cs="Times New Roman" w:eastAsia="Times New Roman" w:hAnsi="Times New Roman"/>
                <w:sz w:val="14"/>
                <w:szCs w:val="14"/>
                <w:color w:val="auto"/>
              </w:rPr>
              <w:t>(53,032 )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2" w:lineRule="exact"/>
              <w:rPr>
                <w:sz w:val="20"/>
                <w:szCs w:val="20"/>
                <w:color w:val="auto"/>
              </w:rPr>
            </w:pPr>
            <w:r>
              <w:rPr>
                <w:rFonts w:ascii="Times New Roman" w:cs="Times New Roman" w:eastAsia="Times New Roman" w:hAnsi="Times New Roman"/>
                <w:sz w:val="14"/>
                <w:szCs w:val="14"/>
                <w:color w:val="auto"/>
              </w:rPr>
              <w:t>12,712</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2" w:lineRule="exact"/>
              <w:rPr>
                <w:sz w:val="20"/>
                <w:szCs w:val="20"/>
                <w:color w:val="auto"/>
              </w:rPr>
            </w:pPr>
            <w:r>
              <w:rPr>
                <w:rFonts w:ascii="Times New Roman" w:cs="Times New Roman" w:eastAsia="Times New Roman" w:hAnsi="Times New Roman"/>
                <w:sz w:val="14"/>
                <w:szCs w:val="14"/>
                <w:color w:val="auto"/>
              </w:rPr>
              <w:t>3,211</w:t>
            </w:r>
          </w:p>
        </w:tc>
        <w:tc>
          <w:tcPr>
            <w:tcW w:w="120" w:type="dxa"/>
            <w:vAlign w:val="bottom"/>
            <w:shd w:val="clear" w:color="auto" w:fill="CFF0FC"/>
          </w:tcPr>
          <w:p>
            <w:pPr>
              <w:spacing w:after="0"/>
              <w:rPr>
                <w:sz w:val="12"/>
                <w:szCs w:val="12"/>
                <w:color w:val="auto"/>
              </w:rPr>
            </w:pPr>
          </w:p>
        </w:tc>
      </w:tr>
      <w:tr>
        <w:trPr>
          <w:trHeight w:val="149"/>
        </w:trPr>
        <w:tc>
          <w:tcPr>
            <w:tcW w:w="6300" w:type="dxa"/>
            <w:vAlign w:val="bottom"/>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Investing activities:</w:t>
            </w:r>
          </w:p>
        </w:tc>
        <w:tc>
          <w:tcPr>
            <w:tcW w:w="320" w:type="dxa"/>
            <w:vAlign w:val="bottom"/>
          </w:tcPr>
          <w:p>
            <w:pPr>
              <w:spacing w:after="0"/>
              <w:rPr>
                <w:sz w:val="12"/>
                <w:szCs w:val="12"/>
                <w:color w:val="auto"/>
              </w:rPr>
            </w:pPr>
          </w:p>
        </w:tc>
        <w:tc>
          <w:tcPr>
            <w:tcW w:w="110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spacing w:after="0"/>
              <w:rPr>
                <w:sz w:val="12"/>
                <w:szCs w:val="12"/>
                <w:color w:val="auto"/>
              </w:rPr>
            </w:pP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spacing w:after="0"/>
              <w:rPr>
                <w:sz w:val="12"/>
                <w:szCs w:val="12"/>
                <w:color w:val="auto"/>
              </w:rPr>
            </w:pP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Purchases of digital assets</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(22,072,759 )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(1,902,299 )</w:t>
            </w:r>
          </w:p>
        </w:tc>
        <w:tc>
          <w:tcPr>
            <w:tcW w:w="320" w:type="dxa"/>
            <w:vAlign w:val="bottom"/>
            <w:shd w:val="clear" w:color="auto" w:fill="CFF0FC"/>
          </w:tcPr>
          <w:p>
            <w:pPr>
              <w:spacing w:after="0"/>
              <w:rPr>
                <w:sz w:val="12"/>
                <w:szCs w:val="12"/>
                <w:color w:val="auto"/>
              </w:rPr>
            </w:pPr>
          </w:p>
        </w:tc>
        <w:tc>
          <w:tcPr>
            <w:tcW w:w="1240" w:type="dxa"/>
            <w:vAlign w:val="bottom"/>
            <w:gridSpan w:val="2"/>
            <w:shd w:val="clear" w:color="auto" w:fill="CFF0FC"/>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(287,921 )</w:t>
            </w:r>
          </w:p>
        </w:tc>
      </w:tr>
      <w:tr>
        <w:trPr>
          <w:trHeight w:val="148"/>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Proceeds from sale of digital assets</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11,817</w:t>
            </w: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Advance deposits on purchases of property and equipment</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(10,500 )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Purchases of property and equipment</w:t>
            </w:r>
          </w:p>
        </w:tc>
        <w:tc>
          <w:tcPr>
            <w:tcW w:w="320" w:type="dxa"/>
            <w:vAlign w:val="bottom"/>
          </w:tcPr>
          <w:p>
            <w:pPr>
              <w:spacing w:after="0"/>
              <w:rPr>
                <w:sz w:val="12"/>
                <w:szCs w:val="12"/>
                <w:color w:val="auto"/>
              </w:rPr>
            </w:pP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(2,978 )</w:t>
            </w: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360" w:type="dxa"/>
            <w:vAlign w:val="bottom"/>
            <w:gridSpan w:val="2"/>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(2,938 )</w:t>
            </w:r>
          </w:p>
        </w:tc>
        <w:tc>
          <w:tcPr>
            <w:tcW w:w="320" w:type="dxa"/>
            <w:vAlign w:val="bottom"/>
          </w:tcPr>
          <w:p>
            <w:pPr>
              <w:spacing w:after="0"/>
              <w:rPr>
                <w:sz w:val="12"/>
                <w:szCs w:val="12"/>
                <w:color w:val="auto"/>
              </w:rPr>
            </w:pP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(2,486 )</w:t>
            </w:r>
          </w:p>
        </w:tc>
      </w:tr>
      <w:tr>
        <w:trPr>
          <w:trHeight w:val="20"/>
        </w:trPr>
        <w:tc>
          <w:tcPr>
            <w:tcW w:w="630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10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340" w:type="dxa"/>
            <w:vAlign w:val="bottom"/>
            <w:shd w:val="clear" w:color="auto" w:fill="000000"/>
          </w:tcPr>
          <w:p>
            <w:pPr>
              <w:spacing w:after="0" w:line="20" w:lineRule="exact"/>
              <w:rPr>
                <w:sz w:val="1"/>
                <w:szCs w:val="1"/>
                <w:color w:val="auto"/>
              </w:rPr>
            </w:pPr>
          </w:p>
        </w:tc>
        <w:tc>
          <w:tcPr>
            <w:tcW w:w="1100" w:type="dxa"/>
            <w:vAlign w:val="bottom"/>
            <w:shd w:val="clear" w:color="auto" w:fill="000000"/>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120" w:type="dxa"/>
            <w:vAlign w:val="bottom"/>
            <w:shd w:val="clear" w:color="auto" w:fill="000000"/>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r>
      <w:tr>
        <w:trPr>
          <w:trHeight w:val="142"/>
        </w:trPr>
        <w:tc>
          <w:tcPr>
            <w:tcW w:w="6300" w:type="dxa"/>
            <w:vAlign w:val="bottom"/>
            <w:shd w:val="clear" w:color="auto" w:fill="CFF0FC"/>
          </w:tcPr>
          <w:p>
            <w:pPr>
              <w:ind w:left="560"/>
              <w:spacing w:after="0" w:line="142" w:lineRule="exact"/>
              <w:rPr>
                <w:sz w:val="20"/>
                <w:szCs w:val="20"/>
                <w:color w:val="auto"/>
              </w:rPr>
            </w:pPr>
            <w:r>
              <w:rPr>
                <w:rFonts w:ascii="Times New Roman" w:cs="Times New Roman" w:eastAsia="Times New Roman" w:hAnsi="Times New Roman"/>
                <w:sz w:val="14"/>
                <w:szCs w:val="14"/>
                <w:color w:val="auto"/>
              </w:rPr>
              <w:t>Net cash used in investing activities</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2" w:lineRule="exact"/>
              <w:rPr>
                <w:sz w:val="20"/>
                <w:szCs w:val="20"/>
                <w:color w:val="auto"/>
              </w:rPr>
            </w:pPr>
            <w:r>
              <w:rPr>
                <w:rFonts w:ascii="Times New Roman" w:cs="Times New Roman" w:eastAsia="Times New Roman" w:hAnsi="Times New Roman"/>
                <w:sz w:val="14"/>
                <w:szCs w:val="14"/>
                <w:color w:val="auto"/>
              </w:rPr>
              <w:t>(22,086,237 )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2" w:lineRule="exact"/>
              <w:rPr>
                <w:sz w:val="20"/>
                <w:szCs w:val="20"/>
                <w:color w:val="auto"/>
              </w:rPr>
            </w:pPr>
            <w:r>
              <w:rPr>
                <w:rFonts w:ascii="Times New Roman" w:cs="Times New Roman" w:eastAsia="Times New Roman" w:hAnsi="Times New Roman"/>
                <w:sz w:val="14"/>
                <w:szCs w:val="14"/>
                <w:color w:val="auto"/>
              </w:rPr>
              <w:t>(1,905,237 )</w:t>
            </w:r>
          </w:p>
        </w:tc>
        <w:tc>
          <w:tcPr>
            <w:tcW w:w="320" w:type="dxa"/>
            <w:vAlign w:val="bottom"/>
            <w:shd w:val="clear" w:color="auto" w:fill="CFF0FC"/>
          </w:tcPr>
          <w:p>
            <w:pPr>
              <w:spacing w:after="0"/>
              <w:rPr>
                <w:sz w:val="12"/>
                <w:szCs w:val="12"/>
                <w:color w:val="auto"/>
              </w:rPr>
            </w:pPr>
          </w:p>
        </w:tc>
        <w:tc>
          <w:tcPr>
            <w:tcW w:w="1240" w:type="dxa"/>
            <w:vAlign w:val="bottom"/>
            <w:gridSpan w:val="2"/>
            <w:shd w:val="clear" w:color="auto" w:fill="CFF0FC"/>
          </w:tcPr>
          <w:p>
            <w:pPr>
              <w:jc w:val="right"/>
              <w:ind w:right="60"/>
              <w:spacing w:after="0" w:line="142" w:lineRule="exact"/>
              <w:rPr>
                <w:sz w:val="20"/>
                <w:szCs w:val="20"/>
                <w:color w:val="auto"/>
              </w:rPr>
            </w:pPr>
            <w:r>
              <w:rPr>
                <w:rFonts w:ascii="Times New Roman" w:cs="Times New Roman" w:eastAsia="Times New Roman" w:hAnsi="Times New Roman"/>
                <w:sz w:val="14"/>
                <w:szCs w:val="14"/>
                <w:color w:val="auto"/>
              </w:rPr>
              <w:t>(278,590 )</w:t>
            </w:r>
          </w:p>
        </w:tc>
      </w:tr>
      <w:tr>
        <w:trPr>
          <w:trHeight w:val="148"/>
        </w:trPr>
        <w:tc>
          <w:tcPr>
            <w:tcW w:w="6300" w:type="dxa"/>
            <w:vAlign w:val="bottom"/>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Financing activities:</w:t>
            </w:r>
          </w:p>
        </w:tc>
        <w:tc>
          <w:tcPr>
            <w:tcW w:w="320" w:type="dxa"/>
            <w:vAlign w:val="bottom"/>
          </w:tcPr>
          <w:p>
            <w:pPr>
              <w:spacing w:after="0"/>
              <w:rPr>
                <w:sz w:val="12"/>
                <w:szCs w:val="12"/>
                <w:color w:val="auto"/>
              </w:rPr>
            </w:pPr>
          </w:p>
        </w:tc>
        <w:tc>
          <w:tcPr>
            <w:tcW w:w="110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spacing w:after="0"/>
              <w:rPr>
                <w:sz w:val="12"/>
                <w:szCs w:val="12"/>
                <w:color w:val="auto"/>
              </w:rPr>
            </w:pP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spacing w:after="0"/>
              <w:rPr>
                <w:sz w:val="12"/>
                <w:szCs w:val="12"/>
                <w:color w:val="auto"/>
              </w:rPr>
            </w:pP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Proceeds from convertible senior notes</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6,213,750</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20" w:type="dxa"/>
            <w:vAlign w:val="bottom"/>
            <w:shd w:val="clear" w:color="auto" w:fill="CFF0FC"/>
          </w:tcPr>
          <w:p>
            <w:pPr>
              <w:spacing w:after="0"/>
              <w:rPr>
                <w:sz w:val="12"/>
                <w:szCs w:val="12"/>
                <w:color w:val="auto"/>
              </w:rPr>
            </w:pPr>
          </w:p>
        </w:tc>
      </w:tr>
      <w:tr>
        <w:trPr>
          <w:trHeight w:val="149"/>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Issuance costs paid for convertible senior notes</w:t>
            </w:r>
          </w:p>
        </w:tc>
        <w:tc>
          <w:tcPr>
            <w:tcW w:w="320" w:type="dxa"/>
            <w:vAlign w:val="bottom"/>
          </w:tcPr>
          <w:p>
            <w:pPr>
              <w:spacing w:after="0"/>
              <w:rPr>
                <w:sz w:val="12"/>
                <w:szCs w:val="12"/>
                <w:color w:val="auto"/>
              </w:rPr>
            </w:pP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(81,033 )</w:t>
            </w: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Payments to settle conversions and redemption of convertible senior notes</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(398 )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Proceeds from secured term loan, net of lender fees</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204,693</w:t>
            </w:r>
          </w:p>
        </w:tc>
        <w:tc>
          <w:tcPr>
            <w:tcW w:w="120" w:type="dxa"/>
            <w:vAlign w:val="bottom"/>
          </w:tcPr>
          <w:p>
            <w:pPr>
              <w:spacing w:after="0"/>
              <w:rPr>
                <w:sz w:val="12"/>
                <w:szCs w:val="12"/>
                <w:color w:val="auto"/>
              </w:rPr>
            </w:pPr>
          </w:p>
        </w:tc>
      </w:tr>
      <w:tr>
        <w:trPr>
          <w:trHeight w:val="149"/>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Issuance costs paid for secured term loan, excluding lender fees</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240" w:type="dxa"/>
            <w:vAlign w:val="bottom"/>
            <w:gridSpan w:val="2"/>
            <w:shd w:val="clear" w:color="auto" w:fill="CFF0FC"/>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(107 )</w:t>
            </w:r>
          </w:p>
        </w:tc>
      </w:tr>
      <w:tr>
        <w:trPr>
          <w:trHeight w:val="148"/>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Repayments of secured debt and third-party extinguishment costs</w:t>
            </w:r>
          </w:p>
        </w:tc>
        <w:tc>
          <w:tcPr>
            <w:tcW w:w="320" w:type="dxa"/>
            <w:vAlign w:val="bottom"/>
          </w:tcPr>
          <w:p>
            <w:pPr>
              <w:spacing w:after="0"/>
              <w:rPr>
                <w:sz w:val="12"/>
                <w:szCs w:val="12"/>
                <w:color w:val="auto"/>
              </w:rPr>
            </w:pP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(515,414 )</w:t>
            </w: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360" w:type="dxa"/>
            <w:vAlign w:val="bottom"/>
            <w:gridSpan w:val="2"/>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(160,033 )</w:t>
            </w: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20" w:type="dxa"/>
            <w:vAlign w:val="bottom"/>
          </w:tcPr>
          <w:p>
            <w:pPr>
              <w:spacing w:after="0"/>
              <w:rPr>
                <w:sz w:val="12"/>
                <w:szCs w:val="12"/>
                <w:color w:val="auto"/>
              </w:rPr>
            </w:pPr>
          </w:p>
        </w:tc>
      </w:tr>
      <w:tr>
        <w:trPr>
          <w:trHeight w:val="149"/>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Proceeds from other long-term secured debt</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11,100</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Issuance costs paid for other long-term secured debt</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0</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(270 )</w:t>
            </w:r>
          </w:p>
        </w:tc>
      </w:tr>
      <w:tr>
        <w:trPr>
          <w:trHeight w:val="148"/>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Principal payments of other long-term secured debt</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(539 )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(513 )</w:t>
            </w:r>
          </w:p>
        </w:tc>
        <w:tc>
          <w:tcPr>
            <w:tcW w:w="320" w:type="dxa"/>
            <w:vAlign w:val="bottom"/>
            <w:shd w:val="clear" w:color="auto" w:fill="CFF0FC"/>
          </w:tcPr>
          <w:p>
            <w:pPr>
              <w:spacing w:after="0"/>
              <w:rPr>
                <w:sz w:val="12"/>
                <w:szCs w:val="12"/>
                <w:color w:val="auto"/>
              </w:rPr>
            </w:pPr>
          </w:p>
        </w:tc>
        <w:tc>
          <w:tcPr>
            <w:tcW w:w="1240" w:type="dxa"/>
            <w:vAlign w:val="bottom"/>
            <w:gridSpan w:val="2"/>
            <w:shd w:val="clear" w:color="auto" w:fill="CFF0FC"/>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(246 )</w:t>
            </w:r>
          </w:p>
        </w:tc>
      </w:tr>
      <w:tr>
        <w:trPr>
          <w:trHeight w:val="149"/>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Proceeds from sale of common stock under public offerings</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16,363,023</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2,029,214</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46,592</w:t>
            </w:r>
          </w:p>
        </w:tc>
        <w:tc>
          <w:tcPr>
            <w:tcW w:w="120" w:type="dxa"/>
            <w:vAlign w:val="bottom"/>
          </w:tcPr>
          <w:p>
            <w:pPr>
              <w:spacing w:after="0"/>
              <w:rPr>
                <w:sz w:val="12"/>
                <w:szCs w:val="12"/>
                <w:color w:val="auto"/>
              </w:rPr>
            </w:pPr>
          </w:p>
        </w:tc>
      </w:tr>
      <w:tr>
        <w:trPr>
          <w:trHeight w:val="148"/>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Issuance costs paid related to sale of common stock under public offerings</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(33,166 )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(9,141 )</w:t>
            </w:r>
          </w:p>
        </w:tc>
        <w:tc>
          <w:tcPr>
            <w:tcW w:w="320" w:type="dxa"/>
            <w:vAlign w:val="bottom"/>
            <w:shd w:val="clear" w:color="auto" w:fill="CFF0FC"/>
          </w:tcPr>
          <w:p>
            <w:pPr>
              <w:spacing w:after="0"/>
              <w:rPr>
                <w:sz w:val="12"/>
                <w:szCs w:val="12"/>
                <w:color w:val="auto"/>
              </w:rPr>
            </w:pPr>
          </w:p>
        </w:tc>
        <w:tc>
          <w:tcPr>
            <w:tcW w:w="1240" w:type="dxa"/>
            <w:vAlign w:val="bottom"/>
            <w:gridSpan w:val="2"/>
            <w:shd w:val="clear" w:color="auto" w:fill="CFF0FC"/>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(358 )</w:t>
            </w:r>
          </w:p>
        </w:tc>
      </w:tr>
      <w:tr>
        <w:trPr>
          <w:trHeight w:val="148"/>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Proceeds from exercise of stock options</w:t>
            </w:r>
          </w:p>
        </w:tc>
        <w:tc>
          <w:tcPr>
            <w:tcW w:w="32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184,287</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30,518</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12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1,393</w:t>
            </w:r>
          </w:p>
        </w:tc>
        <w:tc>
          <w:tcPr>
            <w:tcW w:w="120" w:type="dxa"/>
            <w:vAlign w:val="bottom"/>
          </w:tcPr>
          <w:p>
            <w:pPr>
              <w:spacing w:after="0"/>
              <w:rPr>
                <w:sz w:val="12"/>
                <w:szCs w:val="12"/>
                <w:color w:val="auto"/>
              </w:rPr>
            </w:pPr>
          </w:p>
        </w:tc>
      </w:tr>
      <w:tr>
        <w:trPr>
          <w:trHeight w:val="149"/>
        </w:trPr>
        <w:tc>
          <w:tcPr>
            <w:tcW w:w="6300" w:type="dxa"/>
            <w:vAlign w:val="bottom"/>
            <w:shd w:val="clear" w:color="auto" w:fill="CFF0FC"/>
          </w:tcPr>
          <w:p>
            <w:pPr>
              <w:ind w:left="200"/>
              <w:spacing w:after="0" w:line="149" w:lineRule="exact"/>
              <w:rPr>
                <w:sz w:val="20"/>
                <w:szCs w:val="20"/>
                <w:color w:val="auto"/>
              </w:rPr>
            </w:pPr>
            <w:r>
              <w:rPr>
                <w:rFonts w:ascii="Times New Roman" w:cs="Times New Roman" w:eastAsia="Times New Roman" w:hAnsi="Times New Roman"/>
                <w:sz w:val="14"/>
                <w:szCs w:val="14"/>
                <w:color w:val="auto"/>
              </w:rPr>
              <w:t>Proceeds from sales under employee stock purchase plan</w:t>
            </w:r>
          </w:p>
        </w:tc>
        <w:tc>
          <w:tcPr>
            <w:tcW w:w="32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4,304</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10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3,955</w:t>
            </w:r>
          </w:p>
        </w:tc>
        <w:tc>
          <w:tcPr>
            <w:tcW w:w="260" w:type="dxa"/>
            <w:vAlign w:val="bottom"/>
            <w:shd w:val="clear" w:color="auto" w:fill="CFF0FC"/>
          </w:tcPr>
          <w:p>
            <w:pPr>
              <w:spacing w:after="0"/>
              <w:rPr>
                <w:sz w:val="12"/>
                <w:szCs w:val="12"/>
                <w:color w:val="auto"/>
              </w:rPr>
            </w:pPr>
          </w:p>
        </w:tc>
        <w:tc>
          <w:tcPr>
            <w:tcW w:w="320" w:type="dxa"/>
            <w:vAlign w:val="bottom"/>
            <w:shd w:val="clear" w:color="auto" w:fill="CFF0FC"/>
          </w:tcPr>
          <w:p>
            <w:pPr>
              <w:spacing w:after="0"/>
              <w:rPr>
                <w:sz w:val="12"/>
                <w:szCs w:val="12"/>
                <w:color w:val="auto"/>
              </w:rPr>
            </w:pPr>
          </w:p>
        </w:tc>
        <w:tc>
          <w:tcPr>
            <w:tcW w:w="1120" w:type="dxa"/>
            <w:vAlign w:val="bottom"/>
            <w:shd w:val="clear" w:color="auto" w:fill="CFF0FC"/>
          </w:tcPr>
          <w:p>
            <w:pPr>
              <w:jc w:val="right"/>
              <w:spacing w:after="0" w:line="149" w:lineRule="exact"/>
              <w:rPr>
                <w:sz w:val="20"/>
                <w:szCs w:val="20"/>
                <w:color w:val="auto"/>
              </w:rPr>
            </w:pPr>
            <w:r>
              <w:rPr>
                <w:rFonts w:ascii="Times New Roman" w:cs="Times New Roman" w:eastAsia="Times New Roman" w:hAnsi="Times New Roman"/>
                <w:sz w:val="14"/>
                <w:szCs w:val="14"/>
                <w:color w:val="auto"/>
              </w:rPr>
              <w:t>4,473</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200"/>
              <w:spacing w:after="0" w:line="149" w:lineRule="exact"/>
              <w:rPr>
                <w:sz w:val="20"/>
                <w:szCs w:val="20"/>
                <w:color w:val="auto"/>
              </w:rPr>
            </w:pPr>
            <w:r>
              <w:rPr>
                <w:rFonts w:ascii="Times New Roman" w:cs="Times New Roman" w:eastAsia="Times New Roman" w:hAnsi="Times New Roman"/>
                <w:sz w:val="14"/>
                <w:szCs w:val="14"/>
                <w:color w:val="auto"/>
              </w:rPr>
              <w:t>Payment of withholding tax on vesting of restricted stock units</w:t>
            </w:r>
          </w:p>
        </w:tc>
        <w:tc>
          <w:tcPr>
            <w:tcW w:w="320" w:type="dxa"/>
            <w:vAlign w:val="bottom"/>
          </w:tcPr>
          <w:p>
            <w:pPr>
              <w:spacing w:after="0"/>
              <w:rPr>
                <w:sz w:val="12"/>
                <w:szCs w:val="12"/>
                <w:color w:val="auto"/>
              </w:rPr>
            </w:pP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(2,173 )</w:t>
            </w: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360" w:type="dxa"/>
            <w:vAlign w:val="bottom"/>
            <w:gridSpan w:val="2"/>
          </w:tcPr>
          <w:p>
            <w:pPr>
              <w:jc w:val="right"/>
              <w:ind w:right="200"/>
              <w:spacing w:after="0" w:line="149" w:lineRule="exact"/>
              <w:rPr>
                <w:sz w:val="20"/>
                <w:szCs w:val="20"/>
                <w:color w:val="auto"/>
              </w:rPr>
            </w:pPr>
            <w:r>
              <w:rPr>
                <w:rFonts w:ascii="Times New Roman" w:cs="Times New Roman" w:eastAsia="Times New Roman" w:hAnsi="Times New Roman"/>
                <w:sz w:val="14"/>
                <w:szCs w:val="14"/>
                <w:color w:val="auto"/>
              </w:rPr>
              <w:t>(4,114 )</w:t>
            </w:r>
          </w:p>
        </w:tc>
        <w:tc>
          <w:tcPr>
            <w:tcW w:w="320" w:type="dxa"/>
            <w:vAlign w:val="bottom"/>
          </w:tcPr>
          <w:p>
            <w:pPr>
              <w:spacing w:after="0"/>
              <w:rPr>
                <w:sz w:val="12"/>
                <w:szCs w:val="12"/>
                <w:color w:val="auto"/>
              </w:rPr>
            </w:pP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(2,082 )</w:t>
            </w:r>
          </w:p>
        </w:tc>
      </w:tr>
      <w:tr>
        <w:trPr>
          <w:trHeight w:val="142"/>
        </w:trPr>
        <w:tc>
          <w:tcPr>
            <w:tcW w:w="6300" w:type="dxa"/>
            <w:vAlign w:val="bottom"/>
            <w:shd w:val="clear" w:color="auto" w:fill="CFF0FC"/>
          </w:tcPr>
          <w:p>
            <w:pPr>
              <w:ind w:left="560"/>
              <w:spacing w:after="0" w:line="142" w:lineRule="exact"/>
              <w:rPr>
                <w:sz w:val="20"/>
                <w:szCs w:val="20"/>
                <w:color w:val="auto"/>
              </w:rPr>
            </w:pPr>
            <w:r>
              <w:rPr>
                <w:rFonts w:ascii="Times New Roman" w:cs="Times New Roman" w:eastAsia="Times New Roman" w:hAnsi="Times New Roman"/>
                <w:sz w:val="14"/>
                <w:szCs w:val="14"/>
                <w:color w:val="auto"/>
              </w:rPr>
              <w:t>Net cash provided by financing activities</w:t>
            </w:r>
          </w:p>
        </w:tc>
        <w:tc>
          <w:tcPr>
            <w:tcW w:w="320" w:type="dxa"/>
            <w:vAlign w:val="bottom"/>
            <w:tcBorders>
              <w:top w:val="single" w:sz="8" w:color="auto"/>
            </w:tcBorders>
            <w:shd w:val="clear" w:color="auto" w:fill="CFF0FC"/>
          </w:tcPr>
          <w:p>
            <w:pPr>
              <w:spacing w:after="0"/>
              <w:rPr>
                <w:sz w:val="12"/>
                <w:szCs w:val="12"/>
                <w:color w:val="auto"/>
              </w:rPr>
            </w:pPr>
          </w:p>
        </w:tc>
        <w:tc>
          <w:tcPr>
            <w:tcW w:w="1100" w:type="dxa"/>
            <w:vAlign w:val="bottom"/>
            <w:tcBorders>
              <w:top w:val="single" w:sz="8" w:color="auto"/>
            </w:tcBorders>
            <w:shd w:val="clear" w:color="auto" w:fill="CFF0FC"/>
          </w:tcPr>
          <w:p>
            <w:pPr>
              <w:jc w:val="right"/>
              <w:spacing w:after="0" w:line="142" w:lineRule="exact"/>
              <w:rPr>
                <w:sz w:val="20"/>
                <w:szCs w:val="20"/>
                <w:color w:val="auto"/>
              </w:rPr>
            </w:pPr>
            <w:r>
              <w:rPr>
                <w:rFonts w:ascii="Times New Roman" w:cs="Times New Roman" w:eastAsia="Times New Roman" w:hAnsi="Times New Roman"/>
                <w:sz w:val="14"/>
                <w:szCs w:val="14"/>
                <w:color w:val="auto"/>
              </w:rPr>
              <w:t>22,132,641</w:t>
            </w:r>
          </w:p>
        </w:tc>
        <w:tc>
          <w:tcPr>
            <w:tcW w:w="100" w:type="dxa"/>
            <w:vAlign w:val="bottom"/>
            <w:shd w:val="clear" w:color="auto" w:fill="CFF0FC"/>
          </w:tcPr>
          <w:p>
            <w:pPr>
              <w:spacing w:after="0"/>
              <w:rPr>
                <w:sz w:val="12"/>
                <w:szCs w:val="12"/>
                <w:color w:val="auto"/>
              </w:rPr>
            </w:pPr>
          </w:p>
        </w:tc>
        <w:tc>
          <w:tcPr>
            <w:tcW w:w="160" w:type="dxa"/>
            <w:vAlign w:val="bottom"/>
            <w:shd w:val="clear" w:color="auto" w:fill="CFF0FC"/>
          </w:tcPr>
          <w:p>
            <w:pPr>
              <w:spacing w:after="0"/>
              <w:rPr>
                <w:sz w:val="12"/>
                <w:szCs w:val="12"/>
                <w:color w:val="auto"/>
              </w:rPr>
            </w:pPr>
          </w:p>
        </w:tc>
        <w:tc>
          <w:tcPr>
            <w:tcW w:w="340" w:type="dxa"/>
            <w:vAlign w:val="bottom"/>
            <w:tcBorders>
              <w:top w:val="single" w:sz="8" w:color="auto"/>
            </w:tcBorders>
            <w:shd w:val="clear" w:color="auto" w:fill="CFF0FC"/>
          </w:tcPr>
          <w:p>
            <w:pPr>
              <w:spacing w:after="0"/>
              <w:rPr>
                <w:sz w:val="12"/>
                <w:szCs w:val="12"/>
                <w:color w:val="auto"/>
              </w:rPr>
            </w:pPr>
          </w:p>
        </w:tc>
        <w:tc>
          <w:tcPr>
            <w:tcW w:w="1100" w:type="dxa"/>
            <w:vAlign w:val="bottom"/>
            <w:tcBorders>
              <w:top w:val="single" w:sz="8" w:color="auto"/>
            </w:tcBorders>
            <w:shd w:val="clear" w:color="auto" w:fill="CFF0FC"/>
          </w:tcPr>
          <w:p>
            <w:pPr>
              <w:jc w:val="right"/>
              <w:spacing w:after="0" w:line="142" w:lineRule="exact"/>
              <w:rPr>
                <w:sz w:val="20"/>
                <w:szCs w:val="20"/>
                <w:color w:val="auto"/>
              </w:rPr>
            </w:pPr>
            <w:r>
              <w:rPr>
                <w:rFonts w:ascii="Times New Roman" w:cs="Times New Roman" w:eastAsia="Times New Roman" w:hAnsi="Times New Roman"/>
                <w:sz w:val="14"/>
                <w:szCs w:val="14"/>
                <w:color w:val="auto"/>
              </w:rPr>
              <w:t>1,889,886</w:t>
            </w:r>
          </w:p>
        </w:tc>
        <w:tc>
          <w:tcPr>
            <w:tcW w:w="260" w:type="dxa"/>
            <w:vAlign w:val="bottom"/>
            <w:shd w:val="clear" w:color="auto" w:fill="CFF0FC"/>
          </w:tcPr>
          <w:p>
            <w:pPr>
              <w:spacing w:after="0"/>
              <w:rPr>
                <w:sz w:val="12"/>
                <w:szCs w:val="12"/>
                <w:color w:val="auto"/>
              </w:rPr>
            </w:pPr>
          </w:p>
        </w:tc>
        <w:tc>
          <w:tcPr>
            <w:tcW w:w="320" w:type="dxa"/>
            <w:vAlign w:val="bottom"/>
            <w:tcBorders>
              <w:top w:val="single" w:sz="8" w:color="auto"/>
            </w:tcBorders>
            <w:shd w:val="clear" w:color="auto" w:fill="CFF0FC"/>
          </w:tcPr>
          <w:p>
            <w:pPr>
              <w:spacing w:after="0"/>
              <w:rPr>
                <w:sz w:val="12"/>
                <w:szCs w:val="12"/>
                <w:color w:val="auto"/>
              </w:rPr>
            </w:pPr>
          </w:p>
        </w:tc>
        <w:tc>
          <w:tcPr>
            <w:tcW w:w="1120" w:type="dxa"/>
            <w:vAlign w:val="bottom"/>
            <w:tcBorders>
              <w:top w:val="single" w:sz="8" w:color="auto"/>
            </w:tcBorders>
            <w:shd w:val="clear" w:color="auto" w:fill="CFF0FC"/>
          </w:tcPr>
          <w:p>
            <w:pPr>
              <w:jc w:val="right"/>
              <w:spacing w:after="0" w:line="142" w:lineRule="exact"/>
              <w:rPr>
                <w:sz w:val="20"/>
                <w:szCs w:val="20"/>
                <w:color w:val="auto"/>
              </w:rPr>
            </w:pPr>
            <w:r>
              <w:rPr>
                <w:rFonts w:ascii="Times New Roman" w:cs="Times New Roman" w:eastAsia="Times New Roman" w:hAnsi="Times New Roman"/>
                <w:sz w:val="14"/>
                <w:szCs w:val="14"/>
                <w:color w:val="auto"/>
              </w:rPr>
              <w:t>265,188</w:t>
            </w:r>
          </w:p>
        </w:tc>
        <w:tc>
          <w:tcPr>
            <w:tcW w:w="120" w:type="dxa"/>
            <w:vAlign w:val="bottom"/>
            <w:shd w:val="clear" w:color="auto" w:fill="CFF0FC"/>
          </w:tcPr>
          <w:p>
            <w:pPr>
              <w:spacing w:after="0"/>
              <w:rPr>
                <w:sz w:val="12"/>
                <w:szCs w:val="12"/>
                <w:color w:val="auto"/>
              </w:rPr>
            </w:pPr>
          </w:p>
        </w:tc>
      </w:tr>
      <w:tr>
        <w:trPr>
          <w:trHeight w:val="148"/>
        </w:trPr>
        <w:tc>
          <w:tcPr>
            <w:tcW w:w="6300" w:type="dxa"/>
            <w:vAlign w:val="bottom"/>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Effect of foreign exchange rate changes on cash, cash equivalents, and restricted cash</w:t>
            </w:r>
          </w:p>
        </w:tc>
        <w:tc>
          <w:tcPr>
            <w:tcW w:w="320" w:type="dxa"/>
            <w:vAlign w:val="bottom"/>
          </w:tcPr>
          <w:p>
            <w:pPr>
              <w:spacing w:after="0"/>
              <w:rPr>
                <w:sz w:val="12"/>
                <w:szCs w:val="12"/>
                <w:color w:val="auto"/>
              </w:rPr>
            </w:pPr>
          </w:p>
        </w:tc>
        <w:tc>
          <w:tcPr>
            <w:tcW w:w="1200" w:type="dxa"/>
            <w:vAlign w:val="bottom"/>
            <w:gridSpan w:val="2"/>
          </w:tcPr>
          <w:p>
            <w:pPr>
              <w:jc w:val="right"/>
              <w:ind w:right="20"/>
              <w:spacing w:after="0" w:line="149" w:lineRule="exact"/>
              <w:rPr>
                <w:sz w:val="20"/>
                <w:szCs w:val="20"/>
                <w:color w:val="auto"/>
              </w:rPr>
            </w:pPr>
            <w:r>
              <w:rPr>
                <w:rFonts w:ascii="Times New Roman" w:cs="Times New Roman" w:eastAsia="Times New Roman" w:hAnsi="Times New Roman"/>
                <w:sz w:val="14"/>
                <w:szCs w:val="14"/>
                <w:color w:val="auto"/>
              </w:rPr>
              <w:t>(2,148 )</w:t>
            </w:r>
          </w:p>
        </w:tc>
        <w:tc>
          <w:tcPr>
            <w:tcW w:w="16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1100" w:type="dxa"/>
            <w:vAlign w:val="bottom"/>
          </w:tcPr>
          <w:p>
            <w:pPr>
              <w:jc w:val="right"/>
              <w:spacing w:after="0" w:line="149" w:lineRule="exact"/>
              <w:rPr>
                <w:sz w:val="20"/>
                <w:szCs w:val="20"/>
                <w:color w:val="auto"/>
              </w:rPr>
            </w:pPr>
            <w:r>
              <w:rPr>
                <w:rFonts w:ascii="Times New Roman" w:cs="Times New Roman" w:eastAsia="Times New Roman" w:hAnsi="Times New Roman"/>
                <w:sz w:val="14"/>
                <w:szCs w:val="14"/>
                <w:color w:val="auto"/>
              </w:rPr>
              <w:t>444</w:t>
            </w:r>
          </w:p>
        </w:tc>
        <w:tc>
          <w:tcPr>
            <w:tcW w:w="26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240" w:type="dxa"/>
            <w:vAlign w:val="bottom"/>
            <w:gridSpan w:val="2"/>
          </w:tcPr>
          <w:p>
            <w:pPr>
              <w:jc w:val="right"/>
              <w:ind w:right="60"/>
              <w:spacing w:after="0" w:line="149" w:lineRule="exact"/>
              <w:rPr>
                <w:sz w:val="20"/>
                <w:szCs w:val="20"/>
                <w:color w:val="auto"/>
              </w:rPr>
            </w:pPr>
            <w:r>
              <w:rPr>
                <w:rFonts w:ascii="Times New Roman" w:cs="Times New Roman" w:eastAsia="Times New Roman" w:hAnsi="Times New Roman"/>
                <w:sz w:val="14"/>
                <w:szCs w:val="14"/>
                <w:color w:val="auto"/>
              </w:rPr>
              <w:t>(3,375 )</w:t>
            </w:r>
          </w:p>
        </w:tc>
      </w:tr>
      <w:tr>
        <w:trPr>
          <w:trHeight w:val="20"/>
        </w:trPr>
        <w:tc>
          <w:tcPr>
            <w:tcW w:w="630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10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340" w:type="dxa"/>
            <w:vAlign w:val="bottom"/>
            <w:shd w:val="clear" w:color="auto" w:fill="000000"/>
          </w:tcPr>
          <w:p>
            <w:pPr>
              <w:spacing w:after="0" w:line="20" w:lineRule="exact"/>
              <w:rPr>
                <w:sz w:val="1"/>
                <w:szCs w:val="1"/>
                <w:color w:val="auto"/>
              </w:rPr>
            </w:pPr>
          </w:p>
        </w:tc>
        <w:tc>
          <w:tcPr>
            <w:tcW w:w="1100" w:type="dxa"/>
            <w:vAlign w:val="bottom"/>
            <w:shd w:val="clear" w:color="auto" w:fill="000000"/>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120" w:type="dxa"/>
            <w:vAlign w:val="bottom"/>
            <w:shd w:val="clear" w:color="auto" w:fill="000000"/>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r>
      <w:tr>
        <w:trPr>
          <w:trHeight w:val="142"/>
        </w:trPr>
        <w:tc>
          <w:tcPr>
            <w:tcW w:w="6300" w:type="dxa"/>
            <w:vAlign w:val="bottom"/>
            <w:shd w:val="clear" w:color="auto" w:fill="CFF0FC"/>
          </w:tcPr>
          <w:p>
            <w:pPr>
              <w:ind w:left="20"/>
              <w:spacing w:after="0" w:line="142" w:lineRule="exact"/>
              <w:rPr>
                <w:sz w:val="20"/>
                <w:szCs w:val="20"/>
                <w:color w:val="auto"/>
              </w:rPr>
            </w:pPr>
            <w:r>
              <w:rPr>
                <w:rFonts w:ascii="Times New Roman" w:cs="Times New Roman" w:eastAsia="Times New Roman" w:hAnsi="Times New Roman"/>
                <w:sz w:val="14"/>
                <w:szCs w:val="14"/>
                <w:b w:val="1"/>
                <w:bCs w:val="1"/>
                <w:color w:val="auto"/>
              </w:rPr>
              <w:t>Net decrease in cash, cash equivalents, and restricted cash</w:t>
            </w:r>
          </w:p>
        </w:tc>
        <w:tc>
          <w:tcPr>
            <w:tcW w:w="320" w:type="dxa"/>
            <w:vAlign w:val="bottom"/>
            <w:shd w:val="clear" w:color="auto" w:fill="CFF0FC"/>
          </w:tcPr>
          <w:p>
            <w:pPr>
              <w:spacing w:after="0"/>
              <w:rPr>
                <w:sz w:val="12"/>
                <w:szCs w:val="12"/>
                <w:color w:val="auto"/>
              </w:rPr>
            </w:pPr>
          </w:p>
        </w:tc>
        <w:tc>
          <w:tcPr>
            <w:tcW w:w="1200" w:type="dxa"/>
            <w:vAlign w:val="bottom"/>
            <w:gridSpan w:val="2"/>
            <w:shd w:val="clear" w:color="auto" w:fill="CFF0FC"/>
          </w:tcPr>
          <w:p>
            <w:pPr>
              <w:jc w:val="right"/>
              <w:ind w:right="20"/>
              <w:spacing w:after="0" w:line="142" w:lineRule="exact"/>
              <w:rPr>
                <w:sz w:val="20"/>
                <w:szCs w:val="20"/>
                <w:color w:val="auto"/>
              </w:rPr>
            </w:pPr>
            <w:r>
              <w:rPr>
                <w:rFonts w:ascii="Times New Roman" w:cs="Times New Roman" w:eastAsia="Times New Roman" w:hAnsi="Times New Roman"/>
                <w:sz w:val="14"/>
                <w:szCs w:val="14"/>
                <w:color w:val="auto"/>
              </w:rPr>
              <w:t>(8,776 )</w:t>
            </w:r>
          </w:p>
        </w:tc>
        <w:tc>
          <w:tcPr>
            <w:tcW w:w="160" w:type="dxa"/>
            <w:vAlign w:val="bottom"/>
            <w:shd w:val="clear" w:color="auto" w:fill="CFF0FC"/>
          </w:tcPr>
          <w:p>
            <w:pPr>
              <w:spacing w:after="0"/>
              <w:rPr>
                <w:sz w:val="12"/>
                <w:szCs w:val="12"/>
                <w:color w:val="auto"/>
              </w:rPr>
            </w:pPr>
          </w:p>
        </w:tc>
        <w:tc>
          <w:tcPr>
            <w:tcW w:w="340" w:type="dxa"/>
            <w:vAlign w:val="bottom"/>
            <w:shd w:val="clear" w:color="auto" w:fill="CFF0FC"/>
          </w:tcPr>
          <w:p>
            <w:pPr>
              <w:spacing w:after="0"/>
              <w:rPr>
                <w:sz w:val="12"/>
                <w:szCs w:val="12"/>
                <w:color w:val="auto"/>
              </w:rPr>
            </w:pPr>
          </w:p>
        </w:tc>
        <w:tc>
          <w:tcPr>
            <w:tcW w:w="1360" w:type="dxa"/>
            <w:vAlign w:val="bottom"/>
            <w:gridSpan w:val="2"/>
            <w:shd w:val="clear" w:color="auto" w:fill="CFF0FC"/>
          </w:tcPr>
          <w:p>
            <w:pPr>
              <w:jc w:val="right"/>
              <w:ind w:right="200"/>
              <w:spacing w:after="0" w:line="142" w:lineRule="exact"/>
              <w:rPr>
                <w:sz w:val="20"/>
                <w:szCs w:val="20"/>
                <w:color w:val="auto"/>
              </w:rPr>
            </w:pPr>
            <w:r>
              <w:rPr>
                <w:rFonts w:ascii="Times New Roman" w:cs="Times New Roman" w:eastAsia="Times New Roman" w:hAnsi="Times New Roman"/>
                <w:sz w:val="14"/>
                <w:szCs w:val="14"/>
                <w:color w:val="auto"/>
              </w:rPr>
              <w:t>(2,195 )</w:t>
            </w:r>
          </w:p>
        </w:tc>
        <w:tc>
          <w:tcPr>
            <w:tcW w:w="320" w:type="dxa"/>
            <w:vAlign w:val="bottom"/>
            <w:shd w:val="clear" w:color="auto" w:fill="CFF0FC"/>
          </w:tcPr>
          <w:p>
            <w:pPr>
              <w:spacing w:after="0"/>
              <w:rPr>
                <w:sz w:val="12"/>
                <w:szCs w:val="12"/>
                <w:color w:val="auto"/>
              </w:rPr>
            </w:pPr>
          </w:p>
        </w:tc>
        <w:tc>
          <w:tcPr>
            <w:tcW w:w="1240" w:type="dxa"/>
            <w:vAlign w:val="bottom"/>
            <w:gridSpan w:val="2"/>
            <w:shd w:val="clear" w:color="auto" w:fill="CFF0FC"/>
          </w:tcPr>
          <w:p>
            <w:pPr>
              <w:jc w:val="right"/>
              <w:ind w:right="60"/>
              <w:spacing w:after="0" w:line="142" w:lineRule="exact"/>
              <w:rPr>
                <w:sz w:val="20"/>
                <w:szCs w:val="20"/>
                <w:color w:val="auto"/>
              </w:rPr>
            </w:pPr>
            <w:r>
              <w:rPr>
                <w:rFonts w:ascii="Times New Roman" w:cs="Times New Roman" w:eastAsia="Times New Roman" w:hAnsi="Times New Roman"/>
                <w:sz w:val="14"/>
                <w:szCs w:val="14"/>
                <w:color w:val="auto"/>
              </w:rPr>
              <w:t>(13,566 )</w:t>
            </w:r>
          </w:p>
        </w:tc>
      </w:tr>
      <w:tr>
        <w:trPr>
          <w:trHeight w:val="148"/>
        </w:trPr>
        <w:tc>
          <w:tcPr>
            <w:tcW w:w="6300" w:type="dxa"/>
            <w:vAlign w:val="bottom"/>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Cash, cash equivalents, and restricted cash, beginning of year</w:t>
            </w:r>
          </w:p>
        </w:tc>
        <w:tc>
          <w:tcPr>
            <w:tcW w:w="320" w:type="dxa"/>
            <w:vAlign w:val="bottom"/>
            <w:tcBorders>
              <w:bottom w:val="single" w:sz="8" w:color="auto"/>
            </w:tcBorders>
          </w:tcPr>
          <w:p>
            <w:pPr>
              <w:spacing w:after="0"/>
              <w:rPr>
                <w:sz w:val="12"/>
                <w:szCs w:val="12"/>
                <w:color w:val="auto"/>
              </w:rPr>
            </w:pPr>
          </w:p>
        </w:tc>
        <w:tc>
          <w:tcPr>
            <w:tcW w:w="1100" w:type="dxa"/>
            <w:vAlign w:val="bottom"/>
            <w:tcBorders>
              <w:bottom w:val="single" w:sz="8" w:color="auto"/>
            </w:tcBorders>
          </w:tcPr>
          <w:p>
            <w:pPr>
              <w:jc w:val="right"/>
              <w:spacing w:after="0" w:line="149" w:lineRule="exact"/>
              <w:rPr>
                <w:sz w:val="20"/>
                <w:szCs w:val="20"/>
                <w:color w:val="auto"/>
              </w:rPr>
            </w:pPr>
            <w:r>
              <w:rPr>
                <w:rFonts w:ascii="Times New Roman" w:cs="Times New Roman" w:eastAsia="Times New Roman" w:hAnsi="Times New Roman"/>
                <w:sz w:val="14"/>
                <w:szCs w:val="14"/>
                <w:color w:val="auto"/>
              </w:rPr>
              <w:t>48,673</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40" w:type="dxa"/>
            <w:vAlign w:val="bottom"/>
            <w:tcBorders>
              <w:bottom w:val="single" w:sz="8" w:color="auto"/>
            </w:tcBorders>
          </w:tcPr>
          <w:p>
            <w:pPr>
              <w:spacing w:after="0"/>
              <w:rPr>
                <w:sz w:val="12"/>
                <w:szCs w:val="12"/>
                <w:color w:val="auto"/>
              </w:rPr>
            </w:pPr>
          </w:p>
        </w:tc>
        <w:tc>
          <w:tcPr>
            <w:tcW w:w="1100" w:type="dxa"/>
            <w:vAlign w:val="bottom"/>
            <w:tcBorders>
              <w:bottom w:val="single" w:sz="8" w:color="auto"/>
            </w:tcBorders>
          </w:tcPr>
          <w:p>
            <w:pPr>
              <w:jc w:val="right"/>
              <w:spacing w:after="0" w:line="149" w:lineRule="exact"/>
              <w:rPr>
                <w:sz w:val="20"/>
                <w:szCs w:val="20"/>
                <w:color w:val="auto"/>
              </w:rPr>
            </w:pPr>
            <w:r>
              <w:rPr>
                <w:rFonts w:ascii="Times New Roman" w:cs="Times New Roman" w:eastAsia="Times New Roman" w:hAnsi="Times New Roman"/>
                <w:sz w:val="14"/>
                <w:szCs w:val="14"/>
                <w:color w:val="auto"/>
              </w:rPr>
              <w:t>50,868</w:t>
            </w:r>
          </w:p>
        </w:tc>
        <w:tc>
          <w:tcPr>
            <w:tcW w:w="26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120" w:type="dxa"/>
            <w:vAlign w:val="bottom"/>
            <w:tcBorders>
              <w:bottom w:val="single" w:sz="8" w:color="auto"/>
            </w:tcBorders>
          </w:tcPr>
          <w:p>
            <w:pPr>
              <w:jc w:val="right"/>
              <w:spacing w:after="0" w:line="149" w:lineRule="exact"/>
              <w:rPr>
                <w:sz w:val="20"/>
                <w:szCs w:val="20"/>
                <w:color w:val="auto"/>
              </w:rPr>
            </w:pPr>
            <w:r>
              <w:rPr>
                <w:rFonts w:ascii="Times New Roman" w:cs="Times New Roman" w:eastAsia="Times New Roman" w:hAnsi="Times New Roman"/>
                <w:sz w:val="14"/>
                <w:szCs w:val="14"/>
                <w:color w:val="auto"/>
              </w:rPr>
              <w:t>64,434</w:t>
            </w:r>
          </w:p>
        </w:tc>
        <w:tc>
          <w:tcPr>
            <w:tcW w:w="120" w:type="dxa"/>
            <w:vAlign w:val="bottom"/>
          </w:tcPr>
          <w:p>
            <w:pPr>
              <w:spacing w:after="0"/>
              <w:rPr>
                <w:sz w:val="12"/>
                <w:szCs w:val="12"/>
                <w:color w:val="auto"/>
              </w:rPr>
            </w:pPr>
          </w:p>
        </w:tc>
      </w:tr>
      <w:tr>
        <w:trPr>
          <w:trHeight w:val="182"/>
        </w:trPr>
        <w:tc>
          <w:tcPr>
            <w:tcW w:w="6300" w:type="dxa"/>
            <w:vAlign w:val="bottom"/>
            <w:tcBorders>
              <w:bottom w:val="single" w:sz="8" w:color="CFF0FC"/>
            </w:tcBorders>
            <w:shd w:val="clear" w:color="auto" w:fill="CFF0FC"/>
          </w:tcPr>
          <w:p>
            <w:pPr>
              <w:ind w:left="20"/>
              <w:spacing w:after="0" w:line="142" w:lineRule="exact"/>
              <w:rPr>
                <w:sz w:val="20"/>
                <w:szCs w:val="20"/>
                <w:color w:val="auto"/>
              </w:rPr>
            </w:pPr>
            <w:r>
              <w:rPr>
                <w:rFonts w:ascii="Times New Roman" w:cs="Times New Roman" w:eastAsia="Times New Roman" w:hAnsi="Times New Roman"/>
                <w:sz w:val="14"/>
                <w:szCs w:val="14"/>
                <w:b w:val="1"/>
                <w:bCs w:val="1"/>
                <w:color w:val="auto"/>
              </w:rPr>
              <w:t>Cash, cash equivalents, and restricted cash, end of year</w:t>
            </w:r>
          </w:p>
        </w:tc>
        <w:tc>
          <w:tcPr>
            <w:tcW w:w="320" w:type="dxa"/>
            <w:vAlign w:val="bottom"/>
            <w:tcBorders>
              <w:bottom w:val="single" w:sz="8" w:color="auto"/>
            </w:tcBorders>
            <w:shd w:val="clear" w:color="auto" w:fill="CFF0FC"/>
          </w:tcPr>
          <w:p>
            <w:pPr>
              <w:jc w:val="right"/>
              <w:ind w:right="168"/>
              <w:spacing w:after="0" w:line="129" w:lineRule="exact"/>
              <w:rPr>
                <w:sz w:val="20"/>
                <w:szCs w:val="20"/>
                <w:color w:val="auto"/>
              </w:rPr>
            </w:pPr>
            <w:r>
              <w:rPr>
                <w:rFonts w:ascii="Times New Roman" w:cs="Times New Roman" w:eastAsia="Times New Roman" w:hAnsi="Times New Roman"/>
                <w:sz w:val="14"/>
                <w:szCs w:val="14"/>
                <w:color w:val="auto"/>
                <w:w w:val="85"/>
              </w:rPr>
              <w:t>$</w:t>
            </w:r>
          </w:p>
        </w:tc>
        <w:tc>
          <w:tcPr>
            <w:tcW w:w="1100" w:type="dxa"/>
            <w:vAlign w:val="bottom"/>
            <w:tcBorders>
              <w:bottom w:val="single" w:sz="8" w:color="auto"/>
            </w:tcBorders>
            <w:shd w:val="clear" w:color="auto" w:fill="CFF0FC"/>
          </w:tcPr>
          <w:p>
            <w:pPr>
              <w:jc w:val="right"/>
              <w:spacing w:after="0" w:line="129" w:lineRule="exact"/>
              <w:rPr>
                <w:sz w:val="20"/>
                <w:szCs w:val="20"/>
                <w:color w:val="auto"/>
              </w:rPr>
            </w:pPr>
            <w:r>
              <w:rPr>
                <w:rFonts w:ascii="Times New Roman" w:cs="Times New Roman" w:eastAsia="Times New Roman" w:hAnsi="Times New Roman"/>
                <w:sz w:val="14"/>
                <w:szCs w:val="14"/>
                <w:color w:val="auto"/>
              </w:rPr>
              <w:t>39,897</w:t>
            </w:r>
          </w:p>
        </w:tc>
        <w:tc>
          <w:tcPr>
            <w:tcW w:w="100" w:type="dxa"/>
            <w:vAlign w:val="bottom"/>
            <w:tcBorders>
              <w:bottom w:val="single" w:sz="8" w:color="CFF0FC"/>
            </w:tcBorders>
            <w:shd w:val="clear" w:color="auto" w:fill="CFF0FC"/>
          </w:tcPr>
          <w:p>
            <w:pPr>
              <w:spacing w:after="0"/>
              <w:rPr>
                <w:sz w:val="15"/>
                <w:szCs w:val="15"/>
                <w:color w:val="auto"/>
              </w:rPr>
            </w:pPr>
          </w:p>
        </w:tc>
        <w:tc>
          <w:tcPr>
            <w:tcW w:w="160" w:type="dxa"/>
            <w:vAlign w:val="bottom"/>
            <w:tcBorders>
              <w:bottom w:val="single" w:sz="8" w:color="CFF0FC"/>
            </w:tcBorders>
            <w:shd w:val="clear" w:color="auto" w:fill="CFF0FC"/>
          </w:tcPr>
          <w:p>
            <w:pPr>
              <w:spacing w:after="0"/>
              <w:rPr>
                <w:sz w:val="15"/>
                <w:szCs w:val="15"/>
                <w:color w:val="auto"/>
              </w:rPr>
            </w:pPr>
          </w:p>
        </w:tc>
        <w:tc>
          <w:tcPr>
            <w:tcW w:w="340" w:type="dxa"/>
            <w:vAlign w:val="bottom"/>
            <w:tcBorders>
              <w:bottom w:val="single" w:sz="8" w:color="auto"/>
            </w:tcBorders>
            <w:shd w:val="clear" w:color="auto" w:fill="CFF0FC"/>
          </w:tcPr>
          <w:p>
            <w:pPr>
              <w:jc w:val="right"/>
              <w:ind w:right="168"/>
              <w:spacing w:after="0" w:line="129" w:lineRule="exact"/>
              <w:rPr>
                <w:sz w:val="20"/>
                <w:szCs w:val="20"/>
                <w:color w:val="auto"/>
              </w:rPr>
            </w:pPr>
            <w:r>
              <w:rPr>
                <w:rFonts w:ascii="Times New Roman" w:cs="Times New Roman" w:eastAsia="Times New Roman" w:hAnsi="Times New Roman"/>
                <w:sz w:val="14"/>
                <w:szCs w:val="14"/>
                <w:color w:val="auto"/>
              </w:rPr>
              <w:t>$</w:t>
            </w:r>
          </w:p>
        </w:tc>
        <w:tc>
          <w:tcPr>
            <w:tcW w:w="1100" w:type="dxa"/>
            <w:vAlign w:val="bottom"/>
            <w:tcBorders>
              <w:bottom w:val="single" w:sz="8" w:color="auto"/>
            </w:tcBorders>
            <w:shd w:val="clear" w:color="auto" w:fill="CFF0FC"/>
          </w:tcPr>
          <w:p>
            <w:pPr>
              <w:jc w:val="right"/>
              <w:spacing w:after="0" w:line="129" w:lineRule="exact"/>
              <w:rPr>
                <w:sz w:val="20"/>
                <w:szCs w:val="20"/>
                <w:color w:val="auto"/>
              </w:rPr>
            </w:pPr>
            <w:r>
              <w:rPr>
                <w:rFonts w:ascii="Times New Roman" w:cs="Times New Roman" w:eastAsia="Times New Roman" w:hAnsi="Times New Roman"/>
                <w:sz w:val="14"/>
                <w:szCs w:val="14"/>
                <w:color w:val="auto"/>
              </w:rPr>
              <w:t>48,673</w:t>
            </w:r>
          </w:p>
        </w:tc>
        <w:tc>
          <w:tcPr>
            <w:tcW w:w="260" w:type="dxa"/>
            <w:vAlign w:val="bottom"/>
            <w:tcBorders>
              <w:bottom w:val="single" w:sz="8" w:color="CFF0FC"/>
            </w:tcBorders>
            <w:shd w:val="clear" w:color="auto" w:fill="CFF0FC"/>
          </w:tcPr>
          <w:p>
            <w:pPr>
              <w:spacing w:after="0"/>
              <w:rPr>
                <w:sz w:val="15"/>
                <w:szCs w:val="15"/>
                <w:color w:val="auto"/>
              </w:rPr>
            </w:pPr>
          </w:p>
        </w:tc>
        <w:tc>
          <w:tcPr>
            <w:tcW w:w="320" w:type="dxa"/>
            <w:vAlign w:val="bottom"/>
            <w:tcBorders>
              <w:bottom w:val="single" w:sz="8" w:color="auto"/>
            </w:tcBorders>
            <w:shd w:val="clear" w:color="auto" w:fill="CFF0FC"/>
          </w:tcPr>
          <w:p>
            <w:pPr>
              <w:jc w:val="right"/>
              <w:ind w:right="168"/>
              <w:spacing w:after="0" w:line="129" w:lineRule="exact"/>
              <w:rPr>
                <w:sz w:val="20"/>
                <w:szCs w:val="20"/>
                <w:color w:val="auto"/>
              </w:rPr>
            </w:pPr>
            <w:r>
              <w:rPr>
                <w:rFonts w:ascii="Times New Roman" w:cs="Times New Roman" w:eastAsia="Times New Roman" w:hAnsi="Times New Roman"/>
                <w:sz w:val="14"/>
                <w:szCs w:val="14"/>
                <w:color w:val="auto"/>
                <w:w w:val="85"/>
              </w:rPr>
              <w:t>$</w:t>
            </w:r>
          </w:p>
        </w:tc>
        <w:tc>
          <w:tcPr>
            <w:tcW w:w="1120" w:type="dxa"/>
            <w:vAlign w:val="bottom"/>
            <w:tcBorders>
              <w:bottom w:val="single" w:sz="8" w:color="auto"/>
            </w:tcBorders>
            <w:shd w:val="clear" w:color="auto" w:fill="CFF0FC"/>
          </w:tcPr>
          <w:p>
            <w:pPr>
              <w:jc w:val="right"/>
              <w:spacing w:after="0" w:line="129" w:lineRule="exact"/>
              <w:rPr>
                <w:sz w:val="20"/>
                <w:szCs w:val="20"/>
                <w:color w:val="auto"/>
              </w:rPr>
            </w:pPr>
            <w:r>
              <w:rPr>
                <w:rFonts w:ascii="Times New Roman" w:cs="Times New Roman" w:eastAsia="Times New Roman" w:hAnsi="Times New Roman"/>
                <w:sz w:val="14"/>
                <w:szCs w:val="14"/>
                <w:color w:val="auto"/>
              </w:rPr>
              <w:t>50,868</w:t>
            </w:r>
          </w:p>
        </w:tc>
        <w:tc>
          <w:tcPr>
            <w:tcW w:w="120" w:type="dxa"/>
            <w:vAlign w:val="bottom"/>
            <w:tcBorders>
              <w:bottom w:val="single" w:sz="8" w:color="CFF0FC"/>
            </w:tcBorders>
            <w:shd w:val="clear" w:color="auto" w:fill="CFF0FC"/>
          </w:tcPr>
          <w:p>
            <w:pPr>
              <w:spacing w:after="0"/>
              <w:rPr>
                <w:sz w:val="15"/>
                <w:szCs w:val="15"/>
                <w:color w:val="auto"/>
              </w:rPr>
            </w:pPr>
          </w:p>
        </w:tc>
      </w:tr>
      <w:tr>
        <w:trPr>
          <w:trHeight w:val="129"/>
        </w:trPr>
        <w:tc>
          <w:tcPr>
            <w:tcW w:w="6300" w:type="dxa"/>
            <w:vAlign w:val="bottom"/>
          </w:tcPr>
          <w:p>
            <w:pPr>
              <w:ind w:left="20"/>
              <w:spacing w:after="0" w:line="129" w:lineRule="exact"/>
              <w:rPr>
                <w:sz w:val="20"/>
                <w:szCs w:val="20"/>
                <w:color w:val="auto"/>
              </w:rPr>
            </w:pPr>
            <w:r>
              <w:rPr>
                <w:rFonts w:ascii="Times New Roman" w:cs="Times New Roman" w:eastAsia="Times New Roman" w:hAnsi="Times New Roman"/>
                <w:sz w:val="14"/>
                <w:szCs w:val="14"/>
                <w:b w:val="1"/>
                <w:bCs w:val="1"/>
                <w:color w:val="auto"/>
              </w:rPr>
              <w:t>Supplemental disclosure of cash flow information:</w:t>
            </w:r>
          </w:p>
        </w:tc>
        <w:tc>
          <w:tcPr>
            <w:tcW w:w="32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320" w:type="dxa"/>
            <w:vAlign w:val="bottom"/>
          </w:tcPr>
          <w:p>
            <w:pPr>
              <w:spacing w:after="0"/>
              <w:rPr>
                <w:sz w:val="11"/>
                <w:szCs w:val="11"/>
                <w:color w:val="auto"/>
              </w:rPr>
            </w:pPr>
          </w:p>
        </w:tc>
        <w:tc>
          <w:tcPr>
            <w:tcW w:w="1120" w:type="dxa"/>
            <w:vAlign w:val="bottom"/>
          </w:tcPr>
          <w:p>
            <w:pPr>
              <w:spacing w:after="0"/>
              <w:rPr>
                <w:sz w:val="11"/>
                <w:szCs w:val="11"/>
                <w:color w:val="auto"/>
              </w:rPr>
            </w:pPr>
          </w:p>
        </w:tc>
        <w:tc>
          <w:tcPr>
            <w:tcW w:w="120" w:type="dxa"/>
            <w:vAlign w:val="bottom"/>
          </w:tcPr>
          <w:p>
            <w:pPr>
              <w:spacing w:after="0"/>
              <w:rPr>
                <w:sz w:val="11"/>
                <w:szCs w:val="11"/>
                <w:color w:val="auto"/>
              </w:rPr>
            </w:pPr>
          </w:p>
        </w:tc>
      </w:tr>
      <w:tr>
        <w:trPr>
          <w:trHeight w:val="188"/>
        </w:trPr>
        <w:tc>
          <w:tcPr>
            <w:tcW w:w="6300" w:type="dxa"/>
            <w:vAlign w:val="bottom"/>
            <w:tcBorders>
              <w:bottom w:val="single" w:sz="8" w:color="CFF0FC"/>
            </w:tcBorders>
            <w:shd w:val="clear" w:color="auto" w:fill="CFF0FC"/>
          </w:tcPr>
          <w:p>
            <w:pPr>
              <w:ind w:left="200"/>
              <w:spacing w:after="0" w:line="142" w:lineRule="exact"/>
              <w:rPr>
                <w:sz w:val="20"/>
                <w:szCs w:val="20"/>
                <w:color w:val="auto"/>
              </w:rPr>
            </w:pPr>
            <w:r>
              <w:rPr>
                <w:rFonts w:ascii="Times New Roman" w:cs="Times New Roman" w:eastAsia="Times New Roman" w:hAnsi="Times New Roman"/>
                <w:sz w:val="14"/>
                <w:szCs w:val="14"/>
                <w:color w:val="auto"/>
              </w:rPr>
              <w:t>Cash paid during the year for interest</w:t>
            </w:r>
          </w:p>
        </w:tc>
        <w:tc>
          <w:tcPr>
            <w:tcW w:w="320" w:type="dxa"/>
            <w:vAlign w:val="bottom"/>
            <w:tcBorders>
              <w:bottom w:val="single" w:sz="8" w:color="auto"/>
            </w:tcBorders>
            <w:shd w:val="clear" w:color="auto" w:fill="CFF0FC"/>
          </w:tcPr>
          <w:p>
            <w:pPr>
              <w:jc w:val="right"/>
              <w:ind w:right="168"/>
              <w:spacing w:after="0" w:line="129" w:lineRule="exact"/>
              <w:rPr>
                <w:sz w:val="20"/>
                <w:szCs w:val="20"/>
                <w:color w:val="auto"/>
              </w:rPr>
            </w:pPr>
            <w:r>
              <w:rPr>
                <w:rFonts w:ascii="Times New Roman" w:cs="Times New Roman" w:eastAsia="Times New Roman" w:hAnsi="Times New Roman"/>
                <w:sz w:val="14"/>
                <w:szCs w:val="14"/>
                <w:color w:val="auto"/>
                <w:w w:val="85"/>
              </w:rPr>
              <w:t>$</w:t>
            </w:r>
          </w:p>
        </w:tc>
        <w:tc>
          <w:tcPr>
            <w:tcW w:w="1100" w:type="dxa"/>
            <w:vAlign w:val="bottom"/>
            <w:tcBorders>
              <w:bottom w:val="single" w:sz="8" w:color="auto"/>
            </w:tcBorders>
            <w:shd w:val="clear" w:color="auto" w:fill="CFF0FC"/>
          </w:tcPr>
          <w:p>
            <w:pPr>
              <w:jc w:val="right"/>
              <w:spacing w:after="0" w:line="129" w:lineRule="exact"/>
              <w:rPr>
                <w:sz w:val="20"/>
                <w:szCs w:val="20"/>
                <w:color w:val="auto"/>
              </w:rPr>
            </w:pPr>
            <w:r>
              <w:rPr>
                <w:rFonts w:ascii="Times New Roman" w:cs="Times New Roman" w:eastAsia="Times New Roman" w:hAnsi="Times New Roman"/>
                <w:sz w:val="14"/>
                <w:szCs w:val="14"/>
                <w:color w:val="auto"/>
              </w:rPr>
              <w:t>44,571</w:t>
            </w:r>
          </w:p>
        </w:tc>
        <w:tc>
          <w:tcPr>
            <w:tcW w:w="100" w:type="dxa"/>
            <w:vAlign w:val="bottom"/>
            <w:tcBorders>
              <w:bottom w:val="single" w:sz="8" w:color="CFF0FC"/>
            </w:tcBorders>
            <w:shd w:val="clear" w:color="auto" w:fill="CFF0FC"/>
          </w:tcPr>
          <w:p>
            <w:pPr>
              <w:spacing w:after="0"/>
              <w:rPr>
                <w:sz w:val="16"/>
                <w:szCs w:val="16"/>
                <w:color w:val="auto"/>
              </w:rPr>
            </w:pPr>
          </w:p>
        </w:tc>
        <w:tc>
          <w:tcPr>
            <w:tcW w:w="160" w:type="dxa"/>
            <w:vAlign w:val="bottom"/>
            <w:tcBorders>
              <w:bottom w:val="single" w:sz="8" w:color="CFF0FC"/>
            </w:tcBorders>
            <w:shd w:val="clear" w:color="auto" w:fill="CFF0FC"/>
          </w:tcPr>
          <w:p>
            <w:pPr>
              <w:spacing w:after="0"/>
              <w:rPr>
                <w:sz w:val="16"/>
                <w:szCs w:val="16"/>
                <w:color w:val="auto"/>
              </w:rPr>
            </w:pPr>
          </w:p>
        </w:tc>
        <w:tc>
          <w:tcPr>
            <w:tcW w:w="340" w:type="dxa"/>
            <w:vAlign w:val="bottom"/>
            <w:tcBorders>
              <w:bottom w:val="single" w:sz="8" w:color="auto"/>
            </w:tcBorders>
            <w:shd w:val="clear" w:color="auto" w:fill="CFF0FC"/>
          </w:tcPr>
          <w:p>
            <w:pPr>
              <w:jc w:val="right"/>
              <w:ind w:right="168"/>
              <w:spacing w:after="0" w:line="129" w:lineRule="exact"/>
              <w:rPr>
                <w:sz w:val="20"/>
                <w:szCs w:val="20"/>
                <w:color w:val="auto"/>
              </w:rPr>
            </w:pPr>
            <w:r>
              <w:rPr>
                <w:rFonts w:ascii="Times New Roman" w:cs="Times New Roman" w:eastAsia="Times New Roman" w:hAnsi="Times New Roman"/>
                <w:sz w:val="14"/>
                <w:szCs w:val="14"/>
                <w:color w:val="auto"/>
              </w:rPr>
              <w:t>$</w:t>
            </w:r>
          </w:p>
        </w:tc>
        <w:tc>
          <w:tcPr>
            <w:tcW w:w="1100" w:type="dxa"/>
            <w:vAlign w:val="bottom"/>
            <w:tcBorders>
              <w:bottom w:val="single" w:sz="8" w:color="auto"/>
            </w:tcBorders>
            <w:shd w:val="clear" w:color="auto" w:fill="CFF0FC"/>
          </w:tcPr>
          <w:p>
            <w:pPr>
              <w:jc w:val="right"/>
              <w:spacing w:after="0" w:line="129" w:lineRule="exact"/>
              <w:rPr>
                <w:sz w:val="20"/>
                <w:szCs w:val="20"/>
                <w:color w:val="auto"/>
              </w:rPr>
            </w:pPr>
            <w:r>
              <w:rPr>
                <w:rFonts w:ascii="Times New Roman" w:cs="Times New Roman" w:eastAsia="Times New Roman" w:hAnsi="Times New Roman"/>
                <w:sz w:val="14"/>
                <w:szCs w:val="14"/>
                <w:color w:val="auto"/>
              </w:rPr>
              <w:t>41,229</w:t>
            </w:r>
          </w:p>
        </w:tc>
        <w:tc>
          <w:tcPr>
            <w:tcW w:w="260" w:type="dxa"/>
            <w:vAlign w:val="bottom"/>
            <w:tcBorders>
              <w:bottom w:val="single" w:sz="8" w:color="CFF0FC"/>
            </w:tcBorders>
            <w:shd w:val="clear" w:color="auto" w:fill="CFF0FC"/>
          </w:tcPr>
          <w:p>
            <w:pPr>
              <w:spacing w:after="0"/>
              <w:rPr>
                <w:sz w:val="16"/>
                <w:szCs w:val="16"/>
                <w:color w:val="auto"/>
              </w:rPr>
            </w:pPr>
          </w:p>
        </w:tc>
        <w:tc>
          <w:tcPr>
            <w:tcW w:w="320" w:type="dxa"/>
            <w:vAlign w:val="bottom"/>
            <w:tcBorders>
              <w:bottom w:val="single" w:sz="8" w:color="auto"/>
            </w:tcBorders>
            <w:shd w:val="clear" w:color="auto" w:fill="CFF0FC"/>
          </w:tcPr>
          <w:p>
            <w:pPr>
              <w:jc w:val="right"/>
              <w:ind w:right="168"/>
              <w:spacing w:after="0" w:line="129" w:lineRule="exact"/>
              <w:rPr>
                <w:sz w:val="20"/>
                <w:szCs w:val="20"/>
                <w:color w:val="auto"/>
              </w:rPr>
            </w:pPr>
            <w:r>
              <w:rPr>
                <w:rFonts w:ascii="Times New Roman" w:cs="Times New Roman" w:eastAsia="Times New Roman" w:hAnsi="Times New Roman"/>
                <w:sz w:val="14"/>
                <w:szCs w:val="14"/>
                <w:color w:val="auto"/>
                <w:w w:val="85"/>
              </w:rPr>
              <w:t>$</w:t>
            </w:r>
          </w:p>
        </w:tc>
        <w:tc>
          <w:tcPr>
            <w:tcW w:w="1120" w:type="dxa"/>
            <w:vAlign w:val="bottom"/>
            <w:tcBorders>
              <w:bottom w:val="single" w:sz="8" w:color="auto"/>
            </w:tcBorders>
            <w:shd w:val="clear" w:color="auto" w:fill="CFF0FC"/>
          </w:tcPr>
          <w:p>
            <w:pPr>
              <w:jc w:val="right"/>
              <w:spacing w:after="0" w:line="129" w:lineRule="exact"/>
              <w:rPr>
                <w:sz w:val="20"/>
                <w:szCs w:val="20"/>
                <w:color w:val="auto"/>
              </w:rPr>
            </w:pPr>
            <w:r>
              <w:rPr>
                <w:rFonts w:ascii="Times New Roman" w:cs="Times New Roman" w:eastAsia="Times New Roman" w:hAnsi="Times New Roman"/>
                <w:sz w:val="14"/>
                <w:szCs w:val="14"/>
                <w:color w:val="auto"/>
              </w:rPr>
              <w:t>43,448</w:t>
            </w:r>
          </w:p>
        </w:tc>
        <w:tc>
          <w:tcPr>
            <w:tcW w:w="120" w:type="dxa"/>
            <w:vAlign w:val="bottom"/>
            <w:tcBorders>
              <w:bottom w:val="single" w:sz="8" w:color="CFF0FC"/>
            </w:tcBorders>
            <w:shd w:val="clear" w:color="auto" w:fill="CFF0FC"/>
          </w:tcPr>
          <w:p>
            <w:pPr>
              <w:spacing w:after="0"/>
              <w:rPr>
                <w:sz w:val="16"/>
                <w:szCs w:val="16"/>
                <w:color w:val="auto"/>
              </w:rPr>
            </w:pPr>
          </w:p>
        </w:tc>
      </w:tr>
      <w:tr>
        <w:trPr>
          <w:trHeight w:val="129"/>
        </w:trPr>
        <w:tc>
          <w:tcPr>
            <w:tcW w:w="6300" w:type="dxa"/>
            <w:vAlign w:val="bottom"/>
          </w:tcPr>
          <w:p>
            <w:pPr>
              <w:ind w:left="200"/>
              <w:spacing w:after="0" w:line="129" w:lineRule="exact"/>
              <w:rPr>
                <w:sz w:val="20"/>
                <w:szCs w:val="20"/>
                <w:color w:val="auto"/>
              </w:rPr>
            </w:pPr>
            <w:r>
              <w:rPr>
                <w:rFonts w:ascii="Times New Roman" w:cs="Times New Roman" w:eastAsia="Times New Roman" w:hAnsi="Times New Roman"/>
                <w:sz w:val="14"/>
                <w:szCs w:val="14"/>
                <w:color w:val="auto"/>
              </w:rPr>
              <w:t>Cash paid during the year for income taxes, net of tax refunds</w:t>
            </w:r>
          </w:p>
        </w:tc>
        <w:tc>
          <w:tcPr>
            <w:tcW w:w="320" w:type="dxa"/>
            <w:vAlign w:val="bottom"/>
            <w:tcBorders>
              <w:bottom w:val="single" w:sz="8" w:color="auto"/>
            </w:tcBorders>
          </w:tcPr>
          <w:p>
            <w:pPr>
              <w:jc w:val="right"/>
              <w:ind w:right="168"/>
              <w:spacing w:after="0" w:line="129" w:lineRule="exact"/>
              <w:rPr>
                <w:sz w:val="20"/>
                <w:szCs w:val="20"/>
                <w:color w:val="auto"/>
              </w:rPr>
            </w:pPr>
            <w:r>
              <w:rPr>
                <w:rFonts w:ascii="Times New Roman" w:cs="Times New Roman" w:eastAsia="Times New Roman" w:hAnsi="Times New Roman"/>
                <w:sz w:val="14"/>
                <w:szCs w:val="14"/>
                <w:color w:val="auto"/>
                <w:w w:val="85"/>
              </w:rPr>
              <w:t>$</w:t>
            </w:r>
          </w:p>
        </w:tc>
        <w:tc>
          <w:tcPr>
            <w:tcW w:w="1100" w:type="dxa"/>
            <w:vAlign w:val="bottom"/>
            <w:tcBorders>
              <w:bottom w:val="single" w:sz="8" w:color="auto"/>
            </w:tcBorders>
          </w:tcPr>
          <w:p>
            <w:pPr>
              <w:jc w:val="right"/>
              <w:spacing w:after="0" w:line="129" w:lineRule="exact"/>
              <w:rPr>
                <w:sz w:val="20"/>
                <w:szCs w:val="20"/>
                <w:color w:val="auto"/>
              </w:rPr>
            </w:pPr>
            <w:r>
              <w:rPr>
                <w:rFonts w:ascii="Times New Roman" w:cs="Times New Roman" w:eastAsia="Times New Roman" w:hAnsi="Times New Roman"/>
                <w:sz w:val="14"/>
                <w:szCs w:val="14"/>
                <w:color w:val="auto"/>
              </w:rPr>
              <w:t>1,059</w:t>
            </w:r>
          </w:p>
        </w:tc>
        <w:tc>
          <w:tcPr>
            <w:tcW w:w="10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340" w:type="dxa"/>
            <w:vAlign w:val="bottom"/>
            <w:tcBorders>
              <w:bottom w:val="single" w:sz="8" w:color="auto"/>
            </w:tcBorders>
          </w:tcPr>
          <w:p>
            <w:pPr>
              <w:jc w:val="right"/>
              <w:ind w:right="168"/>
              <w:spacing w:after="0" w:line="129" w:lineRule="exact"/>
              <w:rPr>
                <w:sz w:val="20"/>
                <w:szCs w:val="20"/>
                <w:color w:val="auto"/>
              </w:rPr>
            </w:pPr>
            <w:r>
              <w:rPr>
                <w:rFonts w:ascii="Times New Roman" w:cs="Times New Roman" w:eastAsia="Times New Roman" w:hAnsi="Times New Roman"/>
                <w:sz w:val="14"/>
                <w:szCs w:val="14"/>
                <w:color w:val="auto"/>
              </w:rPr>
              <w:t>$</w:t>
            </w:r>
          </w:p>
        </w:tc>
        <w:tc>
          <w:tcPr>
            <w:tcW w:w="1100" w:type="dxa"/>
            <w:vAlign w:val="bottom"/>
            <w:tcBorders>
              <w:bottom w:val="single" w:sz="8" w:color="auto"/>
            </w:tcBorders>
          </w:tcPr>
          <w:p>
            <w:pPr>
              <w:jc w:val="right"/>
              <w:spacing w:after="0" w:line="129" w:lineRule="exact"/>
              <w:rPr>
                <w:sz w:val="20"/>
                <w:szCs w:val="20"/>
                <w:color w:val="auto"/>
              </w:rPr>
            </w:pPr>
            <w:r>
              <w:rPr>
                <w:rFonts w:ascii="Times New Roman" w:cs="Times New Roman" w:eastAsia="Times New Roman" w:hAnsi="Times New Roman"/>
                <w:sz w:val="14"/>
                <w:szCs w:val="14"/>
                <w:color w:val="auto"/>
              </w:rPr>
              <w:t>30,318</w:t>
            </w:r>
          </w:p>
        </w:tc>
        <w:tc>
          <w:tcPr>
            <w:tcW w:w="260" w:type="dxa"/>
            <w:vAlign w:val="bottom"/>
          </w:tcPr>
          <w:p>
            <w:pPr>
              <w:spacing w:after="0"/>
              <w:rPr>
                <w:sz w:val="11"/>
                <w:szCs w:val="11"/>
                <w:color w:val="auto"/>
              </w:rPr>
            </w:pPr>
          </w:p>
        </w:tc>
        <w:tc>
          <w:tcPr>
            <w:tcW w:w="320" w:type="dxa"/>
            <w:vAlign w:val="bottom"/>
            <w:tcBorders>
              <w:bottom w:val="single" w:sz="8" w:color="auto"/>
            </w:tcBorders>
          </w:tcPr>
          <w:p>
            <w:pPr>
              <w:jc w:val="right"/>
              <w:ind w:right="168"/>
              <w:spacing w:after="0" w:line="129" w:lineRule="exact"/>
              <w:rPr>
                <w:sz w:val="20"/>
                <w:szCs w:val="20"/>
                <w:color w:val="auto"/>
              </w:rPr>
            </w:pPr>
            <w:r>
              <w:rPr>
                <w:rFonts w:ascii="Times New Roman" w:cs="Times New Roman" w:eastAsia="Times New Roman" w:hAnsi="Times New Roman"/>
                <w:sz w:val="14"/>
                <w:szCs w:val="14"/>
                <w:color w:val="auto"/>
                <w:w w:val="85"/>
              </w:rPr>
              <w:t>$</w:t>
            </w:r>
          </w:p>
        </w:tc>
        <w:tc>
          <w:tcPr>
            <w:tcW w:w="1120" w:type="dxa"/>
            <w:vAlign w:val="bottom"/>
            <w:tcBorders>
              <w:bottom w:val="single" w:sz="8" w:color="auto"/>
            </w:tcBorders>
          </w:tcPr>
          <w:p>
            <w:pPr>
              <w:jc w:val="right"/>
              <w:spacing w:after="0" w:line="129" w:lineRule="exact"/>
              <w:rPr>
                <w:sz w:val="20"/>
                <w:szCs w:val="20"/>
                <w:color w:val="auto"/>
              </w:rPr>
            </w:pPr>
            <w:r>
              <w:rPr>
                <w:rFonts w:ascii="Times New Roman" w:cs="Times New Roman" w:eastAsia="Times New Roman" w:hAnsi="Times New Roman"/>
                <w:sz w:val="14"/>
                <w:szCs w:val="14"/>
                <w:color w:val="auto"/>
              </w:rPr>
              <w:t>21,973</w:t>
            </w:r>
          </w:p>
        </w:tc>
        <w:tc>
          <w:tcPr>
            <w:tcW w:w="120" w:type="dxa"/>
            <w:vAlign w:val="bottom"/>
          </w:tcPr>
          <w:p>
            <w:pPr>
              <w:spacing w:after="0"/>
              <w:rPr>
                <w:sz w:val="11"/>
                <w:szCs w:val="11"/>
                <w:color w:val="auto"/>
              </w:rPr>
            </w:pPr>
          </w:p>
        </w:tc>
      </w:tr>
      <w:tr>
        <w:trPr>
          <w:trHeight w:val="20"/>
        </w:trPr>
        <w:tc>
          <w:tcPr>
            <w:tcW w:w="630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10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340" w:type="dxa"/>
            <w:vAlign w:val="bottom"/>
            <w:tcBorders>
              <w:bottom w:val="single" w:sz="8" w:color="auto"/>
            </w:tcBorders>
          </w:tcPr>
          <w:p>
            <w:pPr>
              <w:spacing w:after="0" w:line="20" w:lineRule="exact"/>
              <w:rPr>
                <w:sz w:val="1"/>
                <w:szCs w:val="1"/>
                <w:color w:val="auto"/>
              </w:rPr>
            </w:pPr>
          </w:p>
        </w:tc>
        <w:tc>
          <w:tcPr>
            <w:tcW w:w="1100" w:type="dxa"/>
            <w:vAlign w:val="bottom"/>
            <w:tcBorders>
              <w:bottom w:val="single" w:sz="8" w:color="auto"/>
            </w:tcBorders>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120" w:type="dxa"/>
            <w:vAlign w:val="bottom"/>
            <w:tcBorders>
              <w:bottom w:val="single" w:sz="8" w:color="auto"/>
            </w:tcBorders>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4908550</wp:posOffset>
            </wp:positionH>
            <wp:positionV relativeFrom="paragraph">
              <wp:posOffset>-359410</wp:posOffset>
            </wp:positionV>
            <wp:extent cx="68580" cy="8890"/>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7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4908550</wp:posOffset>
            </wp:positionH>
            <wp:positionV relativeFrom="paragraph">
              <wp:posOffset>-342265</wp:posOffset>
            </wp:positionV>
            <wp:extent cx="68580" cy="8255"/>
            <wp:wrapNone/>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7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5979795</wp:posOffset>
            </wp:positionH>
            <wp:positionV relativeFrom="paragraph">
              <wp:posOffset>-359410</wp:posOffset>
            </wp:positionV>
            <wp:extent cx="68580" cy="8890"/>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8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5979795</wp:posOffset>
            </wp:positionH>
            <wp:positionV relativeFrom="paragraph">
              <wp:posOffset>-342265</wp:posOffset>
            </wp:positionV>
            <wp:extent cx="68580" cy="825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-359410</wp:posOffset>
            </wp:positionV>
            <wp:extent cx="77470" cy="889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2">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-342265</wp:posOffset>
            </wp:positionV>
            <wp:extent cx="77470" cy="8255"/>
            <wp:wrapNone/>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3">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4908550</wp:posOffset>
            </wp:positionH>
            <wp:positionV relativeFrom="paragraph">
              <wp:posOffset>-145415</wp:posOffset>
            </wp:positionV>
            <wp:extent cx="68580" cy="8890"/>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4908550</wp:posOffset>
            </wp:positionH>
            <wp:positionV relativeFrom="paragraph">
              <wp:posOffset>-128270</wp:posOffset>
            </wp:positionV>
            <wp:extent cx="68580" cy="8255"/>
            <wp:wrapNone/>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8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5979795</wp:posOffset>
            </wp:positionH>
            <wp:positionV relativeFrom="paragraph">
              <wp:posOffset>-145415</wp:posOffset>
            </wp:positionV>
            <wp:extent cx="68580" cy="8890"/>
            <wp:wrapNone/>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8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5979795</wp:posOffset>
            </wp:positionH>
            <wp:positionV relativeFrom="paragraph">
              <wp:posOffset>-128270</wp:posOffset>
            </wp:positionV>
            <wp:extent cx="68580" cy="8255"/>
            <wp:wrapNone/>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8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-145415</wp:posOffset>
            </wp:positionV>
            <wp:extent cx="77470" cy="8890"/>
            <wp:wrapNone/>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88">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-128270</wp:posOffset>
            </wp:positionV>
            <wp:extent cx="77470" cy="8255"/>
            <wp:wrapNone/>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89">
                      <a:extLst>
                        <a:ext uri="{28A0092B-C50C-407E-A947-70E740481C1C}"/>
                      </a:extLst>
                    </a:blip>
                    <a:srcRect/>
                    <a:stretch>
                      <a:fillRect/>
                    </a:stretch>
                  </pic:blipFill>
                  <pic:spPr bwMode="auto">
                    <a:xfrm>
                      <a:off x="0" y="0"/>
                      <a:ext cx="77470" cy="8255"/>
                    </a:xfrm>
                    <a:prstGeom prst="rect">
                      <a:avLst/>
                    </a:prstGeom>
                    <a:noFill/>
                  </pic:spPr>
                </pic:pic>
              </a:graphicData>
            </a:graphic>
          </wp:anchor>
        </w:drawing>
      </w:r>
    </w:p>
    <w:p>
      <w:pPr>
        <w:spacing w:after="0" w:line="17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The accompanying notes are an integral part of these Consolidated Financial Statements.</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08" w:right="339" w:bottom="1440" w:gutter="0" w:footer="0" w:header="0"/>
        </w:sectPr>
      </w:pPr>
    </w:p>
    <w:bookmarkStart w:id="77" w:name="page78"/>
    <w:bookmarkEnd w:id="77"/>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NOTES TO CONSOLIDATED FINANCIAL STATEMENTS</w:t>
      </w:r>
    </w:p>
    <w:p>
      <w:pPr>
        <w:spacing w:after="0" w:line="2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 Organization</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MicroStrategy Incorporated d/b/a Strategy (the “Company”) is the world’s first and largest Bitcoin Treasury Company. By using proceeds from equity and debt financings, as well as cash flows from its operations, the Company strategically accumulates Bitcoin and advocates for its role as digital capital. The Company’s treasury strategy is designed to provide investors varying degrees of economic exposure to Bitcoin by offering a range of securities, including equity and fixed income instruments. In addition, the Company provides industry-leading AI-powered enterprise analytics software, advancing its vision of Intelligence Everywhere. The Company leverages its development capabilities to explore innovation in Bitcoin applications, integrating analytics expertise with its commitment to digital asset growth. The Company’s enterprise analytics software business, which it has operated for over 30 years, is its predominant operational focus.</w:t>
      </w:r>
    </w:p>
    <w:p>
      <w:pPr>
        <w:spacing w:after="0" w:line="3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(2) Summary of Significant Accounting Policies</w:t>
      </w:r>
    </w:p>
    <w:p>
      <w:pPr>
        <w:spacing w:after="0" w:line="33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(a) Basis of Presentation</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accompanying Consolidated Financial Statements include the accounts of the Company and its subsidiaries. All significant intercompany accounts and transactions have been eliminated in consolidation.</w:t>
      </w:r>
    </w:p>
    <w:p>
      <w:pPr>
        <w:spacing w:after="0" w:line="54"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On July 11, 2024, the Company announced a 10-for-1 stock split of the Company’s class A common stock and class B common stock. The stock split was effected by means of a stock dividend to the holders of record of the Company’s class A common stock and class B common stock as of the close of business on August 1, 2024, the record date for the dividend. Shares held in treasury by the Company were not impacted by the stock split. The dividend was distributed after the close of trading on August 7, 2024 and trading commenced on a split-adjusted basis at market open on August 8, 2024. As a result of the stock split, all applicable share, per share, and equity award information has been retroactively adjusted in the Consolidated Financial Statements and Notes to Consolidated Financial Statements to reflect the stock split for all periods presented.</w:t>
      </w: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(b) Use of Estimates</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preparation of the Consolidated Financial Statements, in conformity with GAAP, requires management to make estimates and judgments that affect the amounts reported in the Consolidated Financial Statements and accompanying notes. On an on-going basis, the Company evaluates its estimates, including, but not limited to, those related to revenue recognition, allowance for doubtful accounts, investments, fixed assets, digital assets, leases, debt, share-based compensation, income taxes, including the carrying value of deferred tax assets, and litigation and contingencies, including liabilities that the Company deems not probable of assertion.</w:t>
      </w:r>
    </w:p>
    <w:p>
      <w:pPr>
        <w:spacing w:after="0" w:line="7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bases its estimates on historical experience and on various other assumptions that are believed to be reasonable under the circumstances, the results of which form the basis for making judgments about the carrying value of assets, liabilities, and equity that are not readily apparent from other sources. Actual results and outcomes could differ from these estimates and assumptions.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(c) Fair Value Measurements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measures certain assets and liabilities at fair value on a recurring or nonrecurring basis. Fair value is defined as the price that is expected to be received to sell an asset or paid to transfer a liability in an orderly transaction between market participants at the measurement date. The Company uses a three-level hierarchy that prioritizes fair value measurements based on the types of inputs used for the various valuation techniques. The three levels of the fair value hierarchy are described below:</w:t>
      </w:r>
    </w:p>
    <w:p>
      <w:pPr>
        <w:spacing w:after="0" w:line="180" w:lineRule="exact"/>
        <w:rPr>
          <w:sz w:val="20"/>
          <w:szCs w:val="20"/>
          <w:color w:val="auto"/>
        </w:rPr>
      </w:pPr>
    </w:p>
    <w:p>
      <w:pPr>
        <w:ind w:left="1600" w:right="760" w:hanging="879"/>
        <w:spacing w:after="0" w:line="282" w:lineRule="auto"/>
        <w:tabs>
          <w:tab w:leader="none" w:pos="1580" w:val="left"/>
        </w:tabs>
        <w:rPr>
          <w:sz w:val="20"/>
          <w:szCs w:val="20"/>
          <w:color w:val="auto"/>
        </w:rPr>
      </w:pPr>
      <w:r>
        <w:rPr>
          <w:rFonts w:ascii="Times New Roman" w:cs="Times New Roman" w:eastAsia="Times New Roman" w:hAnsi="Times New Roman"/>
          <w:sz w:val="18"/>
          <w:szCs w:val="18"/>
          <w:color w:val="auto"/>
        </w:rPr>
        <w:t>Level 1:</w:t>
        <w:tab/>
        <w:t>Quoted (unadjusted) prices in active markets that are accessible at the measurement date for identical, unrestricted assets or liabilities.</w:t>
      </w:r>
    </w:p>
    <w:p>
      <w:pPr>
        <w:spacing w:after="0" w:line="162" w:lineRule="exact"/>
        <w:rPr>
          <w:sz w:val="20"/>
          <w:szCs w:val="20"/>
          <w:color w:val="auto"/>
        </w:rPr>
      </w:pPr>
    </w:p>
    <w:p>
      <w:pPr>
        <w:ind w:left="1600" w:right="80" w:hanging="879"/>
        <w:spacing w:after="0" w:line="266" w:lineRule="auto"/>
        <w:tabs>
          <w:tab w:leader="none" w:pos="1580" w:val="left"/>
        </w:tabs>
        <w:rPr>
          <w:sz w:val="20"/>
          <w:szCs w:val="20"/>
          <w:color w:val="auto"/>
        </w:rPr>
      </w:pPr>
      <w:r>
        <w:rPr>
          <w:rFonts w:ascii="Times New Roman" w:cs="Times New Roman" w:eastAsia="Times New Roman" w:hAnsi="Times New Roman"/>
          <w:sz w:val="18"/>
          <w:szCs w:val="18"/>
          <w:color w:val="auto"/>
        </w:rPr>
        <w:t>Level 2:</w:t>
        <w:tab/>
        <w:t>Inputs other than quoted prices that are either directly or indirectly observable, such as quoted prices in active markets for similar assets or liabilities, quoted prices for identical or similar assets or liabilities in inactive markets, or other inputs that are observable or can be corroborated by observable market data for substantially the full term of the assets or liabilities.</w:t>
      </w:r>
    </w:p>
    <w:p>
      <w:pPr>
        <w:spacing w:after="0" w:line="176" w:lineRule="exact"/>
        <w:rPr>
          <w:sz w:val="20"/>
          <w:szCs w:val="20"/>
          <w:color w:val="auto"/>
        </w:rPr>
      </w:pPr>
    </w:p>
    <w:p>
      <w:pPr>
        <w:ind w:left="1600" w:right="420" w:hanging="879"/>
        <w:spacing w:after="0" w:line="282" w:lineRule="auto"/>
        <w:tabs>
          <w:tab w:leader="none" w:pos="1580" w:val="left"/>
        </w:tabs>
        <w:rPr>
          <w:sz w:val="20"/>
          <w:szCs w:val="20"/>
          <w:color w:val="auto"/>
        </w:rPr>
      </w:pPr>
      <w:r>
        <w:rPr>
          <w:rFonts w:ascii="Times New Roman" w:cs="Times New Roman" w:eastAsia="Times New Roman" w:hAnsi="Times New Roman"/>
          <w:sz w:val="18"/>
          <w:szCs w:val="18"/>
          <w:color w:val="auto"/>
        </w:rPr>
        <w:t>Level 3:</w:t>
        <w:tab/>
        <w:t>Inputs that are generally unobservable, supported by little or no market activity, and typically reflect management’s estimates of assumptions that market participants would use in pricing the asset or liability.</w:t>
      </w:r>
    </w:p>
    <w:p>
      <w:pPr>
        <w:spacing w:after="0" w:line="37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08" w:right="339" w:bottom="1440" w:gutter="0" w:footer="0" w:header="0"/>
        </w:sectPr>
      </w:pPr>
    </w:p>
    <w:bookmarkStart w:id="78" w:name="page79"/>
    <w:bookmarkEnd w:id="78"/>
    <w:p>
      <w:pPr>
        <w:jc w:val="both"/>
        <w:spacing w:after="0" w:line="266" w:lineRule="auto"/>
        <w:rPr>
          <w:sz w:val="20"/>
          <w:szCs w:val="20"/>
          <w:color w:val="auto"/>
        </w:rPr>
      </w:pPr>
      <w:r>
        <w:rPr>
          <w:rFonts w:ascii="Times New Roman" w:cs="Times New Roman" w:eastAsia="Times New Roman" w:hAnsi="Times New Roman"/>
          <w:sz w:val="18"/>
          <w:szCs w:val="18"/>
          <w:color w:val="auto"/>
        </w:rPr>
        <w:t>The categorization of an asset or liability within the fair value hierarchy is based on the lowest level of input that is significant to the fair value measurement. The valuation techniques used by the Company when measuring fair value maximize the use of observable inputs and minimize the use of unobservable inputs.</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also estimates the fair value of cash and cash equivalents, restricted cash, accounts receivable, accounts payable and accrued expenses, and accrued compensation and employee benefits. The Company considers the carrying value of these instruments in the Consolidated Financial Statements to approximate fair value due to their short maturities.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(d) Cash and Cash Equivalents and Restricted Cash</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Cash equivalents may include bank demand deposits, money market instruments, certificates of deposit, U.S. Treasury securities, and equivalent funds. The Company generally considers all highly liquid investments with an original maturity of three months or less to be cash equivalents. Restricted cash consists of cash balances restricted in use by contractual obligations with third parties.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(e) Credit Losses on Accounts Receivable</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Company maintains an allowance for credit losses on its accounts receivable balances, which represents its best estimate of current expected credit losses over the contractual life of the accounts receivable. When evaluating the adequacy of its allowance for credit losses each reporting period, the Company analyzes accounts receivable balances with similar risk characteristics on a collective basis, considering factors such as the aging of receivable balances, payment terms, geographic location, historical loss experience, current information, and future expectations. Each reporting period, the Company reassesses whether any accounts receivable no longer share similar risk characteristics and should instead be evaluated as part of another pool or on an individual basis. Changes to the allowance for credit losses are adjusted through credit loss expense, which is presented within “General and administrative” operating expenses in the Consolidated Statements of Operations.</w:t>
      </w:r>
    </w:p>
    <w:p>
      <w:pPr>
        <w:spacing w:after="0" w:line="29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(f) Concentrations of Credit Risk</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Financial instruments that potentially subject the Company to concentrations of credit risk consist primarily of cash and cash equivalents, restricted cash, and accounts receivable. The Company places its cash equivalents with high credit-quality financial institutions and has established guidelines relative to credit ratings and maturities that seek to maintain safety and liquidity.</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sells its offerings to various companies across several industries throughout the world in the ordinary course of business. The Company routinely assesses the financial strength of its customers and maintains allowances for anticipated losses. As of December 31, 2024 and 2023, no individual customer accounted for 10% or more of net accounts receivable, and for the years ended December 31, 2024, 2023, and 2022, no individual customer accounted for 10% or more of revenue.</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(g) Digital Assets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 xml:space="preserve">The Company accounts for its digital assets, which are comprised solely of bitcoin, as indefinite-lived intangible assets in accordance with Accounting Standards Codification (“ASC”) 350, </w:t>
      </w:r>
      <w:r>
        <w:rPr>
          <w:rFonts w:ascii="Times New Roman" w:cs="Times New Roman" w:eastAsia="Times New Roman" w:hAnsi="Times New Roman"/>
          <w:sz w:val="18"/>
          <w:szCs w:val="18"/>
          <w:i w:val="1"/>
          <w:iCs w:val="1"/>
          <w:color w:val="auto"/>
        </w:rPr>
        <w:t>Intangibles—Goodwill and Other</w:t>
      </w:r>
      <w:r>
        <w:rPr>
          <w:rFonts w:ascii="Times New Roman" w:cs="Times New Roman" w:eastAsia="Times New Roman" w:hAnsi="Times New Roman"/>
          <w:sz w:val="18"/>
          <w:szCs w:val="18"/>
          <w:color w:val="auto"/>
        </w:rPr>
        <w:t>. The Company has ownership of and control over its bitcoin and uses third-party custodial services at multiple locations that are geographically dispersed to store its bitcoin. The Company’s digital assets are initially recorded at cost. Subsequently, they are measured at cost, net of any impairment losses incurred since acquisition.</w:t>
      </w:r>
    </w:p>
    <w:p>
      <w:pPr>
        <w:spacing w:after="0" w:line="70"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 xml:space="preserve">The Company determines the fair value of its bitcoin on a nonrecurring basis in accordance with ASC 820, </w:t>
      </w:r>
      <w:r>
        <w:rPr>
          <w:rFonts w:ascii="Times New Roman" w:cs="Times New Roman" w:eastAsia="Times New Roman" w:hAnsi="Times New Roman"/>
          <w:sz w:val="18"/>
          <w:szCs w:val="18"/>
          <w:i w:val="1"/>
          <w:iCs w:val="1"/>
          <w:color w:val="auto"/>
        </w:rPr>
        <w:t>Fair Value Measurement</w:t>
      </w:r>
      <w:r>
        <w:rPr>
          <w:rFonts w:ascii="Times New Roman" w:cs="Times New Roman" w:eastAsia="Times New Roman" w:hAnsi="Times New Roman"/>
          <w:sz w:val="18"/>
          <w:szCs w:val="18"/>
          <w:color w:val="auto"/>
        </w:rPr>
        <w:t>, based on quoted (unadjusted) prices on the Coinbase exchange, the active exchange that the Company has determined is its principal market for bitcoin (Level 1 inputs). The Company performs an analysis each quarter to identify whether events or changes in circumstances, principally decreases in the quoted (unadjusted) prices on the active exchange, indicate that it is more likely than not that any of the assets are impaired. In determining if an impairment has occurred, the Company considers the lowest price of one bitcoin quoted on the active exchange at any time since acquiring the specific bitcoin held by the Company. If the carrying value of a bitcoin exceeds that lowest price, an impairment loss has occurred with respect to that bitcoin in the amount equal to the difference between its carrying value and such lowest price.</w:t>
      </w:r>
    </w:p>
    <w:p>
      <w:pPr>
        <w:spacing w:after="0" w:line="7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Impairment losses are recognized in the period in which the impairment occurs and are reflected within “Digital asset impairment losses (gains on sale), net” in the Company’s Consolidated Statements of Operations. The impaired digital assets are written down to their fair value at the time of impairment and this new cost basis will not be adjusted upward for any subsequent increase in fair value. Gains (if any) are not recorded until realized upon sale, at which point they are presented net of any impairment losses in the Company’s Consolidated Statements of Operations. In determining the gain to be recognized upon sale, the Company calculates the difference between the sales price and carrying value of the specific bitcoins sold immediately prior to sale.</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9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28" w:right="339" w:bottom="1440" w:gutter="0" w:footer="0" w:header="0"/>
        </w:sectPr>
      </w:pPr>
    </w:p>
    <w:bookmarkStart w:id="79" w:name="page80"/>
    <w:bookmarkEnd w:id="79"/>
    <w:p>
      <w:pPr>
        <w:jc w:val="both"/>
        <w:spacing w:after="0" w:line="261" w:lineRule="auto"/>
        <w:rPr>
          <w:sz w:val="20"/>
          <w:szCs w:val="20"/>
          <w:color w:val="auto"/>
        </w:rPr>
      </w:pPr>
      <w:r>
        <w:rPr>
          <w:rFonts w:ascii="Times New Roman" w:cs="Times New Roman" w:eastAsia="Times New Roman" w:hAnsi="Times New Roman"/>
          <w:sz w:val="18"/>
          <w:szCs w:val="18"/>
          <w:color w:val="auto"/>
        </w:rPr>
        <w:t xml:space="preserve">See Note 4, Digital Assets, to the Consolidated Financial Statements for further information regarding the Company’s purchases and sales of digital assets. See Note 3, Recent Accounting Standards, to the Consolidated Financial Statements for further information regarding the Company’s adoption of </w:t>
      </w:r>
      <w:r>
        <w:rPr>
          <w:rFonts w:ascii="Times New Roman" w:cs="Times New Roman" w:eastAsia="Times New Roman" w:hAnsi="Times New Roman"/>
          <w:sz w:val="18"/>
          <w:szCs w:val="18"/>
          <w:i w:val="1"/>
          <w:iCs w:val="1"/>
          <w:color w:val="auto"/>
        </w:rPr>
        <w:t>Accounting Standards Update No. 2023-08, Intangibles—Goodwill and Other—Crypto Assets (Subtopic 350-60): Accounting for and Disclosure of Crypto Assets</w:t>
      </w:r>
      <w:r>
        <w:rPr>
          <w:rFonts w:ascii="Times New Roman" w:cs="Times New Roman" w:eastAsia="Times New Roman" w:hAnsi="Times New Roman"/>
          <w:sz w:val="18"/>
          <w:szCs w:val="18"/>
          <w:color w:val="auto"/>
        </w:rPr>
        <w:t>, effective January 1, 2025, and resulting changes to the Company’s accounting policy for digital assets.</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(h) Property and Equipment</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Property and equipment are stated at cost, net of accumulated depreciation. Depreciation is computed using the straight-line method over the estimated useful lives of the assets, as follows: three years for computer equipment and purchased software; five years for office equipment; 10 years for office furniture; and 19 years for the Company’s corporate aircraft, which has an estimated salvage value of 21%. Leasehold improvements are amortized using the straight-line method over the estimated useful lives of the improvements or the term of the lease, whichever is shorter. The Company periodically evaluates the appropriateness of the estimated useful lives and salvage value of all property and equipment. Any change in the estimated useful life or salvage value is treated as a change in estimate and accounted for prospectively in the period of change.</w:t>
      </w:r>
    </w:p>
    <w:p>
      <w:pPr>
        <w:spacing w:after="0" w:line="7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Expenditures for maintenance and repairs are charged to expense as incurred. When assets are retired or sold, the capitalized cost and related accumulated depreciation are removed from the property and equipment accounts and any resulting gain or loss is recognized in the results of operations.</w:t>
      </w:r>
    </w:p>
    <w:p>
      <w:pPr>
        <w:spacing w:after="0" w:line="5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Eligible internal-use software development costs are capitalized subsequent to the completion of the preliminary project stage. Such costs include external direct material and service costs, employee payroll, and payroll-related costs. After all substantial testing and deployment is completed and the software is ready for its intended use, capitalization ceases and internal-use software development costs are amortized using the straight-line method over the estimated useful life of the software, generally three years.</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reviews long-lived assets for impairment whenever events or changes in business circumstances indicate that the carrying value of the assets may not be fully recoverable or that the useful lives of these assets are no longer appropriate. Each impairment test is based on a comparison of the undiscounted cash flows to the recorded value of the asset. If an asset is impaired, the asset is written down by the amount by which the carrying value of the asset exceeds the related fair value of the asset.</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(i) Leases</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 lease is a contract, or part of a contract, that conveys the right to both (i) obtain economic benefits from and (ii) direct the use of an identified asset for a period of time in exchange for consideration. The Company evaluates its contracts to determine if they contain a lease and classifies any lease components identified as an operating or finance lease. For each lease component, the Company recognizes a right-of-use (“ROU”) asset and a lease liability. ROU assets and lease liabilities are presented separately for operating and finance leases; however, the Company currently has no material finance leases. The Company’s operating leases are primarily related to office space in the United States and foreign locations.</w:t>
      </w:r>
    </w:p>
    <w:p>
      <w:pPr>
        <w:spacing w:after="0" w:line="75"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In a contract that contains a lease, a component is an item or activity that transfers a good or service to the lessee. Such contracts may be comprised of lease components, non-lease components, and elements that are not components. Each lease component represents a lessee’s right to use an underlying asset in the contract if the lessee can benefit from the right of use of the asset either on its own or together with other readily available resources and if the right of use is neither highly dependent nor highly interrelated with other rights of use. Non-lease components include items such as common area maintenance and utilities provided by the lessor. The Company has elected the practical expedient to not separate lease components from non-lease components for office space, which is the Company’s only material underlying asset class. For each lease within this asset class, the non-lease components and related lease components are accounted for as a single lease component. Items or activities that do not transfer goods or services to the lessee, such as administrative tasks to set up the contract and reimbursement or payment of lessor costs, are not components of the contract and therefore no contract consideration is allocated to such items or activities.</w:t>
      </w:r>
    </w:p>
    <w:p>
      <w:pPr>
        <w:spacing w:after="0" w:line="80"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Consideration in the contract is comprised of any fixed payments and variable payments that depend on an index or rate. Payments in the Company’s operating lease arrangements are typically comprised of base office rent and parking fees. Costs related to the Company’s non-lease components, as described above, are generally variable and do not depend on an index or rate and are therefore excluded from the contract consideration allocated to the lease components. The Company’s operating lease arrangements generally do not contain any payments related to items or activities that are not components.</w:t>
      </w:r>
    </w:p>
    <w:p>
      <w:pPr>
        <w:spacing w:after="0" w:line="75"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Operating lease liabilities are initially and subsequently measured at the present value of unpaid lease payments, discounted at the discount rate of the lease. Operating lease ROU assets are initially measured as the sum of the initial lease liability, any initial direct costs incurred, and any prepaid lease payments, less any lease incentives received. The ROU asset is amortized over the term of the lease. The amortization of operating lease ROU assets is included in “Reduction in carrying amount of right-of-use assets” within the operating activities section of the Consolidated Statements of Cash Flows. A single lease expense is recorded within operating expenses in the Consolidated Statements of Operations on a straight-line basis over the lease term. Variable lease payments that are not included</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9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80" w:name="page81"/>
    <w:bookmarkEnd w:id="80"/>
    <w:p>
      <w:pPr>
        <w:jc w:val="both"/>
        <w:spacing w:after="0" w:line="282" w:lineRule="auto"/>
        <w:rPr>
          <w:sz w:val="20"/>
          <w:szCs w:val="20"/>
          <w:color w:val="auto"/>
        </w:rPr>
      </w:pPr>
      <w:r>
        <w:rPr>
          <w:rFonts w:ascii="Times New Roman" w:cs="Times New Roman" w:eastAsia="Times New Roman" w:hAnsi="Times New Roman"/>
          <w:sz w:val="18"/>
          <w:szCs w:val="18"/>
          <w:color w:val="auto"/>
        </w:rPr>
        <w:t>in the measurement of the lease liability are recognized in the period when the obligations for those payments are incurred. In the Company’s lease agreements, these variable payments typically include certain taxes, utilities, and maintenance costs, and other fees.</w:t>
      </w:r>
    </w:p>
    <w:p>
      <w:pPr>
        <w:spacing w:after="0" w:line="5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uses its incremental borrowing rate as the discount rate for all of its leases, as the rate implicit in the lease is not readily determinable in any of its lease contracts. In order to estimate a collateralized borrowing rate curve, the Company first estimates a synthetic credit rating and then applies modeling methodologies to an unsecured borrowing rate curve. In determining the incremental borrowing rate of each lease, the Company uses a centralized treasury approach and considers the currency of the contract, the economic environment in which the lease exists, and the term of the lease.</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does not recognize lease liabilities or ROU assets for any short-term leases with a non-cancellable lease term of 12 months or less. Instead, the lease payments for these short-term leases are expensed on a straight-line basis over the lease term, and any variable payments are recognized in the period when the obligations for those payments are incurred. The Company believes that, using this methodology, the expense recorded reasonably reflects the Company’s short-term lease commitments.</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(j) Software Development Costs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did not capitalize any software development costs during the years ended December 31, 2024, 2023, and 2022. Due to the pace of the Company’s software development efforts and frequency of its software releases, the Company’s software development costs are expensed as incurred within “Research and development” in the Consolidated Statements of Operations.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(k) Loss Contingencies and Legal Costs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accrues loss contingencies that are believed to be probable and can be reasonably estimated. As events evolve during the administration and litigation process and additional information becomes known, the Company reassesses its estimates related to loss contingencies. Legal costs are expensed in the period in which the costs are incurred.</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(l) Deferred Revenue and Advance Payments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Deferred revenue and advance payments are contract liabilities that represent amounts received or due from customers in advance of the Company transferring its software or services to the customer under an enforceable contract. Revenue is subsequently recognized in the period(s) in which control of the software or services is transferred to the customer. Deferred revenue is comprised of deferred product licenses and subscription services, product support, or other services revenue based on the transaction price allocated to the specific performance obligation in the contract with the customer, and presented as either current or non-current in the Consolidated Balance Sheets, depending on whether the software or services are expected to be transferred to the customer within the next year.</w:t>
      </w: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(m) Debt Arrangements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As discussed in Note 8, Long-term Debt, to the Consolidated Financial Statements, the Company has issued convertible senior notes and senior secured notes, and entered into secured term loan agreements in recent years. The embedded conversion features in each of the convertible notes are indexed to the Company’s class A common stock and meet the criteria for classification in stockholders’ equity, and therefore derivative accounting does not apply. The Company records the aggregate principal amount of each of its debt instruments as a liability on its Consolidated Balance Sheets, offset by the issuance costs associated with each instrument. The issuance costs are amortized to interest expense using the effective interest method over the expected term of each debt instrument.</w:t>
      </w: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(n) Revenue Recognition</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 recognizes revenue using a five-step model:</w:t>
      </w:r>
    </w:p>
    <w:p>
      <w:pPr>
        <w:spacing w:after="0" w:line="117" w:lineRule="exact"/>
        <w:rPr>
          <w:sz w:val="20"/>
          <w:szCs w:val="20"/>
          <w:color w:val="auto"/>
        </w:rPr>
      </w:pPr>
    </w:p>
    <w:p>
      <w:pPr>
        <w:ind w:left="900" w:hanging="518"/>
        <w:spacing w:after="0"/>
        <w:tabs>
          <w:tab w:leader="none" w:pos="90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Identifying the contract(s) with a customer,</w:t>
      </w:r>
    </w:p>
    <w:p>
      <w:pPr>
        <w:spacing w:after="0" w:line="117" w:lineRule="exact"/>
        <w:rPr>
          <w:rFonts w:ascii="Times New Roman" w:cs="Times New Roman" w:eastAsia="Times New Roman" w:hAnsi="Times New Roman"/>
          <w:sz w:val="18"/>
          <w:szCs w:val="18"/>
          <w:color w:val="auto"/>
        </w:rPr>
      </w:pPr>
    </w:p>
    <w:p>
      <w:pPr>
        <w:ind w:left="900" w:hanging="518"/>
        <w:spacing w:after="0"/>
        <w:tabs>
          <w:tab w:leader="none" w:pos="90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Identifying the performance obligation(s),</w:t>
      </w:r>
    </w:p>
    <w:p>
      <w:pPr>
        <w:spacing w:after="0" w:line="117" w:lineRule="exact"/>
        <w:rPr>
          <w:rFonts w:ascii="Times New Roman" w:cs="Times New Roman" w:eastAsia="Times New Roman" w:hAnsi="Times New Roman"/>
          <w:sz w:val="18"/>
          <w:szCs w:val="18"/>
          <w:color w:val="auto"/>
        </w:rPr>
      </w:pPr>
    </w:p>
    <w:p>
      <w:pPr>
        <w:ind w:left="900" w:hanging="518"/>
        <w:spacing w:after="0"/>
        <w:tabs>
          <w:tab w:leader="none" w:pos="90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Determining the transaction price,</w:t>
      </w:r>
    </w:p>
    <w:p>
      <w:pPr>
        <w:spacing w:after="0" w:line="117" w:lineRule="exact"/>
        <w:rPr>
          <w:rFonts w:ascii="Times New Roman" w:cs="Times New Roman" w:eastAsia="Times New Roman" w:hAnsi="Times New Roman"/>
          <w:sz w:val="18"/>
          <w:szCs w:val="18"/>
          <w:color w:val="auto"/>
        </w:rPr>
      </w:pPr>
    </w:p>
    <w:p>
      <w:pPr>
        <w:ind w:left="900" w:hanging="518"/>
        <w:spacing w:after="0"/>
        <w:tabs>
          <w:tab w:leader="none" w:pos="90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Allocating the transaction price to the performance obligations in the contract, and</w:t>
      </w:r>
    </w:p>
    <w:p>
      <w:pPr>
        <w:spacing w:after="0" w:line="117" w:lineRule="exact"/>
        <w:rPr>
          <w:rFonts w:ascii="Times New Roman" w:cs="Times New Roman" w:eastAsia="Times New Roman" w:hAnsi="Times New Roman"/>
          <w:sz w:val="18"/>
          <w:szCs w:val="18"/>
          <w:color w:val="auto"/>
        </w:rPr>
      </w:pPr>
    </w:p>
    <w:p>
      <w:pPr>
        <w:ind w:left="900" w:hanging="518"/>
        <w:spacing w:after="0"/>
        <w:tabs>
          <w:tab w:leader="none" w:pos="90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Recognizing revenue when, or as, the Company satisfies a performance obligation.</w:t>
      </w:r>
    </w:p>
    <w:p>
      <w:pPr>
        <w:spacing w:after="0" w:line="22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has elected to exclude taxes assessed by government authorities in determining the transaction price, and therefore revenue is recognized net of taxes collected from customers. The Company enters into non-cancellable nonrefundable orders with customers and does not have a history of granting returns or refunds and therefore does not have a reserve for future returns.</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81" w:name="page82"/>
    <w:bookmarkEnd w:id="81"/>
    <w:p>
      <w:pPr>
        <w:spacing w:after="0"/>
        <w:rPr>
          <w:sz w:val="20"/>
          <w:szCs w:val="20"/>
          <w:color w:val="auto"/>
        </w:rPr>
      </w:pPr>
      <w:r>
        <w:rPr>
          <w:rFonts w:ascii="Times New Roman" w:cs="Times New Roman" w:eastAsia="Times New Roman" w:hAnsi="Times New Roman"/>
          <w:sz w:val="18"/>
          <w:szCs w:val="18"/>
          <w:i w:val="1"/>
          <w:iCs w:val="1"/>
          <w:u w:val="single" w:color="auto"/>
          <w:color w:val="auto"/>
        </w:rPr>
        <w:t>Performance Obligations and Timing of Revenue Recognition</w:t>
      </w:r>
    </w:p>
    <w:p>
      <w:pPr>
        <w:spacing w:after="0" w:line="11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Company primarily sells goods and services that fall into the categories discussed below. Each category contains one or more performance obligations that are either (i) capable of being distinct (i.e., the customer can benefit from the good or service on its own or together with readily available resources, including those purchased separately from the Company) and distinct within the context of the contract (i.e., separately identifiable from other promises in the contract) or (ii) a series of distinct goods or services that are substantially the same and have the same pattern of transfer to the customer. Aside from the Company’s term and perpetual product licenses, which are delivered at a point in time, the majority of the Company’s services are delivered over time.</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u w:val="single" w:color="auto"/>
          <w:color w:val="auto"/>
        </w:rPr>
        <w:t>Product Licenses</w:t>
      </w:r>
    </w:p>
    <w:p>
      <w:pPr>
        <w:spacing w:after="0" w:line="11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sells different types of business intelligence software, licensed on a term or perpetual basis and installed either on premises or on a public cloud that is procured and managed by the customer. Although product licenses are sold with product support, the software is fully functional at the outset of the arrangement and is considered a distinct performance obligation. Revenue from product license sales is recognized when control of the license is transferred to the customer, which is the later of delivery or commencement of the license term. The Company may also sell through resellers and OEMs who purchase the Company’s software for resale. In reseller arrangements, revenue is generally recognized when control of the license is transferred to the end user. In OEM arrangements, revenue is recognized when control of the license is transferred to the OEM.</w:t>
      </w:r>
    </w:p>
    <w:p>
      <w:pPr>
        <w:spacing w:after="0" w:line="1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u w:val="single" w:color="auto"/>
          <w:color w:val="auto"/>
        </w:rPr>
        <w:t>Subscription Services</w:t>
      </w:r>
    </w:p>
    <w:p>
      <w:pPr>
        <w:spacing w:after="0" w:line="117"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The Company also sells access to its software through fully managed cloud environments for commercial or government use, wherein customers access the software through a cloud environment that the Company manages on behalf of the customer. Control of the software itself does not transfer to the customer under this arrangement and is not considered a separate performance obligation. Cloud subscriptions are regularly sold on a standalone basis and include technical support, monitoring, backups, updates, and quarterly service reviews. Additionally, customers with existing on-premise software licenses may convert their installations to a cloud environment, at which time the on-premise licenses are typically terminated and replaced by a new subscription to the cloud service. At conversion, an analysis is performed for each contract to determine whether any revenue adjustments are necessary given that the contract modifications revoke previously transferred rights to perpetual on-premise software. Such revenue adjustments were not material for the years ended December 31, 2024, 2023, and 2022. Revenue related to cloud subscriptions is recognized on a straight-line basis over the contract period, which is the period over which the customer has continuous access to the software.</w:t>
      </w:r>
    </w:p>
    <w:p>
      <w:pPr>
        <w:spacing w:after="0" w:line="1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u w:val="single" w:color="auto"/>
          <w:color w:val="auto"/>
        </w:rPr>
        <w:t>Product Support</w:t>
      </w:r>
    </w:p>
    <w:p>
      <w:pPr>
        <w:spacing w:after="0" w:line="11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In all product license transactions, customers are required to purchase a standard product support package (either separately or as an included component of a term license transaction) that may subsequently be renewed at their option. Customers may also purchase a premium product support package for a fixed annual fee. All product support packages include both technical support and when-and-if-available software upgrades, which are treated as a single performance obligation as they are considered a series of distinct services that are substantially the same and have the same duration and measure of progress. Revenue from product support is recognized on a straight-line basis over the contract period, which is the period over which the customer has continuous access to product support.</w:t>
      </w:r>
    </w:p>
    <w:p>
      <w:pPr>
        <w:spacing w:after="0" w:line="1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u w:val="single" w:color="auto"/>
          <w:color w:val="auto"/>
        </w:rPr>
        <w:t>Consulting Services</w:t>
      </w:r>
    </w:p>
    <w:p>
      <w:pPr>
        <w:spacing w:after="0" w:line="117"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Company sells consulting services to help customers plan and execute deployment of the Company’s software. Customers are not required to use consulting services to fully benefit from the software. Consulting services are regularly sold on a standalone basis and either (i) prepaid upfront or (ii) sold on a time and materials basis. Consulting arrangements are each considered separate performance obligations because they do not integrate with each other or with other offerings to deliver a combined output to the customer, do not modify or customize (or are not modified or customized by) each other or other offerings, and do not affect the customer’s ability to use the other consulting services or the Company’s other offerings. Revenue under consulting arrangements is recognized over time as services are delivered. For time and materials-based consulting arrangements, the Company has elected the practical expedient of recognizing revenue upon invoicing since the invoiced amount corresponds directly to the value of the Company’s service to date.</w:t>
      </w:r>
    </w:p>
    <w:p>
      <w:pPr>
        <w:spacing w:after="0" w:line="18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u w:val="single" w:color="auto"/>
          <w:color w:val="auto"/>
        </w:rPr>
        <w:t>Education Services</w:t>
      </w:r>
    </w:p>
    <w:p>
      <w:pPr>
        <w:spacing w:after="0" w:line="117"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Company sells various education and training services to its customers. Education services are sold on a standalone basis under two different types of arrangements: (i) annual subscriptions to live and on-demand training courses and (ii) custom courses purchased on an hourly basis. Education arrangements are each considered separate performance obligations because they do not integrate with each other or with other offerings to deliver a combined output to the customer, do not modify or customize (or are not modified or customized by) each other or other offerings, and do not affect the customer’s ability to use the other education services or the Company’s other offerings. Revenue on annual subscriptions is recognized on a straight-line basis over the contract period, which is the period over which the customer has continuous access to the training courses. Revenue on custom courses is recognized on a time and materials basis as the services are delivered.</w:t>
      </w:r>
    </w:p>
    <w:p>
      <w:pPr>
        <w:spacing w:after="0" w:line="18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26" w:right="339" w:bottom="1440" w:gutter="0" w:footer="0" w:header="0"/>
        </w:sectPr>
      </w:pPr>
    </w:p>
    <w:bookmarkStart w:id="82" w:name="page83"/>
    <w:bookmarkEnd w:id="82"/>
    <w:p>
      <w:pPr>
        <w:spacing w:after="0"/>
        <w:rPr>
          <w:sz w:val="20"/>
          <w:szCs w:val="20"/>
          <w:color w:val="auto"/>
        </w:rPr>
      </w:pPr>
      <w:r>
        <w:rPr>
          <w:rFonts w:ascii="Times New Roman" w:cs="Times New Roman" w:eastAsia="Times New Roman" w:hAnsi="Times New Roman"/>
          <w:sz w:val="18"/>
          <w:szCs w:val="18"/>
          <w:color w:val="auto"/>
        </w:rPr>
        <w:t>See Note 16, Segment Information, to the Consolidated Financial Statements for information regarding total revenues by geographic region.</w:t>
      </w:r>
    </w:p>
    <w:p>
      <w:pPr>
        <w:spacing w:after="0" w:line="22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u w:val="single" w:color="auto"/>
          <w:color w:val="auto"/>
        </w:rPr>
        <w:t>Estimates and Judgments</w:t>
      </w:r>
    </w:p>
    <w:p>
      <w:pPr>
        <w:spacing w:after="0" w:line="11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makes estimates and judgments to allocate the transaction price based on an observable or estimated SSP. The Company also makes estimates and judgments with respect to capitalizing incremental costs to obtain a customer contract and determining the subsequent amortization period. These estimates and judgments are discussed further below.</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u w:val="single" w:color="auto"/>
          <w:color w:val="auto"/>
        </w:rPr>
        <w:t>Determining the Transaction Price</w:t>
      </w:r>
    </w:p>
    <w:p>
      <w:pPr>
        <w:spacing w:after="0" w:line="117"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transaction price includes both fixed and variable consideration. Variable consideration is included in the transaction price to the extent it is probable that a significant reversal will not occur. The amount of variable consideration excluded from the transaction price was not material for the years ended December 31, 2024, 2023, and 2022. The Company’s estimates of variable consideration are also subject to subsequent true-up adjustments and may result in changes to its transaction prices. Such true-up adjustments have not been and are not expected to be material. The Company has the following sources of variable consideration:</w:t>
      </w:r>
    </w:p>
    <w:p>
      <w:pPr>
        <w:spacing w:after="0" w:line="75" w:lineRule="exact"/>
        <w:rPr>
          <w:sz w:val="20"/>
          <w:szCs w:val="20"/>
          <w:color w:val="auto"/>
        </w:rPr>
      </w:pPr>
    </w:p>
    <w:p>
      <w:pPr>
        <w:jc w:val="both"/>
        <w:ind w:left="900" w:hanging="518"/>
        <w:spacing w:after="0" w:line="256" w:lineRule="auto"/>
        <w:tabs>
          <w:tab w:leader="none" w:pos="900"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Performance penalties – Subscription services and product support arrangements generally contain performance response time guarantees. For subscription services arrangements, the Company estimates variable consideration using a portfolio approach because performance penalties are tied to standard up-time requirements. For product support arrangements, the Company estimates variable consideration on a contract basis because such arrangements are customer-specific. For both subscription services and product support arrangements, the Company uses an expected value approach to estimate variable consideration based on historical business practices and current and future performance expectations to determine the likelihood of incurring penalties.</w:t>
      </w:r>
    </w:p>
    <w:p>
      <w:pPr>
        <w:spacing w:after="0" w:line="79" w:lineRule="exact"/>
        <w:rPr>
          <w:rFonts w:ascii="Times New Roman" w:cs="Times New Roman" w:eastAsia="Times New Roman" w:hAnsi="Times New Roman"/>
          <w:sz w:val="18"/>
          <w:szCs w:val="18"/>
          <w:color w:val="auto"/>
        </w:rPr>
      </w:pPr>
    </w:p>
    <w:p>
      <w:pPr>
        <w:jc w:val="both"/>
        <w:ind w:left="900" w:hanging="518"/>
        <w:spacing w:after="0" w:line="258" w:lineRule="auto"/>
        <w:tabs>
          <w:tab w:leader="none" w:pos="900"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Extended payment terms – The Company’s standard payment terms are generally within 180 days of invoicing. If extended payment terms are granted to customers, those terms generally do not exceed one year. For contracts with extended payment terms, the Company estimates variable consideration on a contract basis because such estimates are customer-specific and uses an expected value approach to analyze historical business experience on a customer-by-customer basis to determine the likelihood that extended payment terms lead to an implied price concession.</w:t>
      </w:r>
    </w:p>
    <w:p>
      <w:pPr>
        <w:spacing w:after="0" w:line="75" w:lineRule="exact"/>
        <w:rPr>
          <w:rFonts w:ascii="Times New Roman" w:cs="Times New Roman" w:eastAsia="Times New Roman" w:hAnsi="Times New Roman"/>
          <w:sz w:val="18"/>
          <w:szCs w:val="18"/>
          <w:color w:val="auto"/>
        </w:rPr>
      </w:pPr>
    </w:p>
    <w:p>
      <w:pPr>
        <w:jc w:val="both"/>
        <w:ind w:left="900" w:hanging="518"/>
        <w:spacing w:after="0" w:line="261" w:lineRule="auto"/>
        <w:tabs>
          <w:tab w:leader="none" w:pos="900"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Sales and usage-based royalties – Certain product license arrangements include sales or usage-based royalties, covering both product license and product support. In these arrangements, the Company uses an expected value approach to estimate and recognize revenue for royalty sales each period, utilizing historical data on a contract-by-contract basis. True-up adjustments are recorded in subsequent periods when royalty reporting is received from the OEMs and during the years ended December 31, 2024, 2023, and 2022 were not material.</w:t>
      </w:r>
    </w:p>
    <w:p>
      <w:pPr>
        <w:spacing w:after="0" w:line="180"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provides a standard software assurance warranty to repair, replace, or refund software that does not perform in accordance with documentation. The standard software assurance warranty period is generally less than one year. Assurance warranty claims were not material for the years ended December 31, 2024, 2023, and 2022.</w:t>
      </w:r>
    </w:p>
    <w:p>
      <w:pPr>
        <w:spacing w:after="0" w:line="68"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does not adjust the transaction price for significant financing components where the time period between cash payment and performance is one year or less. However, there are circumstances where the timing between cash payment and performance may exceed one year. These circumstances generally involve prepaid multi-year license, product support and subscription services arrangements where the customer determines when the service is utilized. In these circumstances, the Company has determined no significant financing component exists because the customer controls when to utilize the service and because there are significant business purposes behind the timing difference between payment and performance (e.g., ensuring collectability in the case of subscription services).</w:t>
      </w:r>
    </w:p>
    <w:p>
      <w:pPr>
        <w:spacing w:after="0" w:line="1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u w:val="single" w:color="auto"/>
          <w:color w:val="auto"/>
        </w:rPr>
        <w:t>Allocating the Transaction Price Based on Standalone Selling Prices (SSP)</w:t>
      </w:r>
    </w:p>
    <w:p>
      <w:pPr>
        <w:spacing w:after="0" w:line="11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allocates the transaction price to each performance obligation in a contract based on its relative SSP. The SSP is the price, or estimated price, of the software or service when sold on a standalone basis at contract inception. In circumstances where SSP is not directly observable, the Company estimates SSP using the following methodologies:</w:t>
      </w:r>
    </w:p>
    <w:p>
      <w:pPr>
        <w:spacing w:after="0" w:line="68" w:lineRule="exact"/>
        <w:rPr>
          <w:sz w:val="20"/>
          <w:szCs w:val="20"/>
          <w:color w:val="auto"/>
        </w:rPr>
      </w:pPr>
    </w:p>
    <w:p>
      <w:pPr>
        <w:jc w:val="both"/>
        <w:ind w:left="900" w:hanging="518"/>
        <w:spacing w:after="0" w:line="258" w:lineRule="auto"/>
        <w:tabs>
          <w:tab w:leader="none" w:pos="90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Product licenses – Product licenses are not sold on a standalone basis and pricing is highly variable. The Company establishes SSP of product licenses using a residual approach after first establishing the SSP of standard product support. Standard product support is sold on a standalone basis within a narrow range of the stated net license fee, and because an economic relationship exists between product licenses and standard product support, the Company has concluded that the residual method to estimate SSP of product licenses sold on both a perpetual and term basis is a fair allocation of the transaction price.</w:t>
      </w:r>
    </w:p>
    <w:p>
      <w:pPr>
        <w:spacing w:after="0" w:line="75" w:lineRule="exact"/>
        <w:rPr>
          <w:rFonts w:ascii="Times New Roman" w:cs="Times New Roman" w:eastAsia="Times New Roman" w:hAnsi="Times New Roman"/>
          <w:sz w:val="18"/>
          <w:szCs w:val="18"/>
          <w:color w:val="auto"/>
        </w:rPr>
      </w:pPr>
    </w:p>
    <w:p>
      <w:pPr>
        <w:ind w:left="900" w:hanging="518"/>
        <w:spacing w:after="0" w:line="282" w:lineRule="auto"/>
        <w:tabs>
          <w:tab w:leader="none" w:pos="90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Subscription services – Given the highly variable selling price of subscription services, the Company establishes the SSP of its subscription services arrangements using a similar residual approach after first establishing the SSP of consulting and</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28" w:right="339" w:bottom="1440" w:gutter="0" w:footer="0" w:header="0"/>
        </w:sectPr>
      </w:pPr>
    </w:p>
    <w:bookmarkStart w:id="83" w:name="page84"/>
    <w:bookmarkEnd w:id="83"/>
    <w:p>
      <w:pPr>
        <w:ind w:left="900" w:right="20"/>
        <w:spacing w:after="0" w:line="282" w:lineRule="auto"/>
        <w:rPr>
          <w:sz w:val="20"/>
          <w:szCs w:val="20"/>
          <w:color w:val="auto"/>
        </w:rPr>
      </w:pPr>
      <w:r>
        <w:rPr>
          <w:rFonts w:ascii="Times New Roman" w:cs="Times New Roman" w:eastAsia="Times New Roman" w:hAnsi="Times New Roman"/>
          <w:sz w:val="18"/>
          <w:szCs w:val="18"/>
          <w:color w:val="auto"/>
        </w:rPr>
        <w:t>education services to the extent they are included in the arrangement. The Company has concluded that the residual method to estimate SSP of its subscription services is a fair allocation of the transaction price.</w:t>
      </w:r>
    </w:p>
    <w:p>
      <w:pPr>
        <w:spacing w:after="0" w:line="54" w:lineRule="exact"/>
        <w:rPr>
          <w:sz w:val="20"/>
          <w:szCs w:val="20"/>
          <w:color w:val="auto"/>
        </w:rPr>
      </w:pPr>
    </w:p>
    <w:p>
      <w:pPr>
        <w:jc w:val="both"/>
        <w:ind w:left="900" w:hanging="518"/>
        <w:spacing w:after="0" w:line="254" w:lineRule="auto"/>
        <w:tabs>
          <w:tab w:leader="none" w:pos="900"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Standard product support – The Company establishes SSP of standard product support as a percentage of the stated net license fee, given such pricing is consistent with its normal pricing practices and there exists sufficient history of customers renewing standard product support on a standalone basis at similar percentages. Semi-annually, the Company tracks renewal rates negotiated when standard product support is initially sold with a perpetual license in order to determine the SSP of standard product support within each geographic region for the upcoming quarter. If the stated standard product support fee falls within the SSP range, the specific rate in the contract will be used to determine SSP. If the stated fee is above or below SSP, the highest or lowest end of the range, respectively, will generally be used to determine SSP of standard product support for perpetual licenses. For term licenses, the Company determines SSP of standard product support at the lower end of the SSP range used for perpetual licenses because the term licenses are time bound, resulting in a lower value placed on product support as compared to a perpetual license.</w:t>
      </w:r>
    </w:p>
    <w:p>
      <w:pPr>
        <w:spacing w:after="0" w:line="80" w:lineRule="exact"/>
        <w:rPr>
          <w:rFonts w:ascii="Times New Roman" w:cs="Times New Roman" w:eastAsia="Times New Roman" w:hAnsi="Times New Roman"/>
          <w:sz w:val="18"/>
          <w:szCs w:val="18"/>
          <w:color w:val="auto"/>
        </w:rPr>
      </w:pPr>
    </w:p>
    <w:p>
      <w:pPr>
        <w:jc w:val="both"/>
        <w:ind w:left="900" w:hanging="518"/>
        <w:spacing w:after="0" w:line="266" w:lineRule="auto"/>
        <w:tabs>
          <w:tab w:leader="none" w:pos="900"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Premium product support, consulting services, and education services –SSP of premium product support, consulting services, and education services is established by using a bell-shaped curve approach to define a narrow range within each geographic region in which the services are discounted off of the list price on a standalone basis.</w:t>
      </w:r>
    </w:p>
    <w:p>
      <w:pPr>
        <w:spacing w:after="0" w:line="176"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often provides options to purchase future offerings at a discount. The Company analyzes the option price against the previously established SSP of the goods or services to determine if the options represent material rights that should be accounted for as separate performance obligations. In general, an option sold at or above SSP is not considered a material right because the customer could have received that right without entering into the contract. If a material right exists, revenue associated with the option is deferred and recognized when the future goods or services are transferred, or when the option expires. During the years ended December 31, 2024, 2023, and 2022, separate performance obligations arising from future purchase options have not been material.</w:t>
      </w: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 Incremental Costs to Obtain Customer Contracts</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The Company capitalizes costs incurred to obtain a contract with a customer when they are deemed incremental to obtaining the contract and expected to be recoverable. Capitalizable costs are generally limited to sales incentives paid to the Company’s sales team. The Company capitalizes the amounts related to new product support, cloud subscription, and term license contracts. Costs capitalized are amortized over a period of time that is consistent with the pattern of transfer to the customer, which the Company has determined is generally three years and includes consideration for contract length, anticipated renewals, product life cycle, and customer behavior. The Company amortizes the cost over this period on a straight-line basis for product support and subscription service components, and at point(s) in time coinciding with delivery of the license component of term license contracts. The Company has elected the practical expedient to expense capitalizable costs as incurred where the amortization period would be one year or less, which includes those amounts earned on perpetual license, consulting, and education contracts, and renewals of product support, cloud subscription, and term license contracts, if applicable.</w:t>
      </w:r>
    </w:p>
    <w:p>
      <w:pPr>
        <w:spacing w:after="0" w:line="8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of December 31, 2024 and 2023, capitalized costs to obtain customer contracts, net of accumulated amortization, were $48.3 million and $15.7 million, respectively, and are presented within “Deposits and other assets” in the Consolidated Balance Sheets. During the years ended December 31, 2024, 2023, and 2022, amortization expenses related to these capitalized costs were $12.3 million, $8.1 million, and $4.5 million, respectively, and are reflected within “Sales and marketing” in the Consolidated Statements of Operations.</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(p) Share-based Compensation</w:t>
      </w:r>
    </w:p>
    <w:p>
      <w:pPr>
        <w:spacing w:after="0" w:line="12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The Company maintains the 2013 Stock Incentive Plan (as amended, the “2013 Equity Plan”), and the 2023 Equity Incentive Plan (the “2023 Equity Plan,” and, together with the 2013 Equity Plan, the “Stock Incentive Plans”). As of May 2023, no new awards will be granted under the 2013 Equity Plan, though awards previously granted under the 2013 Equity Plan remain outstanding in accordance with their terms. Under the Stock Incentive Plans, the Company’s employees, officers, directors, and other eligible participants may be (with respect to the 2023 Equity Plan) and have been (with respect to both the 2023 Equity Plan and the 2013 Equity Plan) awarded various types of share-based compensation, including options to purchase shares of the Company’s class A common stock, restricted stock units, and other stock-based awards. Additionally, under the 2023 Equity Plan, awards may be and have been granted that are subject to the achievement of one or more performance measures established by the Company’s Board of Directors or a duly authorized committee thereof. During 2021, the Company adopted and the Company’s stockholders approved the 2021 Employee Stock Purchase Plan (the “2021 ESPP”), under which eligible employees of the Company and certain of its subsidiaries may be provided with opportunities to purchase shares of the Company’s class A common stock.</w:t>
      </w:r>
    </w:p>
    <w:p>
      <w:pPr>
        <w:spacing w:after="0" w:line="86"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For options and other stock-based awards, the share-based compensation expense is based on the fair value of the awards on the date of grant, as estimated using the Black-Scholes valuation model. For restricted stock units, the share-based compensation expense is based on the fair value of the Company’s class A common stock on the date of grant. The fair value of liability-classified awards (e.g., the other stock-based awards and cash-settled restricted stock units) is remeasured at each reporting date. For performance stock units</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9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84" w:name="page85"/>
    <w:bookmarkEnd w:id="84"/>
    <w:p>
      <w:pPr>
        <w:jc w:val="both"/>
        <w:spacing w:after="0" w:line="266" w:lineRule="auto"/>
        <w:rPr>
          <w:sz w:val="20"/>
          <w:szCs w:val="20"/>
          <w:color w:val="auto"/>
        </w:rPr>
      </w:pPr>
      <w:r>
        <w:rPr>
          <w:rFonts w:ascii="Times New Roman" w:cs="Times New Roman" w:eastAsia="Times New Roman" w:hAnsi="Times New Roman"/>
          <w:sz w:val="18"/>
          <w:szCs w:val="18"/>
          <w:color w:val="auto"/>
        </w:rPr>
        <w:t>subject to a market condition, the Company uses a Monte Carlo simulation model to determine the grant date fair value. For the 2021 ESPP, the share-based compensation expense is based on the grant date fair value, which consists of the intrinsic value of any purchase discount and the fair value of the look-back provision using the Black-Scholes valuation model.</w:t>
      </w:r>
    </w:p>
    <w:p>
      <w:pPr>
        <w:spacing w:after="0" w:line="68"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recognizes share-based compensation expense for service-conditioned awards granted under the Stock Incentive Plans and the 2021 ESPP on a straight-line basis over the requisite service period (generally, the vesting period for service-conditioned awards under the Stock Incentive Plans and the offering period under the 2021 ESPP). The Company recognizes share-based compensation expense for market-conditioned performance stock units granted under the 2023 Equity Plan ratably over the performance period using an accelerated attribution cost recognition method. Share-based compensation expense is recorded in cost of revenues or operating expense line items in the Statement of Operations corresponding to the respective participant’s role or function.</w:t>
      </w:r>
    </w:p>
    <w:p>
      <w:pPr>
        <w:spacing w:after="0" w:line="7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See Note 11, Share-based Compensation, to the Consolidated Financial Statements for further information regarding the Stock Incentive Plans, the 2021 ESPP, related share-based compensation expense, and assumptions used in determining fair value.</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(q) Income Taxes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is subject to federal, state, and local income taxes in the United States and a number of foreign countries. The Company accounts for income taxes under the asset and liability method, which requires the recognition of deferred tax assets and deferred tax liabilities for the expected future tax consequences of events that have been included in the financial statements. Under this method, the Company determines deferred tax assets and deferred tax liabilities on the basis of differences between the financial statement and tax bases of assets and liabilities by using enacted tax rates in effect for the year in which differences are expected to reverse. The effect of a change in the tax rates on deferred tax assets and deferred tax liabilities is recognized in income in the period that includes the enactment date.</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For uncertain income tax positions, the Company uses a more-likely-than-not recognition threshold based on the technical merits of the income tax position taken. Income tax positions that meet the more-likely-than-not recognition threshold are measured in order to determine the tax benefit recognized in the financial statements. The Company recognizes accrued interest related to unrecognized tax benefits as part of income tax expense. Penalties, if incurred, are recognized as a component of income tax expense.</w:t>
      </w:r>
    </w:p>
    <w:p>
      <w:pPr>
        <w:spacing w:after="0" w:line="1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 provides a valuation allowance to reduce deferred tax assets to the amount more-likely-than-not to be realized.</w:t>
      </w:r>
    </w:p>
    <w:p>
      <w:pPr>
        <w:spacing w:after="0" w:line="3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(r) Basic and Diluted Earnings (Loss) Per Share</w:t>
      </w:r>
    </w:p>
    <w:p>
      <w:pPr>
        <w:spacing w:after="0" w:line="12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Basic earnings (loss) per share is determined by dividing the net income (loss) attributable to common stockholders by the weighted average number of shares of common stock, including shares of class A common stock and class B common stock, outstanding during the period. Diluted earnings (loss) per share is determined by dividing the net income (loss) attributable to common stockholders by the weighted average number of shares of common stock and potential shares of common stock outstanding during the period. The impact from potential shares of common stock on the diluted earnings per share calculation are included when dilutive. Potential shares of common stock consisting of class A common stock issuable upon the exercise of outstanding employee stock options, the vesting of restricted stock units and performance stock units considered probable of achievement, and in connection with the 2021 ESPP, are computed using the treasury stock method. Potential shares of class A common stock issuable upon conversion of the Company’s convertible senior notes are computed using the if-converted method. In computing diluted earnings per share, the Company first calculates the earnings per incremental share (“EPIS”) for each class of potential shares of common stock and ranks the classes from the most dilutive (i.e., lowest EPIS) to the least dilutive (i.e., highest EPIS). Basic earnings per share is then adjusted for the effect of each class of shares, in sequence and cumulatively, until a particular class no longer produces further dilution.</w:t>
      </w:r>
    </w:p>
    <w:p>
      <w:pPr>
        <w:spacing w:after="0" w:line="84"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has two classes of common stock: class A common stock and class B common stock. Holders of class A common stock generally have the same rights, including rights to dividends, as holders of class B common stock, except that holders of class A common stock have one vote per share while holders of class B common stock have ten votes per share. Each share of class B common stock is convertible at any time, at the option of the holder, into one share of class A common stock. As such, basic and fully diluted earnings per share for class A common stock and for class B common stock are the same. The Company has never declared or paid any cash dividends on either class A or class B common stock. As of December 31, 2024 and 2023, there were no shares of preferred stock issued or outstanding.</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the first quarter of 2025, the Company issued shares of its series A perpetual strike preferred stock. See Note 18, Subsequent Events, to the Consolidated Financial Statements for further information. As a result of the preferred stock issuance, potential shares of class A common stock issuable upon conversion of the series A perpetual strike preferred stock computed using the if-converted method would also be included in computing diluted earnings per share when dilutive.</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85" w:name="page86"/>
    <w:bookmarkEnd w:id="85"/>
    <w:p>
      <w:pPr>
        <w:spacing w:after="0"/>
        <w:rPr>
          <w:sz w:val="20"/>
          <w:szCs w:val="20"/>
          <w:color w:val="auto"/>
        </w:rPr>
      </w:pPr>
      <w:r>
        <w:rPr>
          <w:rFonts w:ascii="Times New Roman" w:cs="Times New Roman" w:eastAsia="Times New Roman" w:hAnsi="Times New Roman"/>
          <w:sz w:val="18"/>
          <w:szCs w:val="18"/>
          <w:b w:val="1"/>
          <w:bCs w:val="1"/>
          <w:i w:val="1"/>
          <w:iCs w:val="1"/>
          <w:color w:val="auto"/>
        </w:rPr>
        <w:t>(s) Foreign Currency Translation</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functional currency of the Company’s international operations is generally the local currency. Accordingly, such assets and liabilities of international subsidiaries are translated using exchange rates in effect at the end of the period, and revenue and expenses are translated using average monthly exchange rates for the period in which the transactions occur. The related translation adjustments are reported in “Accumulated other comprehensive loss” in stockholders’ equity (deficit). In general, upon complete or substantially complete liquidation of an investment in an international subsidiary, the amount of accumulated translation adjustments attributable to that subsidiary is reclassified from stockholders’ equity (deficit) to the statement of operations. Transaction gains and losses arising from transactions denominated in a currency other than the functional currency of the entity involved are included in the results of operations.</w:t>
      </w:r>
    </w:p>
    <w:p>
      <w:pPr>
        <w:spacing w:after="0" w:line="8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As of December 31, 2024, 2023, and 2022, the cumulative foreign currency translation balances were $(15.4) million, $(11.4) million, and $(13.8) million, respectively. No taxes were recognized on the temporary differences resulting from foreign currency translation adjustments for the years ended December 31, 2024, 2023, and 2022.</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Transaction gains and losses arising from transactions denominated in foreign currencies resulted in a net gain of $2.9 million in 2024, net loss of $5.6 million in 2023, and net gain of $6.2 million in 2022, respectively, and are included in “Other (expense) income, net” in the Consolidated Statements of Operations.</w:t>
      </w:r>
    </w:p>
    <w:p>
      <w:pPr>
        <w:spacing w:after="0" w:line="3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(3) Recent Accounting Standards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Crypto Assets</w:t>
      </w:r>
    </w:p>
    <w:p>
      <w:pPr>
        <w:spacing w:after="0" w:line="11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 xml:space="preserve">In December 2023, the Financial Accounting Standards Board (“FASB”) issued Accounting Standards Update No. 2023-08, </w:t>
      </w:r>
      <w:r>
        <w:rPr>
          <w:rFonts w:ascii="Times New Roman" w:cs="Times New Roman" w:eastAsia="Times New Roman" w:hAnsi="Times New Roman"/>
          <w:sz w:val="18"/>
          <w:szCs w:val="18"/>
          <w:i w:val="1"/>
          <w:iCs w:val="1"/>
          <w:color w:val="auto"/>
        </w:rPr>
        <w:t>Intangibles—Goodwill and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 xml:space="preserve">Other—Crypto Assets (Subtopic 350-60): Accounting for and Disclosure of Crypto Assets </w:t>
      </w:r>
      <w:r>
        <w:rPr>
          <w:rFonts w:ascii="Times New Roman" w:cs="Times New Roman" w:eastAsia="Times New Roman" w:hAnsi="Times New Roman"/>
          <w:sz w:val="18"/>
          <w:szCs w:val="18"/>
          <w:color w:val="auto"/>
        </w:rPr>
        <w:t>(“ASU 2023-08”). ASU 2023-08 requires in-scope crypto assets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(including the Company's bitcoin holdings) to be measured at fair value in the statement of financial position, with gains and losses from changes in the fair value of such crypto assets recognized in net income each reporting period. ASU 2023-08 also requires certain interim and annual disclosures for crypto assets within the scope of the standard. The Company will adopt this guidance effective January 1, 2025 on a prospective basis, with a cumulative-effect adjustment to the opening balance of retained earnings. Prior periods will not be restated. The Company is in the process of implementing changes to internal controls over financial reporting to allow the Company to timely compile the information needed to account for crypto assets under this new guidance.</w:t>
      </w:r>
    </w:p>
    <w:p>
      <w:pPr>
        <w:spacing w:after="0" w:line="7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The Company expects the adoption of ASU 2023-08 will have a material impact on its consolidated balance sheets, statements of operations, statements of cash flows and disclosures. Although the Company will continue to initially record its bitcoin purchases at cost, upon adopting ASU 2023-08, any subsequent increases or decreases in fair value will be recognized as incurred in the Company's Consolidated Statements of Operations, and the fair value of the Company’s bitcoin will be reflected within the Company's Consolidated Balance Sheets each reporting period-end. Upon adopting ASU 2023-08, the Company will no longer account for its bitcoin under a cost-less-impairment accounting model and will no longer establish a deferred tax asset related to bitcoin impairment losses. Instead, the Company will establish a deferred tax liability if the market value of bitcoin at the reporting date is greater than the average cost basis of the Company’s bitcoin holdings at such reporting date, and any subsequent increases or decreases in the market value of bitcoin will increase or decrease the deferred tax liability.</w:t>
      </w:r>
    </w:p>
    <w:p>
      <w:pPr>
        <w:spacing w:after="0" w:line="19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estimates the adoption of ASU 2023-08 will increase its 2025 beginning retained earnings balance by approximately $12.745 billion, which reflects a $17.880 billion increase in digital assets, partially offset by a $3.969 billion increase in deferred tax liabilities, and a $1.166 billion decrease in deferred tax assets. Additionally, the Company will provide quantitative and qualitative disclosures to meet the new requirements under ASU 2023-08, including a roll-forward of its bitcoin holdings during the reporting period and period-end cost basis, fair value, number of units held, and restrictions.</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The U.S. enacted the Inflation Reduction Act of 2022 (“IRA”) in August 2022. Among other things, unless an exemption by statute or regulation applies, a provision of the IRA imposes a 15% corporate alternative minimum tax (“CAMT”) on a corporation with respect to an initial tax year and subsequent tax years, if the average annual adjusted financial statement income for any consecutive three-tax-year period preceding the initial tax year exceeds $1 billion. On September 12, 2024, the Department of Treasury and the Internal Revenue Service issued proposed regulations with respect to the application of the CAMT. For purposes of calculating the adjusted financial statement income, the Company will be required to ratably allocate from 2025 through 2028 the increase to the Company’s retained earnings. When determining whether the Company is subject to CAMT and when calculating any related tax liability for an applicable tax year, the proposed regulations provide that, among other adjustments, the Company’s adjusted financial statement income must include this ratable amount in addition to any unrealized gains or losses reported in the applicable tax year. Accordingly, as a result of the enactment of the IRA and the Company’s adoption of ASU 2023-08 on January 1, 2025, unless the IRA is amended or the proposed regulations, when finalized, are revised to provide relief (or other interim relief is granted), the Company could become subject to CAMT in the tax years 2026 and beyond. If the Company becomes subject to the CAMT, it could result in a material tax obligation</w:t>
      </w:r>
    </w:p>
    <w:p>
      <w:pPr>
        <w:spacing w:after="0" w:line="19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9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332" w:right="339" w:bottom="1440" w:gutter="0" w:footer="0" w:header="0"/>
        </w:sectPr>
      </w:pPr>
    </w:p>
    <w:bookmarkStart w:id="86" w:name="page87"/>
    <w:bookmarkEnd w:id="86"/>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that the Company would need to satisfy in cash, which could materially affect its financial results, including its earnings and cash flow, and its financial condition.</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Income Taxes</w:t>
      </w:r>
    </w:p>
    <w:p>
      <w:pPr>
        <w:spacing w:after="0" w:line="11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 xml:space="preserve">In December 2023, the FASB issued Accounting Standards Update No. 2023-09, </w:t>
      </w:r>
      <w:r>
        <w:rPr>
          <w:rFonts w:ascii="Times New Roman" w:cs="Times New Roman" w:eastAsia="Times New Roman" w:hAnsi="Times New Roman"/>
          <w:sz w:val="18"/>
          <w:szCs w:val="18"/>
          <w:i w:val="1"/>
          <w:iCs w:val="1"/>
          <w:color w:val="auto"/>
        </w:rPr>
        <w:t>Income Taxes (Topic 740): Improvements to Income Tax Disclosures</w:t>
      </w:r>
      <w:r>
        <w:rPr>
          <w:rFonts w:ascii="Times New Roman" w:cs="Times New Roman" w:eastAsia="Times New Roman" w:hAnsi="Times New Roman"/>
          <w:sz w:val="18"/>
          <w:szCs w:val="18"/>
          <w:color w:val="auto"/>
        </w:rPr>
        <w:t xml:space="preserve"> (“ASU 2023-09”). ASU 2023-09 requires enhanced disclosures surrounding income taxes, particularly related to rate reconciliation and income taxes paid information. In particular, on an annual basis, companies will be required to disclose specific categories in the rate reconciliation and provide additional information for reconciling items that meet a quantitative threshold. Companies will also be required to disclose, on an annual basis, the amount of income taxes paid, disaggregated by federal, state, and foreign taxes, and also disaggregated by individual jurisdictions above a quantitative threshold. The standard is effective for the Company for annual periods beginning January 1, 2025 on a prospective basis, with retrospective application permitted for all prior periods presented. The Company will adopt ASU 2023-09 for the annual period ending December 31, 2025 and is currently evaluating the impact of this guidance on its disclosures.</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Segment Reporting</w:t>
      </w:r>
    </w:p>
    <w:p>
      <w:pPr>
        <w:spacing w:after="0" w:line="11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 xml:space="preserve">In November 2023, the FASB issued Accounting Standards Update No. 2023-07, </w:t>
      </w:r>
      <w:r>
        <w:rPr>
          <w:rFonts w:ascii="Times New Roman" w:cs="Times New Roman" w:eastAsia="Times New Roman" w:hAnsi="Times New Roman"/>
          <w:sz w:val="18"/>
          <w:szCs w:val="18"/>
          <w:i w:val="1"/>
          <w:iCs w:val="1"/>
          <w:color w:val="auto"/>
        </w:rPr>
        <w:t>Segment Reporting (Topic 280): Improvements to Reportable Segment</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 xml:space="preserve">Disclosures </w:t>
      </w:r>
      <w:r>
        <w:rPr>
          <w:rFonts w:ascii="Times New Roman" w:cs="Times New Roman" w:eastAsia="Times New Roman" w:hAnsi="Times New Roman"/>
          <w:sz w:val="18"/>
          <w:szCs w:val="18"/>
          <w:color w:val="auto"/>
        </w:rPr>
        <w:t>(“ASU 2023-07”). ASU 2023-07 requires enhanced disclosures surrounding reportable segments, particularly (i) significant segment expenses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that are regularly provided to the chief operating decision maker ("CODM") and included in the reported measure(s) of a segment's profit and loss and (ii) other segment items that reconcile segment revenue and significant expenses to the reported measure(s) of a segment's profit and loss, both on an annual and interim basis. Companies are also required to provide all annual disclosures currently required under Topic 280 in interim periods, in addition to disclosing the title and position of the CODM and how the CODM uses the reported measure(s) of segment profit and loss in assessing segment performance and allocating resources. The Company has adopted ASU 2023-07 for the year-ended December 31, 2024 and included all required annual disclosures in Note 16, Segment Information, to the Consolidated Financial Statements, including retroactive application to all prior periods presented. The Company will adopt ASU 2023-07 for interim periods beginning January 1, 2025.</w:t>
      </w:r>
    </w:p>
    <w:p>
      <w:pPr>
        <w:spacing w:after="0" w:line="29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Disaggregation of Income Statement Expenses</w:t>
      </w:r>
    </w:p>
    <w:p>
      <w:pPr>
        <w:spacing w:after="0" w:line="22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 xml:space="preserve">In November 2024, the FASB issued Accounting Standards Update No. 2024-03, </w:t>
      </w:r>
      <w:r>
        <w:rPr>
          <w:rFonts w:ascii="Times New Roman" w:cs="Times New Roman" w:eastAsia="Times New Roman" w:hAnsi="Times New Roman"/>
          <w:sz w:val="18"/>
          <w:szCs w:val="18"/>
          <w:i w:val="1"/>
          <w:iCs w:val="1"/>
          <w:color w:val="auto"/>
        </w:rPr>
        <w:t>Income Statement - Reporting Comprehensive Income - Expense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 xml:space="preserve">Disaggregation Disclosures (Subtopic 220-40) </w:t>
      </w:r>
      <w:r>
        <w:rPr>
          <w:rFonts w:ascii="Times New Roman" w:cs="Times New Roman" w:eastAsia="Times New Roman" w:hAnsi="Times New Roman"/>
          <w:sz w:val="18"/>
          <w:szCs w:val="18"/>
          <w:color w:val="auto"/>
        </w:rPr>
        <w:t>(“ASU 2024-03”). ASU 2024-03 requires specified information about certain costs and expenses be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disclosed in the notes to the financial statements, including the expense caption on the face of the income statement in which they are disclosed, in addition to a qualitative description of remaining amounts not separately disaggregated. Entities will also be required to disclose their definition of “selling expenses” and the total amount in each annual period. The standard is effective for the Company for annual periods beginning January 1, 2027 and for interim periods beginning January 1, 2028, with updates applied either prospectively or retrospectively. Early adoption is permitted. The Company is currently evaluating the impact of this guidance on its disclosures.</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(4) Digital Assets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summarizes the Company’s digital asset holdings (in thousands, except number of bitcoins), as of:</w:t>
      </w:r>
    </w:p>
    <w:p>
      <w:pPr>
        <w:spacing w:after="0" w:line="219" w:lineRule="exact"/>
        <w:rPr>
          <w:sz w:val="20"/>
          <w:szCs w:val="20"/>
          <w:color w:val="auto"/>
        </w:rPr>
      </w:pPr>
    </w:p>
    <w:tbl>
      <w:tblPr>
        <w:tblLayout w:type="fixed"/>
        <w:tblInd w:w="1700" w:type="dxa"/>
        <w:tblCellMar>
          <w:top w:w="0" w:type="dxa"/>
          <w:left w:w="0" w:type="dxa"/>
          <w:bottom w:w="0" w:type="dxa"/>
          <w:right w:w="0" w:type="dxa"/>
        </w:tblCellMar>
      </w:tblPr>
      <w:tr>
        <w:trPr>
          <w:trHeight w:val="173"/>
        </w:trPr>
        <w:tc>
          <w:tcPr>
            <w:tcW w:w="532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480" w:type="dxa"/>
            <w:vAlign w:val="bottom"/>
            <w:tcBorders>
              <w:bottom w:val="single" w:sz="8" w:color="auto"/>
            </w:tcBorders>
            <w:gridSpan w:val="3"/>
          </w:tcPr>
          <w:p>
            <w:pPr>
              <w:jc w:val="right"/>
              <w:ind w:right="4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780" w:type="dxa"/>
            <w:vAlign w:val="bottom"/>
            <w:tcBorders>
              <w:bottom w:val="single" w:sz="8" w:color="auto"/>
            </w:tcBorders>
          </w:tcPr>
          <w:p>
            <w:pPr>
              <w:spacing w:after="0"/>
              <w:rPr>
                <w:sz w:val="15"/>
                <w:szCs w:val="15"/>
                <w:color w:val="auto"/>
              </w:rPr>
            </w:pPr>
          </w:p>
        </w:tc>
        <w:tc>
          <w:tcPr>
            <w:tcW w:w="80" w:type="dxa"/>
            <w:vAlign w:val="bottom"/>
          </w:tcPr>
          <w:p>
            <w:pPr>
              <w:spacing w:after="0"/>
              <w:rPr>
                <w:sz w:val="15"/>
                <w:szCs w:val="15"/>
                <w:color w:val="auto"/>
              </w:rPr>
            </w:pPr>
          </w:p>
        </w:tc>
      </w:tr>
      <w:tr>
        <w:trPr>
          <w:trHeight w:val="142"/>
        </w:trPr>
        <w:tc>
          <w:tcPr>
            <w:tcW w:w="532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920" w:type="dxa"/>
            <w:vAlign w:val="bottom"/>
            <w:tcBorders>
              <w:bottom w:val="single" w:sz="8" w:color="auto"/>
            </w:tcBorders>
          </w:tcPr>
          <w:p>
            <w:pPr>
              <w:jc w:val="right"/>
              <w:ind w:right="337"/>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2"/>
                <w:szCs w:val="12"/>
                <w:color w:val="auto"/>
              </w:rPr>
            </w:pPr>
          </w:p>
        </w:tc>
        <w:tc>
          <w:tcPr>
            <w:tcW w:w="340" w:type="dxa"/>
            <w:vAlign w:val="bottom"/>
            <w:tcBorders>
              <w:bottom w:val="single" w:sz="8" w:color="auto"/>
            </w:tcBorders>
          </w:tcPr>
          <w:p>
            <w:pPr>
              <w:spacing w:after="0"/>
              <w:rPr>
                <w:sz w:val="12"/>
                <w:szCs w:val="12"/>
                <w:color w:val="auto"/>
              </w:rPr>
            </w:pPr>
          </w:p>
        </w:tc>
        <w:tc>
          <w:tcPr>
            <w:tcW w:w="780" w:type="dxa"/>
            <w:vAlign w:val="bottom"/>
            <w:tcBorders>
              <w:bottom w:val="single" w:sz="8" w:color="auto"/>
            </w:tcBorders>
          </w:tcPr>
          <w:p>
            <w:pPr>
              <w:jc w:val="right"/>
              <w:ind w:right="355"/>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80" w:type="dxa"/>
            <w:vAlign w:val="bottom"/>
          </w:tcPr>
          <w:p>
            <w:pPr>
              <w:spacing w:after="0"/>
              <w:rPr>
                <w:sz w:val="12"/>
                <w:szCs w:val="12"/>
                <w:color w:val="auto"/>
              </w:rPr>
            </w:pPr>
          </w:p>
        </w:tc>
      </w:tr>
      <w:tr>
        <w:trPr>
          <w:trHeight w:val="210"/>
        </w:trPr>
        <w:tc>
          <w:tcPr>
            <w:tcW w:w="53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Approximate number of bitcoins held</w:t>
            </w:r>
          </w:p>
        </w:tc>
        <w:tc>
          <w:tcPr>
            <w:tcW w:w="20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447,470</w:t>
            </w:r>
          </w:p>
        </w:tc>
        <w:tc>
          <w:tcPr>
            <w:tcW w:w="22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189,150</w:t>
            </w:r>
          </w:p>
        </w:tc>
        <w:tc>
          <w:tcPr>
            <w:tcW w:w="80" w:type="dxa"/>
            <w:vAlign w:val="bottom"/>
            <w:shd w:val="clear" w:color="auto" w:fill="CFF0FC"/>
          </w:tcPr>
          <w:p>
            <w:pPr>
              <w:spacing w:after="0"/>
              <w:rPr>
                <w:sz w:val="18"/>
                <w:szCs w:val="18"/>
                <w:color w:val="auto"/>
              </w:rPr>
            </w:pPr>
          </w:p>
        </w:tc>
      </w:tr>
      <w:tr>
        <w:trPr>
          <w:trHeight w:val="216"/>
        </w:trPr>
        <w:tc>
          <w:tcPr>
            <w:tcW w:w="5320" w:type="dxa"/>
            <w:vAlign w:val="bottom"/>
          </w:tcPr>
          <w:p>
            <w:pPr>
              <w:spacing w:after="0"/>
              <w:rPr>
                <w:sz w:val="20"/>
                <w:szCs w:val="20"/>
                <w:color w:val="auto"/>
              </w:rPr>
            </w:pPr>
            <w:r>
              <w:rPr>
                <w:rFonts w:ascii="Times New Roman" w:cs="Times New Roman" w:eastAsia="Times New Roman" w:hAnsi="Times New Roman"/>
                <w:sz w:val="18"/>
                <w:szCs w:val="18"/>
                <w:color w:val="auto"/>
              </w:rPr>
              <w:t>Digital assets carrying value</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23,909,373</w:t>
            </w:r>
          </w:p>
        </w:tc>
        <w:tc>
          <w:tcPr>
            <w:tcW w:w="56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99"/>
              </w:rPr>
              <w:t>3,626,476</w:t>
            </w:r>
          </w:p>
        </w:tc>
        <w:tc>
          <w:tcPr>
            <w:tcW w:w="80" w:type="dxa"/>
            <w:vAlign w:val="bottom"/>
          </w:tcPr>
          <w:p>
            <w:pPr>
              <w:spacing w:after="0"/>
              <w:rPr>
                <w:sz w:val="18"/>
                <w:szCs w:val="18"/>
                <w:color w:val="auto"/>
              </w:rPr>
            </w:pPr>
          </w:p>
        </w:tc>
      </w:tr>
      <w:tr>
        <w:trPr>
          <w:trHeight w:val="216"/>
        </w:trPr>
        <w:tc>
          <w:tcPr>
            <w:tcW w:w="53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Cumulative digital asset impairment losses</w:t>
            </w:r>
          </w:p>
        </w:tc>
        <w:tc>
          <w:tcPr>
            <w:tcW w:w="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4,058,875</w:t>
            </w:r>
          </w:p>
        </w:tc>
        <w:tc>
          <w:tcPr>
            <w:tcW w:w="56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9"/>
              </w:rPr>
              <w:t>2,269,013</w:t>
            </w:r>
          </w:p>
        </w:tc>
        <w:tc>
          <w:tcPr>
            <w:tcW w:w="80" w:type="dxa"/>
            <w:vAlign w:val="bottom"/>
            <w:shd w:val="clear" w:color="auto" w:fill="CFF0FC"/>
          </w:tcPr>
          <w:p>
            <w:pPr>
              <w:spacing w:after="0"/>
              <w:rPr>
                <w:sz w:val="18"/>
                <w:szCs w:val="18"/>
                <w:color w:val="auto"/>
              </w:rPr>
            </w:pPr>
          </w:p>
        </w:tc>
      </w:tr>
    </w:tbl>
    <w:p>
      <w:pPr>
        <w:spacing w:after="0" w:line="19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carrying value on the Company’s Consolidated Balance Sheet at each period-end represents the lowest fair value (based on Level 1 inputs in the fair value hierarchy) of the bitcoins at any time since their acquisition. Therefore, these fair value measurements were made during the period from their acquisition through December 31, 2024 or 2023, respectively, and not as of December 31, 2024 or 2023, respectively.</w:t>
      </w:r>
    </w:p>
    <w:p>
      <w:pPr>
        <w:spacing w:after="0" w:line="68"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The following table summarizes the Company’s digital asset purchases, digital asset sales, digital asset impairment losses, and gains on sale of digital assets (in thousands, except number of bitcoins) for the periods indicated:</w:t>
      </w:r>
    </w:p>
    <w:p>
      <w:pPr>
        <w:spacing w:after="0" w:line="37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87" w:name="page88"/>
    <w:bookmarkEnd w:id="87"/>
    <w:tbl>
      <w:tblPr>
        <w:tblLayout w:type="fixed"/>
        <w:tblInd w:w="1700" w:type="dxa"/>
        <w:tblCellMar>
          <w:top w:w="0" w:type="dxa"/>
          <w:left w:w="0" w:type="dxa"/>
          <w:bottom w:w="0" w:type="dxa"/>
          <w:right w:w="0" w:type="dxa"/>
        </w:tblCellMar>
      </w:tblPr>
      <w:tr>
        <w:trPr>
          <w:trHeight w:val="173"/>
        </w:trPr>
        <w:tc>
          <w:tcPr>
            <w:tcW w:w="4180" w:type="dxa"/>
            <w:vAlign w:val="bottom"/>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2580" w:type="dxa"/>
            <w:vAlign w:val="bottom"/>
            <w:tcBorders>
              <w:bottom w:val="single" w:sz="8" w:color="auto"/>
            </w:tcBorders>
            <w:gridSpan w:val="6"/>
          </w:tcPr>
          <w:p>
            <w:pPr>
              <w:jc w:val="right"/>
              <w:ind w:right="12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860" w:type="dxa"/>
            <w:vAlign w:val="bottom"/>
            <w:tcBorders>
              <w:bottom w:val="single" w:sz="8" w:color="auto"/>
            </w:tcBorders>
          </w:tcPr>
          <w:p>
            <w:pPr>
              <w:spacing w:after="0"/>
              <w:rPr>
                <w:sz w:val="15"/>
                <w:szCs w:val="15"/>
                <w:color w:val="auto"/>
              </w:rPr>
            </w:pPr>
          </w:p>
        </w:tc>
        <w:tc>
          <w:tcPr>
            <w:tcW w:w="80" w:type="dxa"/>
            <w:vAlign w:val="bottom"/>
          </w:tcPr>
          <w:p>
            <w:pPr>
              <w:spacing w:after="0"/>
              <w:rPr>
                <w:sz w:val="15"/>
                <w:szCs w:val="15"/>
                <w:color w:val="auto"/>
              </w:rPr>
            </w:pPr>
          </w:p>
        </w:tc>
      </w:tr>
      <w:tr>
        <w:trPr>
          <w:trHeight w:val="142"/>
        </w:trPr>
        <w:tc>
          <w:tcPr>
            <w:tcW w:w="418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900" w:type="dxa"/>
            <w:vAlign w:val="bottom"/>
            <w:tcBorders>
              <w:bottom w:val="single" w:sz="8" w:color="auto"/>
            </w:tcBorders>
          </w:tcPr>
          <w:p>
            <w:pPr>
              <w:jc w:val="right"/>
              <w:ind w:right="295"/>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0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860" w:type="dxa"/>
            <w:vAlign w:val="bottom"/>
            <w:tcBorders>
              <w:bottom w:val="single" w:sz="8" w:color="auto"/>
            </w:tcBorders>
          </w:tcPr>
          <w:p>
            <w:pPr>
              <w:jc w:val="right"/>
              <w:ind w:right="313"/>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2"/>
                <w:szCs w:val="12"/>
                <w:color w:val="auto"/>
              </w:rPr>
            </w:pPr>
          </w:p>
        </w:tc>
        <w:tc>
          <w:tcPr>
            <w:tcW w:w="220" w:type="dxa"/>
            <w:vAlign w:val="bottom"/>
            <w:tcBorders>
              <w:bottom w:val="single" w:sz="8" w:color="auto"/>
            </w:tcBorders>
          </w:tcPr>
          <w:p>
            <w:pPr>
              <w:spacing w:after="0"/>
              <w:rPr>
                <w:sz w:val="12"/>
                <w:szCs w:val="12"/>
                <w:color w:val="auto"/>
              </w:rPr>
            </w:pPr>
          </w:p>
        </w:tc>
        <w:tc>
          <w:tcPr>
            <w:tcW w:w="860" w:type="dxa"/>
            <w:vAlign w:val="bottom"/>
            <w:tcBorders>
              <w:bottom w:val="single" w:sz="8" w:color="auto"/>
            </w:tcBorders>
          </w:tcPr>
          <w:p>
            <w:pPr>
              <w:jc w:val="right"/>
              <w:ind w:right="333"/>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80" w:type="dxa"/>
            <w:vAlign w:val="bottom"/>
          </w:tcPr>
          <w:p>
            <w:pPr>
              <w:spacing w:after="0"/>
              <w:rPr>
                <w:sz w:val="12"/>
                <w:szCs w:val="12"/>
                <w:color w:val="auto"/>
              </w:rPr>
            </w:pPr>
          </w:p>
        </w:tc>
      </w:tr>
      <w:tr>
        <w:trPr>
          <w:trHeight w:val="210"/>
        </w:trPr>
        <w:tc>
          <w:tcPr>
            <w:tcW w:w="418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Approximate number of bitcoins purchased</w:t>
            </w:r>
          </w:p>
        </w:tc>
        <w:tc>
          <w:tcPr>
            <w:tcW w:w="160" w:type="dxa"/>
            <w:vAlign w:val="bottom"/>
            <w:shd w:val="clear" w:color="auto" w:fill="CFF0FC"/>
          </w:tcPr>
          <w:p>
            <w:pPr>
              <w:spacing w:after="0"/>
              <w:rPr>
                <w:sz w:val="18"/>
                <w:szCs w:val="18"/>
                <w:color w:val="auto"/>
              </w:rPr>
            </w:pP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258,320</w:t>
            </w:r>
          </w:p>
        </w:tc>
        <w:tc>
          <w:tcPr>
            <w:tcW w:w="20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56,650</w:t>
            </w:r>
          </w:p>
        </w:tc>
        <w:tc>
          <w:tcPr>
            <w:tcW w:w="20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8,813</w:t>
            </w:r>
          </w:p>
        </w:tc>
        <w:tc>
          <w:tcPr>
            <w:tcW w:w="80" w:type="dxa"/>
            <w:vAlign w:val="bottom"/>
            <w:shd w:val="clear" w:color="auto" w:fill="CFF0FC"/>
          </w:tcPr>
          <w:p>
            <w:pPr>
              <w:spacing w:after="0"/>
              <w:rPr>
                <w:sz w:val="18"/>
                <w:szCs w:val="18"/>
                <w:color w:val="auto"/>
              </w:rPr>
            </w:pPr>
          </w:p>
        </w:tc>
      </w:tr>
      <w:tr>
        <w:trPr>
          <w:trHeight w:val="216"/>
        </w:trPr>
        <w:tc>
          <w:tcPr>
            <w:tcW w:w="4180" w:type="dxa"/>
            <w:vAlign w:val="bottom"/>
          </w:tcPr>
          <w:p>
            <w:pPr>
              <w:spacing w:after="0"/>
              <w:rPr>
                <w:sz w:val="20"/>
                <w:szCs w:val="20"/>
                <w:color w:val="auto"/>
              </w:rPr>
            </w:pPr>
            <w:r>
              <w:rPr>
                <w:rFonts w:ascii="Times New Roman" w:cs="Times New Roman" w:eastAsia="Times New Roman" w:hAnsi="Times New Roman"/>
                <w:sz w:val="18"/>
                <w:szCs w:val="18"/>
                <w:color w:val="auto"/>
              </w:rPr>
              <w:t>Approximate number of bitcoins sold</w:t>
            </w:r>
          </w:p>
        </w:tc>
        <w:tc>
          <w:tcPr>
            <w:tcW w:w="160" w:type="dxa"/>
            <w:vAlign w:val="bottom"/>
          </w:tcPr>
          <w:p>
            <w:pPr>
              <w:spacing w:after="0"/>
              <w:rPr>
                <w:sz w:val="18"/>
                <w:szCs w:val="18"/>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704</w:t>
            </w:r>
          </w:p>
        </w:tc>
        <w:tc>
          <w:tcPr>
            <w:tcW w:w="80" w:type="dxa"/>
            <w:vAlign w:val="bottom"/>
          </w:tcPr>
          <w:p>
            <w:pPr>
              <w:spacing w:after="0"/>
              <w:rPr>
                <w:sz w:val="18"/>
                <w:szCs w:val="18"/>
                <w:color w:val="auto"/>
              </w:rPr>
            </w:pPr>
          </w:p>
        </w:tc>
      </w:tr>
      <w:tr>
        <w:trPr>
          <w:trHeight w:val="216"/>
        </w:trPr>
        <w:tc>
          <w:tcPr>
            <w:tcW w:w="418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Digital asset purchases</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22,072,759</w:t>
            </w:r>
          </w:p>
        </w:tc>
        <w:tc>
          <w:tcPr>
            <w:tcW w:w="40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1,902,299</w:t>
            </w:r>
          </w:p>
        </w:tc>
        <w:tc>
          <w:tcPr>
            <w:tcW w:w="4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287,921</w:t>
            </w:r>
          </w:p>
        </w:tc>
        <w:tc>
          <w:tcPr>
            <w:tcW w:w="80" w:type="dxa"/>
            <w:vAlign w:val="bottom"/>
            <w:shd w:val="clear" w:color="auto" w:fill="CFF0FC"/>
          </w:tcPr>
          <w:p>
            <w:pPr>
              <w:spacing w:after="0"/>
              <w:rPr>
                <w:sz w:val="18"/>
                <w:szCs w:val="18"/>
                <w:color w:val="auto"/>
              </w:rPr>
            </w:pPr>
          </w:p>
        </w:tc>
      </w:tr>
      <w:tr>
        <w:trPr>
          <w:trHeight w:val="216"/>
        </w:trPr>
        <w:tc>
          <w:tcPr>
            <w:tcW w:w="4180" w:type="dxa"/>
            <w:vAlign w:val="bottom"/>
          </w:tcPr>
          <w:p>
            <w:pPr>
              <w:spacing w:after="0"/>
              <w:rPr>
                <w:sz w:val="20"/>
                <w:szCs w:val="20"/>
                <w:color w:val="auto"/>
              </w:rPr>
            </w:pPr>
            <w:r>
              <w:rPr>
                <w:rFonts w:ascii="Times New Roman" w:cs="Times New Roman" w:eastAsia="Times New Roman" w:hAnsi="Times New Roman"/>
                <w:sz w:val="18"/>
                <w:szCs w:val="18"/>
                <w:color w:val="auto"/>
              </w:rPr>
              <w:t>Digital asset sales</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400" w:type="dxa"/>
            <w:vAlign w:val="bottom"/>
            <w:gridSpan w:val="2"/>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42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11,817</w:t>
            </w:r>
          </w:p>
        </w:tc>
        <w:tc>
          <w:tcPr>
            <w:tcW w:w="80" w:type="dxa"/>
            <w:vAlign w:val="bottom"/>
          </w:tcPr>
          <w:p>
            <w:pPr>
              <w:spacing w:after="0"/>
              <w:rPr>
                <w:sz w:val="18"/>
                <w:szCs w:val="18"/>
                <w:color w:val="auto"/>
              </w:rPr>
            </w:pPr>
          </w:p>
        </w:tc>
      </w:tr>
      <w:tr>
        <w:trPr>
          <w:trHeight w:val="216"/>
        </w:trPr>
        <w:tc>
          <w:tcPr>
            <w:tcW w:w="418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1,789,862</w:t>
            </w:r>
          </w:p>
        </w:tc>
        <w:tc>
          <w:tcPr>
            <w:tcW w:w="40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115,851</w:t>
            </w:r>
          </w:p>
        </w:tc>
        <w:tc>
          <w:tcPr>
            <w:tcW w:w="4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1,287,213</w:t>
            </w:r>
          </w:p>
        </w:tc>
        <w:tc>
          <w:tcPr>
            <w:tcW w:w="80" w:type="dxa"/>
            <w:vAlign w:val="bottom"/>
            <w:shd w:val="clear" w:color="auto" w:fill="CFF0FC"/>
          </w:tcPr>
          <w:p>
            <w:pPr>
              <w:spacing w:after="0"/>
              <w:rPr>
                <w:sz w:val="18"/>
                <w:szCs w:val="18"/>
                <w:color w:val="auto"/>
              </w:rPr>
            </w:pPr>
          </w:p>
        </w:tc>
      </w:tr>
      <w:tr>
        <w:trPr>
          <w:trHeight w:val="234"/>
        </w:trPr>
        <w:tc>
          <w:tcPr>
            <w:tcW w:w="4180" w:type="dxa"/>
            <w:vAlign w:val="bottom"/>
          </w:tcPr>
          <w:p>
            <w:pPr>
              <w:spacing w:after="0"/>
              <w:rPr>
                <w:sz w:val="20"/>
                <w:szCs w:val="20"/>
                <w:color w:val="auto"/>
              </w:rPr>
            </w:pPr>
            <w:r>
              <w:rPr>
                <w:rFonts w:ascii="Times New Roman" w:cs="Times New Roman" w:eastAsia="Times New Roman" w:hAnsi="Times New Roman"/>
                <w:sz w:val="18"/>
                <w:szCs w:val="18"/>
                <w:color w:val="auto"/>
              </w:rPr>
              <w:t>Gains on sale of digital assets</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400" w:type="dxa"/>
            <w:vAlign w:val="bottom"/>
            <w:gridSpan w:val="2"/>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42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927</w:t>
            </w:r>
          </w:p>
        </w:tc>
        <w:tc>
          <w:tcPr>
            <w:tcW w:w="80" w:type="dxa"/>
            <w:vAlign w:val="bottom"/>
          </w:tcPr>
          <w:p>
            <w:pPr>
              <w:spacing w:after="0"/>
              <w:rPr>
                <w:sz w:val="20"/>
                <w:szCs w:val="20"/>
                <w:color w:val="auto"/>
              </w:rPr>
            </w:pPr>
          </w:p>
        </w:tc>
      </w:tr>
    </w:tbl>
    <w:p>
      <w:pPr>
        <w:spacing w:after="0" w:line="17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From time to time, the Company’s execution partners may extend short-term trade credits to the Company to purchase bitcoin in advance of using cash funds in the Company’s trading account, or allow the Company to make bitcoin purchases on a delayed settlement basis. Trade credits and delayed settlement payments, as applicable, are due and payable after the bitcoin purchases are completed. In 2024 and 2023, certain bitcoin of MacroStrategy LLC (“MacroStrategy”), a wholly-owned subsidiary of the Company, were subject to a first priority security interest and lien in order to secure payments owed by the Company with respect to these arrangements. While trade credits or delayed settlements are outstanding, the Company may incur interest fees and be required to maintain minimum balances in its trading and custody accounts with such execution partners. As of December 31, 2024 and 2023, the Company had no outstanding trade credits payable or delayed settlement obligations.</w:t>
      </w:r>
    </w:p>
    <w:p>
      <w:pPr>
        <w:spacing w:after="0" w:line="8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of December 31, 2023, approximately 16,081 of the bitcoins held by the Company, which had a carrying value of approximately $263.9 million on the Company’s Consolidated Balance Sheet as of December 31, 2023, served as part of the collateral for the Company’s 6.125% Senior Secured Notes due 2028 (the “2028 Secured Notes”). Upon the redemption of the 2028 Secured Notes during the third quarter of 2024, all collateral securing the 2028 Secured Notes, including the aforementioned bitcoin, was released. Refer to Note 8, Long-term Debt, to the Consolidated Financial Statements for further information regarding the 2028 Secured Notes and their redemption.</w:t>
      </w:r>
    </w:p>
    <w:p>
      <w:pPr>
        <w:spacing w:after="0" w:line="75"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vast majority of the Company’s assets are concentrated in its bitcoin holdings. Bitcoin is a digital asset, which is a novel asset class that is subject to significant legal, commercial, regulatory and technical uncertainty. Holding bitcoin does not generate any cash flows and involves custodial fees and other costs. Additionally, the price of bitcoin has historically experienced significant price volatility, and a significant decrease in the price of bitcoin would adversely affect the Company’s financial condition and results of operations. The Company’s strategy of acquiring and holding bitcoin also exposes it to counterparty risks with respect to the custody of its bitcoin, cybersecurity risks, and other risks inherent to holding a digital asset. In particular, the Company is subject to the risk that, if its private keys with respect to its digital assets are lost or destroyed or other similar circumstances or events occur, the Company may lose some or all of its digital assets, which could materially adversely affect the Company’s financial condition and results of operations.</w:t>
      </w:r>
    </w:p>
    <w:p>
      <w:pPr>
        <w:spacing w:after="0" w:line="200" w:lineRule="exact"/>
        <w:rPr>
          <w:sz w:val="20"/>
          <w:szCs w:val="20"/>
          <w:color w:val="auto"/>
        </w:rPr>
      </w:pPr>
    </w:p>
    <w:p>
      <w:pPr>
        <w:spacing w:after="0" w:line="20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(5) Contract Balances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 invoices its customers in accordance with billing schedules established in each contract. The Company’s rights to consideration from customers are presented separately in the Company’s Consolidated Balance Sheets depending on whether those rights are conditional or unconditional.</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presents unconditional rights to consideration from customers within “Accounts receivable, net” in its Consolidated Balance Sheets. All of the Company’s contracts are generally non-cancellable and/or non-refundable, and therefore an unconditional right generally exists when the customer is billed or amounts are billable per the contract.</w:t>
      </w:r>
    </w:p>
    <w:p>
      <w:pPr>
        <w:spacing w:after="0" w:line="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Accounts receivable (in thousands) consisted of the following, as of:</w:t>
      </w:r>
    </w:p>
    <w:p>
      <w:pPr>
        <w:spacing w:after="0" w:line="219" w:lineRule="exact"/>
        <w:rPr>
          <w:sz w:val="20"/>
          <w:szCs w:val="20"/>
          <w:color w:val="auto"/>
        </w:rPr>
      </w:pPr>
    </w:p>
    <w:tbl>
      <w:tblPr>
        <w:tblLayout w:type="fixed"/>
        <w:tblInd w:w="1700" w:type="dxa"/>
        <w:tblCellMar>
          <w:top w:w="0" w:type="dxa"/>
          <w:left w:w="0" w:type="dxa"/>
          <w:bottom w:w="0" w:type="dxa"/>
          <w:right w:w="0" w:type="dxa"/>
        </w:tblCellMar>
      </w:tblPr>
      <w:tr>
        <w:trPr>
          <w:trHeight w:val="173"/>
        </w:trPr>
        <w:tc>
          <w:tcPr>
            <w:tcW w:w="5300" w:type="dxa"/>
            <w:vAlign w:val="bottom"/>
          </w:tcPr>
          <w:p>
            <w:pPr>
              <w:spacing w:after="0"/>
              <w:rPr>
                <w:sz w:val="15"/>
                <w:szCs w:val="15"/>
                <w:color w:val="auto"/>
              </w:rPr>
            </w:pPr>
          </w:p>
        </w:tc>
        <w:tc>
          <w:tcPr>
            <w:tcW w:w="260" w:type="dxa"/>
            <w:vAlign w:val="bottom"/>
            <w:tcBorders>
              <w:bottom w:val="single" w:sz="8" w:color="auto"/>
            </w:tcBorders>
          </w:tcPr>
          <w:p>
            <w:pPr>
              <w:spacing w:after="0"/>
              <w:rPr>
                <w:sz w:val="15"/>
                <w:szCs w:val="15"/>
                <w:color w:val="auto"/>
              </w:rPr>
            </w:pPr>
          </w:p>
        </w:tc>
        <w:tc>
          <w:tcPr>
            <w:tcW w:w="144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76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5300" w:type="dxa"/>
            <w:vAlign w:val="bottom"/>
          </w:tcPr>
          <w:p>
            <w:pPr>
              <w:spacing w:after="0"/>
              <w:rPr>
                <w:sz w:val="12"/>
                <w:szCs w:val="12"/>
                <w:color w:val="auto"/>
              </w:rPr>
            </w:pPr>
          </w:p>
        </w:tc>
        <w:tc>
          <w:tcPr>
            <w:tcW w:w="260" w:type="dxa"/>
            <w:vAlign w:val="bottom"/>
            <w:tcBorders>
              <w:bottom w:val="single" w:sz="8" w:color="auto"/>
            </w:tcBorders>
          </w:tcPr>
          <w:p>
            <w:pPr>
              <w:spacing w:after="0"/>
              <w:rPr>
                <w:sz w:val="12"/>
                <w:szCs w:val="12"/>
                <w:color w:val="auto"/>
              </w:rPr>
            </w:pPr>
          </w:p>
        </w:tc>
        <w:tc>
          <w:tcPr>
            <w:tcW w:w="860" w:type="dxa"/>
            <w:vAlign w:val="bottom"/>
            <w:tcBorders>
              <w:bottom w:val="single" w:sz="8" w:color="auto"/>
            </w:tcBorders>
          </w:tcPr>
          <w:p>
            <w:pPr>
              <w:jc w:val="right"/>
              <w:ind w:right="337"/>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2"/>
                <w:szCs w:val="12"/>
                <w:color w:val="auto"/>
              </w:rPr>
            </w:pPr>
          </w:p>
        </w:tc>
        <w:tc>
          <w:tcPr>
            <w:tcW w:w="360" w:type="dxa"/>
            <w:vAlign w:val="bottom"/>
            <w:tcBorders>
              <w:bottom w:val="single" w:sz="8" w:color="auto"/>
            </w:tcBorders>
          </w:tcPr>
          <w:p>
            <w:pPr>
              <w:spacing w:after="0"/>
              <w:rPr>
                <w:sz w:val="12"/>
                <w:szCs w:val="12"/>
                <w:color w:val="auto"/>
              </w:rPr>
            </w:pPr>
          </w:p>
        </w:tc>
        <w:tc>
          <w:tcPr>
            <w:tcW w:w="760" w:type="dxa"/>
            <w:vAlign w:val="bottom"/>
            <w:tcBorders>
              <w:bottom w:val="single" w:sz="8" w:color="auto"/>
            </w:tcBorders>
          </w:tcPr>
          <w:p>
            <w:pPr>
              <w:jc w:val="right"/>
              <w:ind w:right="335"/>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r>
      <w:tr>
        <w:trPr>
          <w:trHeight w:val="210"/>
        </w:trPr>
        <w:tc>
          <w:tcPr>
            <w:tcW w:w="53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Billed and billable</w:t>
            </w:r>
          </w:p>
        </w:tc>
        <w:tc>
          <w:tcPr>
            <w:tcW w:w="26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w w:val="88"/>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183,391</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186,884</w:t>
            </w:r>
          </w:p>
        </w:tc>
        <w:tc>
          <w:tcPr>
            <w:tcW w:w="100" w:type="dxa"/>
            <w:vAlign w:val="bottom"/>
            <w:shd w:val="clear" w:color="auto" w:fill="CFF0FC"/>
          </w:tcPr>
          <w:p>
            <w:pPr>
              <w:spacing w:after="0"/>
              <w:rPr>
                <w:sz w:val="18"/>
                <w:szCs w:val="18"/>
                <w:color w:val="auto"/>
              </w:rPr>
            </w:pPr>
          </w:p>
        </w:tc>
      </w:tr>
      <w:tr>
        <w:trPr>
          <w:trHeight w:val="216"/>
        </w:trPr>
        <w:tc>
          <w:tcPr>
            <w:tcW w:w="5300" w:type="dxa"/>
            <w:vAlign w:val="bottom"/>
          </w:tcPr>
          <w:p>
            <w:pPr>
              <w:spacing w:after="0"/>
              <w:rPr>
                <w:sz w:val="20"/>
                <w:szCs w:val="20"/>
                <w:color w:val="auto"/>
              </w:rPr>
            </w:pPr>
            <w:r>
              <w:rPr>
                <w:rFonts w:ascii="Times New Roman" w:cs="Times New Roman" w:eastAsia="Times New Roman" w:hAnsi="Times New Roman"/>
                <w:sz w:val="18"/>
                <w:szCs w:val="18"/>
                <w:color w:val="auto"/>
              </w:rPr>
              <w:t>Less: allowance for credit losses</w:t>
            </w:r>
          </w:p>
        </w:tc>
        <w:tc>
          <w:tcPr>
            <w:tcW w:w="260" w:type="dxa"/>
            <w:vAlign w:val="bottom"/>
          </w:tcPr>
          <w:p>
            <w:pPr>
              <w:spacing w:after="0"/>
              <w:rPr>
                <w:sz w:val="18"/>
                <w:szCs w:val="18"/>
                <w:color w:val="auto"/>
              </w:rPr>
            </w:pPr>
          </w:p>
        </w:tc>
        <w:tc>
          <w:tcPr>
            <w:tcW w:w="10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(2,188 )</w:t>
            </w:r>
          </w:p>
        </w:tc>
        <w:tc>
          <w:tcPr>
            <w:tcW w:w="360" w:type="dxa"/>
            <w:vAlign w:val="bottom"/>
          </w:tcPr>
          <w:p>
            <w:pPr>
              <w:spacing w:after="0"/>
              <w:rPr>
                <w:sz w:val="18"/>
                <w:szCs w:val="18"/>
                <w:color w:val="auto"/>
              </w:rPr>
            </w:pPr>
          </w:p>
        </w:tc>
        <w:tc>
          <w:tcPr>
            <w:tcW w:w="8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(3,069 )</w:t>
            </w:r>
          </w:p>
        </w:tc>
      </w:tr>
      <w:tr>
        <w:trPr>
          <w:trHeight w:val="250"/>
        </w:trPr>
        <w:tc>
          <w:tcPr>
            <w:tcW w:w="530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Accounts receivable, net</w:t>
            </w:r>
          </w:p>
        </w:tc>
        <w:tc>
          <w:tcPr>
            <w:tcW w:w="260" w:type="dxa"/>
            <w:vAlign w:val="bottom"/>
            <w:tcBorders>
              <w:top w:val="single" w:sz="8" w:color="auto"/>
              <w:bottom w:val="single" w:sz="8" w:color="auto"/>
            </w:tcBorders>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w w:val="88"/>
              </w:rPr>
              <w:t>$</w:t>
            </w:r>
          </w:p>
        </w:tc>
        <w:tc>
          <w:tcPr>
            <w:tcW w:w="86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181,203</w:t>
            </w:r>
          </w:p>
        </w:tc>
        <w:tc>
          <w:tcPr>
            <w:tcW w:w="220" w:type="dxa"/>
            <w:vAlign w:val="bottom"/>
            <w:tcBorders>
              <w:bottom w:val="single" w:sz="8" w:color="CFF0FC"/>
            </w:tcBorders>
            <w:shd w:val="clear" w:color="auto" w:fill="CFF0FC"/>
          </w:tcPr>
          <w:p>
            <w:pPr>
              <w:spacing w:after="0"/>
              <w:rPr>
                <w:sz w:val="21"/>
                <w:szCs w:val="21"/>
                <w:color w:val="auto"/>
              </w:rPr>
            </w:pPr>
          </w:p>
        </w:tc>
        <w:tc>
          <w:tcPr>
            <w:tcW w:w="360" w:type="dxa"/>
            <w:vAlign w:val="bottom"/>
            <w:tcBorders>
              <w:top w:val="single" w:sz="8" w:color="auto"/>
              <w:bottom w:val="single" w:sz="8" w:color="auto"/>
            </w:tcBorders>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183,815</w:t>
            </w:r>
          </w:p>
        </w:tc>
        <w:tc>
          <w:tcPr>
            <w:tcW w:w="100" w:type="dxa"/>
            <w:vAlign w:val="bottom"/>
            <w:tcBorders>
              <w:bottom w:val="single" w:sz="8" w:color="CFF0FC"/>
            </w:tcBorders>
            <w:shd w:val="clear" w:color="auto" w:fill="CFF0FC"/>
          </w:tcPr>
          <w:p>
            <w:pPr>
              <w:spacing w:after="0"/>
              <w:rPr>
                <w:sz w:val="21"/>
                <w:szCs w:val="2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5156835</wp:posOffset>
            </wp:positionH>
            <wp:positionV relativeFrom="paragraph">
              <wp:posOffset>-24765</wp:posOffset>
            </wp:positionV>
            <wp:extent cx="60325" cy="889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1">
                      <a:extLst>
                        <a:ext uri="{28A0092B-C50C-407E-A947-70E740481C1C}"/>
                      </a:extLst>
                    </a:blip>
                    <a:srcRect/>
                    <a:stretch>
                      <a:fillRect/>
                    </a:stretch>
                  </pic:blipFill>
                  <pic:spPr bwMode="auto">
                    <a:xfrm>
                      <a:off x="0" y="0"/>
                      <a:ext cx="60325" cy="8890"/>
                    </a:xfrm>
                    <a:prstGeom prst="rect">
                      <a:avLst/>
                    </a:prstGeom>
                    <a:noFill/>
                  </pic:spPr>
                </pic:pic>
              </a:graphicData>
            </a:graphic>
          </wp:anchor>
        </w:drawing>
        <w:drawing>
          <wp:anchor simplePos="0" relativeHeight="251657728" behindDoc="1" locked="0" layoutInCell="0" allowOverlap="1">
            <wp:simplePos x="0" y="0"/>
            <wp:positionH relativeFrom="column">
              <wp:posOffset>5156835</wp:posOffset>
            </wp:positionH>
            <wp:positionV relativeFrom="paragraph">
              <wp:posOffset>-7620</wp:posOffset>
            </wp:positionV>
            <wp:extent cx="60325" cy="8255"/>
            <wp:wrapNone/>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02">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-24765</wp:posOffset>
            </wp:positionV>
            <wp:extent cx="60325" cy="8890"/>
            <wp:wrapNone/>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03">
                      <a:extLst>
                        <a:ext uri="{28A0092B-C50C-407E-A947-70E740481C1C}"/>
                      </a:extLst>
                    </a:blip>
                    <a:srcRect/>
                    <a:stretch>
                      <a:fillRect/>
                    </a:stretch>
                  </pic:blipFill>
                  <pic:spPr bwMode="auto">
                    <a:xfrm>
                      <a:off x="0" y="0"/>
                      <a:ext cx="60325" cy="8890"/>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-7620</wp:posOffset>
            </wp:positionV>
            <wp:extent cx="60325" cy="8255"/>
            <wp:wrapNone/>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04">
                      <a:extLst>
                        <a:ext uri="{28A0092B-C50C-407E-A947-70E740481C1C}"/>
                      </a:extLst>
                    </a:blip>
                    <a:srcRect/>
                    <a:stretch>
                      <a:fillRect/>
                    </a:stretch>
                  </pic:blipFill>
                  <pic:spPr bwMode="auto">
                    <a:xfrm>
                      <a:off x="0" y="0"/>
                      <a:ext cx="60325" cy="8255"/>
                    </a:xfrm>
                    <a:prstGeom prst="rect">
                      <a:avLst/>
                    </a:prstGeom>
                    <a:noFill/>
                  </pic:spPr>
                </pic:pic>
              </a:graphicData>
            </a:graphic>
          </wp:anchor>
        </w:drawing>
      </w:r>
    </w:p>
    <w:p>
      <w:pPr>
        <w:spacing w:after="0" w:line="21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Changes in the allowance for credit losses were not material for the year ended December 31, 2024.</w:t>
      </w:r>
    </w:p>
    <w:p>
      <w:pPr>
        <w:spacing w:after="0" w:line="11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Rights to consideration that are subject to a condition other than the passage of time are considered contract assets until they are expected to become unconditional and transfer to accounts receivable. Current contract assets included in “Prepaid expenses and other current assets” in the Consolidated Balance Sheets consisted of $2.6 million and $1.2 million, as of December 31, 2024 and 2023, respectively, related primarily to performance obligations or services being rendered in advance of future invoicing associated with multi-year contracts. These true-up adjustments are generally not material. Non-current contract assets included in “Deposits and other assets” in the Consolidated Balance Sheets consisted of $6.8 million and $0.9 million, as of December 31, 2024 and 2023, respectively, related to</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06" w:right="339" w:bottom="1440" w:gutter="0" w:footer="0" w:header="0"/>
        </w:sectPr>
      </w:pPr>
    </w:p>
    <w:bookmarkStart w:id="88" w:name="page89"/>
    <w:bookmarkEnd w:id="88"/>
    <w:p>
      <w:pPr>
        <w:jc w:val="both"/>
        <w:spacing w:after="0" w:line="266" w:lineRule="auto"/>
        <w:rPr>
          <w:sz w:val="20"/>
          <w:szCs w:val="20"/>
          <w:color w:val="auto"/>
        </w:rPr>
      </w:pPr>
      <w:r>
        <w:rPr>
          <w:rFonts w:ascii="Times New Roman" w:cs="Times New Roman" w:eastAsia="Times New Roman" w:hAnsi="Times New Roman"/>
          <w:sz w:val="18"/>
          <w:szCs w:val="18"/>
          <w:color w:val="auto"/>
        </w:rPr>
        <w:t>performance obligations or services being rendered in advance of future invoicing associated with multi-year contracts. During the years ended December 31, 2024, 2023, and 2022, there were no significant impairments to the Company’s contract assets, nor were there any significant changes in the timing of the Company’s contract assets being reclassified to accounts receivable.</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Contract liabilities are amounts received or due from customers in advance of the Company transferring the software or services to the customer and presented as "Deferred revenue and advance payments" in the Consolidated Balance Sheets. In the case of multi-year service contract arrangements, the Company generally does not invoice more than one year in advance of services and does not record deferred revenue for amounts that have not been invoiced. Revenue is subsequently recognized in the period(s) in which control of the software or services is transferred to the customer.</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Company’s “Accounts receivable, net” and “Deferred revenue and advance payments” balances in the Consolidated Balance Sheets include unpaid amounts related to contracts under which the Company has an enforceable right to invoice the customer for non-cancellable and/or non-refundable software and services. Changes in accounts receivable and changes in deferred revenue and advance payments are presented net of these unpaid amounts in “Operating activities” in the Consolidated Statements of Cash Flows.</w:t>
      </w:r>
    </w:p>
    <w:p>
      <w:pPr>
        <w:spacing w:after="0" w:line="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Deferred revenue and advance payments (in thousands) from customers consisted of the following, as of:</w:t>
      </w:r>
    </w:p>
    <w:p>
      <w:pPr>
        <w:spacing w:after="0" w:line="219" w:lineRule="exact"/>
        <w:rPr>
          <w:sz w:val="20"/>
          <w:szCs w:val="20"/>
          <w:color w:val="auto"/>
        </w:rPr>
      </w:pPr>
    </w:p>
    <w:tbl>
      <w:tblPr>
        <w:tblLayout w:type="fixed"/>
        <w:tblInd w:w="1700" w:type="dxa"/>
        <w:tblCellMar>
          <w:top w:w="0" w:type="dxa"/>
          <w:left w:w="0" w:type="dxa"/>
          <w:bottom w:w="0" w:type="dxa"/>
          <w:right w:w="0" w:type="dxa"/>
        </w:tblCellMar>
      </w:tblPr>
      <w:tr>
        <w:trPr>
          <w:trHeight w:val="173"/>
        </w:trPr>
        <w:tc>
          <w:tcPr>
            <w:tcW w:w="5320" w:type="dxa"/>
            <w:vAlign w:val="bottom"/>
          </w:tcPr>
          <w:p>
            <w:pPr>
              <w:spacing w:after="0"/>
              <w:rPr>
                <w:sz w:val="15"/>
                <w:szCs w:val="15"/>
                <w:color w:val="auto"/>
              </w:rPr>
            </w:pPr>
          </w:p>
        </w:tc>
        <w:tc>
          <w:tcPr>
            <w:tcW w:w="260" w:type="dxa"/>
            <w:vAlign w:val="bottom"/>
            <w:tcBorders>
              <w:bottom w:val="single" w:sz="8" w:color="auto"/>
            </w:tcBorders>
          </w:tcPr>
          <w:p>
            <w:pPr>
              <w:spacing w:after="0"/>
              <w:rPr>
                <w:sz w:val="15"/>
                <w:szCs w:val="15"/>
                <w:color w:val="auto"/>
              </w:rPr>
            </w:pPr>
          </w:p>
        </w:tc>
        <w:tc>
          <w:tcPr>
            <w:tcW w:w="144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760" w:type="dxa"/>
            <w:vAlign w:val="bottom"/>
            <w:tcBorders>
              <w:bottom w:val="single" w:sz="8" w:color="auto"/>
            </w:tcBorders>
          </w:tcPr>
          <w:p>
            <w:pPr>
              <w:spacing w:after="0"/>
              <w:rPr>
                <w:sz w:val="15"/>
                <w:szCs w:val="15"/>
                <w:color w:val="auto"/>
              </w:rPr>
            </w:pPr>
          </w:p>
        </w:tc>
        <w:tc>
          <w:tcPr>
            <w:tcW w:w="80" w:type="dxa"/>
            <w:vAlign w:val="bottom"/>
          </w:tcPr>
          <w:p>
            <w:pPr>
              <w:spacing w:after="0"/>
              <w:rPr>
                <w:sz w:val="15"/>
                <w:szCs w:val="15"/>
                <w:color w:val="auto"/>
              </w:rPr>
            </w:pPr>
          </w:p>
        </w:tc>
      </w:tr>
      <w:tr>
        <w:trPr>
          <w:trHeight w:val="142"/>
        </w:trPr>
        <w:tc>
          <w:tcPr>
            <w:tcW w:w="5320" w:type="dxa"/>
            <w:vAlign w:val="bottom"/>
          </w:tcPr>
          <w:p>
            <w:pPr>
              <w:spacing w:after="0"/>
              <w:rPr>
                <w:sz w:val="12"/>
                <w:szCs w:val="12"/>
                <w:color w:val="auto"/>
              </w:rPr>
            </w:pPr>
          </w:p>
        </w:tc>
        <w:tc>
          <w:tcPr>
            <w:tcW w:w="260" w:type="dxa"/>
            <w:vAlign w:val="bottom"/>
            <w:tcBorders>
              <w:bottom w:val="single" w:sz="8" w:color="auto"/>
            </w:tcBorders>
          </w:tcPr>
          <w:p>
            <w:pPr>
              <w:spacing w:after="0"/>
              <w:rPr>
                <w:sz w:val="12"/>
                <w:szCs w:val="12"/>
                <w:color w:val="auto"/>
              </w:rPr>
            </w:pPr>
          </w:p>
        </w:tc>
        <w:tc>
          <w:tcPr>
            <w:tcW w:w="860" w:type="dxa"/>
            <w:vAlign w:val="bottom"/>
            <w:tcBorders>
              <w:bottom w:val="single" w:sz="8" w:color="auto"/>
            </w:tcBorders>
          </w:tcPr>
          <w:p>
            <w:pPr>
              <w:jc w:val="right"/>
              <w:ind w:right="333"/>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2"/>
                <w:szCs w:val="12"/>
                <w:color w:val="auto"/>
              </w:rPr>
            </w:pPr>
          </w:p>
        </w:tc>
        <w:tc>
          <w:tcPr>
            <w:tcW w:w="360" w:type="dxa"/>
            <w:vAlign w:val="bottom"/>
            <w:tcBorders>
              <w:bottom w:val="single" w:sz="8" w:color="auto"/>
            </w:tcBorders>
          </w:tcPr>
          <w:p>
            <w:pPr>
              <w:spacing w:after="0"/>
              <w:rPr>
                <w:sz w:val="12"/>
                <w:szCs w:val="12"/>
                <w:color w:val="auto"/>
              </w:rPr>
            </w:pPr>
          </w:p>
        </w:tc>
        <w:tc>
          <w:tcPr>
            <w:tcW w:w="760" w:type="dxa"/>
            <w:vAlign w:val="bottom"/>
            <w:tcBorders>
              <w:bottom w:val="single" w:sz="8" w:color="auto"/>
            </w:tcBorders>
          </w:tcPr>
          <w:p>
            <w:pPr>
              <w:jc w:val="right"/>
              <w:ind w:right="352"/>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80" w:type="dxa"/>
            <w:vAlign w:val="bottom"/>
          </w:tcPr>
          <w:p>
            <w:pPr>
              <w:spacing w:after="0"/>
              <w:rPr>
                <w:sz w:val="12"/>
                <w:szCs w:val="12"/>
                <w:color w:val="auto"/>
              </w:rPr>
            </w:pPr>
          </w:p>
        </w:tc>
      </w:tr>
      <w:tr>
        <w:trPr>
          <w:trHeight w:val="210"/>
        </w:trPr>
        <w:tc>
          <w:tcPr>
            <w:tcW w:w="53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Current:</w:t>
            </w:r>
          </w:p>
        </w:tc>
        <w:tc>
          <w:tcPr>
            <w:tcW w:w="260" w:type="dxa"/>
            <w:vAlign w:val="bottom"/>
            <w:shd w:val="clear" w:color="auto" w:fill="CFF0FC"/>
          </w:tcPr>
          <w:p>
            <w:pPr>
              <w:spacing w:after="0"/>
              <w:rPr>
                <w:sz w:val="18"/>
                <w:szCs w:val="18"/>
                <w:color w:val="auto"/>
              </w:rPr>
            </w:pPr>
          </w:p>
        </w:tc>
        <w:tc>
          <w:tcPr>
            <w:tcW w:w="86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60" w:type="dxa"/>
            <w:vAlign w:val="bottom"/>
            <w:shd w:val="clear" w:color="auto" w:fill="CFF0FC"/>
          </w:tcPr>
          <w:p>
            <w:pPr>
              <w:spacing w:after="0"/>
              <w:rPr>
                <w:sz w:val="18"/>
                <w:szCs w:val="18"/>
                <w:color w:val="auto"/>
              </w:rPr>
            </w:pPr>
          </w:p>
        </w:tc>
        <w:tc>
          <w:tcPr>
            <w:tcW w:w="80" w:type="dxa"/>
            <w:vAlign w:val="bottom"/>
            <w:shd w:val="clear" w:color="auto" w:fill="CFF0FC"/>
          </w:tcPr>
          <w:p>
            <w:pPr>
              <w:spacing w:after="0"/>
              <w:rPr>
                <w:sz w:val="18"/>
                <w:szCs w:val="18"/>
                <w:color w:val="auto"/>
              </w:rPr>
            </w:pPr>
          </w:p>
        </w:tc>
      </w:tr>
      <w:tr>
        <w:trPr>
          <w:trHeight w:val="216"/>
        </w:trPr>
        <w:tc>
          <w:tcPr>
            <w:tcW w:w="532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26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1,777</w:t>
            </w:r>
          </w:p>
        </w:tc>
        <w:tc>
          <w:tcPr>
            <w:tcW w:w="580" w:type="dxa"/>
            <w:vAlign w:val="bottom"/>
            <w:gridSpan w:val="2"/>
          </w:tcPr>
          <w:p>
            <w:pPr>
              <w:jc w:val="right"/>
              <w:ind w:right="170"/>
              <w:spacing w:after="0"/>
              <w:rPr>
                <w:sz w:val="20"/>
                <w:szCs w:val="20"/>
                <w:color w:val="auto"/>
              </w:rPr>
            </w:pPr>
            <w:r>
              <w:rPr>
                <w:rFonts w:ascii="Times New Roman" w:cs="Times New Roman" w:eastAsia="Times New Roman" w:hAnsi="Times New Roman"/>
                <w:sz w:val="18"/>
                <w:szCs w:val="18"/>
                <w:color w:val="auto"/>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80" w:type="dxa"/>
            <w:vAlign w:val="bottom"/>
          </w:tcPr>
          <w:p>
            <w:pPr>
              <w:spacing w:after="0"/>
              <w:rPr>
                <w:sz w:val="18"/>
                <w:szCs w:val="18"/>
                <w:color w:val="auto"/>
              </w:rPr>
            </w:pPr>
          </w:p>
        </w:tc>
      </w:tr>
      <w:tr>
        <w:trPr>
          <w:trHeight w:val="216"/>
        </w:trPr>
        <w:tc>
          <w:tcPr>
            <w:tcW w:w="53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260" w:type="dxa"/>
            <w:vAlign w:val="bottom"/>
            <w:shd w:val="clear" w:color="auto" w:fill="CFF0FC"/>
          </w:tcPr>
          <w:p>
            <w:pPr>
              <w:spacing w:after="0"/>
              <w:rPr>
                <w:sz w:val="18"/>
                <w:szCs w:val="18"/>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107,119</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65,512</w:t>
            </w:r>
          </w:p>
        </w:tc>
        <w:tc>
          <w:tcPr>
            <w:tcW w:w="80" w:type="dxa"/>
            <w:vAlign w:val="bottom"/>
            <w:shd w:val="clear" w:color="auto" w:fill="CFF0FC"/>
          </w:tcPr>
          <w:p>
            <w:pPr>
              <w:spacing w:after="0"/>
              <w:rPr>
                <w:sz w:val="18"/>
                <w:szCs w:val="18"/>
                <w:color w:val="auto"/>
              </w:rPr>
            </w:pPr>
          </w:p>
        </w:tc>
      </w:tr>
      <w:tr>
        <w:trPr>
          <w:trHeight w:val="216"/>
        </w:trPr>
        <w:tc>
          <w:tcPr>
            <w:tcW w:w="532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260" w:type="dxa"/>
            <w:vAlign w:val="bottom"/>
          </w:tcPr>
          <w:p>
            <w:pPr>
              <w:spacing w:after="0"/>
              <w:rPr>
                <w:sz w:val="18"/>
                <w:szCs w:val="18"/>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124,684</w:t>
            </w: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152,012</w:t>
            </w:r>
          </w:p>
        </w:tc>
        <w:tc>
          <w:tcPr>
            <w:tcW w:w="80" w:type="dxa"/>
            <w:vAlign w:val="bottom"/>
          </w:tcPr>
          <w:p>
            <w:pPr>
              <w:spacing w:after="0"/>
              <w:rPr>
                <w:sz w:val="18"/>
                <w:szCs w:val="18"/>
                <w:color w:val="auto"/>
              </w:rPr>
            </w:pPr>
          </w:p>
        </w:tc>
      </w:tr>
      <w:tr>
        <w:trPr>
          <w:trHeight w:val="216"/>
        </w:trPr>
        <w:tc>
          <w:tcPr>
            <w:tcW w:w="53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260" w:type="dxa"/>
            <w:vAlign w:val="bottom"/>
            <w:tcBorders>
              <w:bottom w:val="single" w:sz="8" w:color="auto"/>
            </w:tcBorders>
            <w:shd w:val="clear" w:color="auto" w:fill="CFF0FC"/>
          </w:tcPr>
          <w:p>
            <w:pPr>
              <w:spacing w:after="0"/>
              <w:rPr>
                <w:sz w:val="18"/>
                <w:szCs w:val="18"/>
                <w:color w:val="auto"/>
              </w:rPr>
            </w:pPr>
          </w:p>
        </w:tc>
        <w:tc>
          <w:tcPr>
            <w:tcW w:w="8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4,394</w:t>
            </w:r>
          </w:p>
        </w:tc>
        <w:tc>
          <w:tcPr>
            <w:tcW w:w="220" w:type="dxa"/>
            <w:vAlign w:val="bottom"/>
            <w:tcBorders>
              <w:bottom w:val="single" w:sz="8" w:color="CFF0FC"/>
            </w:tcBorders>
            <w:shd w:val="clear" w:color="auto" w:fill="CFF0FC"/>
          </w:tcPr>
          <w:p>
            <w:pPr>
              <w:spacing w:after="0"/>
              <w:rPr>
                <w:sz w:val="18"/>
                <w:szCs w:val="18"/>
                <w:color w:val="auto"/>
              </w:rPr>
            </w:pPr>
          </w:p>
        </w:tc>
        <w:tc>
          <w:tcPr>
            <w:tcW w:w="360" w:type="dxa"/>
            <w:vAlign w:val="bottom"/>
            <w:tcBorders>
              <w:bottom w:val="single" w:sz="8" w:color="auto"/>
            </w:tcBorders>
            <w:shd w:val="clear" w:color="auto" w:fill="CFF0FC"/>
          </w:tcPr>
          <w:p>
            <w:pPr>
              <w:spacing w:after="0"/>
              <w:rPr>
                <w:sz w:val="18"/>
                <w:szCs w:val="18"/>
                <w:color w:val="auto"/>
              </w:rPr>
            </w:pPr>
          </w:p>
        </w:tc>
        <w:tc>
          <w:tcPr>
            <w:tcW w:w="7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7,059</w:t>
            </w:r>
          </w:p>
        </w:tc>
        <w:tc>
          <w:tcPr>
            <w:tcW w:w="80" w:type="dxa"/>
            <w:vAlign w:val="bottom"/>
            <w:tcBorders>
              <w:bottom w:val="single" w:sz="8" w:color="CFF0FC"/>
            </w:tcBorders>
            <w:shd w:val="clear" w:color="auto" w:fill="CFF0FC"/>
          </w:tcPr>
          <w:p>
            <w:pPr>
              <w:spacing w:after="0"/>
              <w:rPr>
                <w:sz w:val="18"/>
                <w:szCs w:val="18"/>
                <w:color w:val="auto"/>
              </w:rPr>
            </w:pPr>
          </w:p>
        </w:tc>
      </w:tr>
      <w:tr>
        <w:trPr>
          <w:trHeight w:val="210"/>
        </w:trPr>
        <w:tc>
          <w:tcPr>
            <w:tcW w:w="53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current deferred revenue and advance payments</w:t>
            </w:r>
          </w:p>
        </w:tc>
        <w:tc>
          <w:tcPr>
            <w:tcW w:w="26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237,974</w:t>
            </w:r>
          </w:p>
        </w:tc>
        <w:tc>
          <w:tcPr>
            <w:tcW w:w="580" w:type="dxa"/>
            <w:vAlign w:val="bottom"/>
            <w:gridSpan w:val="2"/>
          </w:tcPr>
          <w:p>
            <w:pPr>
              <w:jc w:val="right"/>
              <w:ind w:right="170"/>
              <w:spacing w:after="0"/>
              <w:rPr>
                <w:sz w:val="20"/>
                <w:szCs w:val="20"/>
                <w:color w:val="auto"/>
              </w:rPr>
            </w:pPr>
            <w:r>
              <w:rPr>
                <w:rFonts w:ascii="Times New Roman" w:cs="Times New Roman" w:eastAsia="Times New Roman" w:hAnsi="Times New Roman"/>
                <w:sz w:val="18"/>
                <w:szCs w:val="18"/>
                <w:color w:val="auto"/>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80" w:type="dxa"/>
            <w:vAlign w:val="bottom"/>
          </w:tcPr>
          <w:p>
            <w:pPr>
              <w:spacing w:after="0"/>
              <w:rPr>
                <w:sz w:val="18"/>
                <w:szCs w:val="18"/>
                <w:color w:val="auto"/>
              </w:rPr>
            </w:pPr>
          </w:p>
        </w:tc>
      </w:tr>
      <w:tr>
        <w:trPr>
          <w:trHeight w:val="20"/>
        </w:trPr>
        <w:tc>
          <w:tcPr>
            <w:tcW w:w="5320" w:type="dxa"/>
            <w:vAlign w:val="bottom"/>
          </w:tcPr>
          <w:p>
            <w:pPr>
              <w:spacing w:after="0" w:line="20" w:lineRule="exact"/>
              <w:rPr>
                <w:sz w:val="1"/>
                <w:szCs w:val="1"/>
                <w:color w:val="auto"/>
              </w:rPr>
            </w:pPr>
          </w:p>
        </w:tc>
        <w:tc>
          <w:tcPr>
            <w:tcW w:w="260" w:type="dxa"/>
            <w:vAlign w:val="bottom"/>
            <w:tcBorders>
              <w:top w:val="single" w:sz="8" w:color="auto"/>
              <w:bottom w:val="single" w:sz="8" w:color="auto"/>
            </w:tcBorders>
          </w:tcPr>
          <w:p>
            <w:pPr>
              <w:spacing w:after="0" w:line="20" w:lineRule="exact"/>
              <w:rPr>
                <w:sz w:val="1"/>
                <w:szCs w:val="1"/>
                <w:color w:val="auto"/>
              </w:rPr>
            </w:pPr>
          </w:p>
        </w:tc>
        <w:tc>
          <w:tcPr>
            <w:tcW w:w="8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360" w:type="dxa"/>
            <w:vAlign w:val="bottom"/>
            <w:tcBorders>
              <w:top w:val="single" w:sz="8" w:color="auto"/>
              <w:bottom w:val="single" w:sz="8" w:color="auto"/>
            </w:tcBorders>
          </w:tcPr>
          <w:p>
            <w:pPr>
              <w:spacing w:after="0" w:line="20" w:lineRule="exact"/>
              <w:rPr>
                <w:sz w:val="1"/>
                <w:szCs w:val="1"/>
                <w:color w:val="auto"/>
              </w:rPr>
            </w:pPr>
          </w:p>
        </w:tc>
        <w:tc>
          <w:tcPr>
            <w:tcW w:w="76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r>
        <w:trPr>
          <w:trHeight w:val="196"/>
        </w:trPr>
        <w:tc>
          <w:tcPr>
            <w:tcW w:w="532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86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360" w:type="dxa"/>
            <w:vAlign w:val="bottom"/>
            <w:shd w:val="clear" w:color="auto" w:fill="CFF0FC"/>
          </w:tcPr>
          <w:p>
            <w:pPr>
              <w:spacing w:after="0"/>
              <w:rPr>
                <w:sz w:val="17"/>
                <w:szCs w:val="17"/>
                <w:color w:val="auto"/>
              </w:rPr>
            </w:pPr>
          </w:p>
        </w:tc>
        <w:tc>
          <w:tcPr>
            <w:tcW w:w="7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r>
      <w:tr>
        <w:trPr>
          <w:trHeight w:val="216"/>
        </w:trPr>
        <w:tc>
          <w:tcPr>
            <w:tcW w:w="5320" w:type="dxa"/>
            <w:vAlign w:val="bottom"/>
          </w:tcPr>
          <w:p>
            <w:pPr>
              <w:spacing w:after="0"/>
              <w:rPr>
                <w:sz w:val="20"/>
                <w:szCs w:val="20"/>
                <w:color w:val="auto"/>
              </w:rPr>
            </w:pPr>
            <w:r>
              <w:rPr>
                <w:rFonts w:ascii="Times New Roman" w:cs="Times New Roman" w:eastAsia="Times New Roman" w:hAnsi="Times New Roman"/>
                <w:sz w:val="18"/>
                <w:szCs w:val="18"/>
                <w:color w:val="auto"/>
              </w:rPr>
              <w:t>Non-current:</w:t>
            </w:r>
          </w:p>
        </w:tc>
        <w:tc>
          <w:tcPr>
            <w:tcW w:w="260" w:type="dxa"/>
            <w:vAlign w:val="bottom"/>
          </w:tcPr>
          <w:p>
            <w:pPr>
              <w:spacing w:after="0"/>
              <w:rPr>
                <w:sz w:val="18"/>
                <w:szCs w:val="18"/>
                <w:color w:val="auto"/>
              </w:rPr>
            </w:pPr>
          </w:p>
        </w:tc>
        <w:tc>
          <w:tcPr>
            <w:tcW w:w="8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60" w:type="dxa"/>
            <w:vAlign w:val="bottom"/>
          </w:tcPr>
          <w:p>
            <w:pPr>
              <w:spacing w:after="0"/>
              <w:rPr>
                <w:sz w:val="18"/>
                <w:szCs w:val="18"/>
                <w:color w:val="auto"/>
              </w:rPr>
            </w:pPr>
          </w:p>
        </w:tc>
        <w:tc>
          <w:tcPr>
            <w:tcW w:w="80" w:type="dxa"/>
            <w:vAlign w:val="bottom"/>
          </w:tcPr>
          <w:p>
            <w:pPr>
              <w:spacing w:after="0"/>
              <w:rPr>
                <w:sz w:val="18"/>
                <w:szCs w:val="18"/>
                <w:color w:val="auto"/>
              </w:rPr>
            </w:pPr>
          </w:p>
        </w:tc>
      </w:tr>
      <w:tr>
        <w:trPr>
          <w:trHeight w:val="216"/>
        </w:trPr>
        <w:tc>
          <w:tcPr>
            <w:tcW w:w="53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26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174</w:t>
            </w:r>
          </w:p>
        </w:tc>
        <w:tc>
          <w:tcPr>
            <w:tcW w:w="580" w:type="dxa"/>
            <w:vAlign w:val="bottom"/>
            <w:gridSpan w:val="2"/>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80" w:type="dxa"/>
            <w:vAlign w:val="bottom"/>
            <w:shd w:val="clear" w:color="auto" w:fill="CFF0FC"/>
          </w:tcPr>
          <w:p>
            <w:pPr>
              <w:spacing w:after="0"/>
              <w:rPr>
                <w:sz w:val="18"/>
                <w:szCs w:val="18"/>
                <w:color w:val="auto"/>
              </w:rPr>
            </w:pPr>
          </w:p>
        </w:tc>
      </w:tr>
      <w:tr>
        <w:trPr>
          <w:trHeight w:val="216"/>
        </w:trPr>
        <w:tc>
          <w:tcPr>
            <w:tcW w:w="5320" w:type="dxa"/>
            <w:vAlign w:val="bottom"/>
          </w:tcPr>
          <w:p>
            <w:pPr>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260" w:type="dxa"/>
            <w:vAlign w:val="bottom"/>
          </w:tcPr>
          <w:p>
            <w:pPr>
              <w:spacing w:after="0"/>
              <w:rPr>
                <w:sz w:val="18"/>
                <w:szCs w:val="18"/>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2,263</w:t>
            </w: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3,097</w:t>
            </w:r>
          </w:p>
        </w:tc>
        <w:tc>
          <w:tcPr>
            <w:tcW w:w="80" w:type="dxa"/>
            <w:vAlign w:val="bottom"/>
          </w:tcPr>
          <w:p>
            <w:pPr>
              <w:spacing w:after="0"/>
              <w:rPr>
                <w:sz w:val="18"/>
                <w:szCs w:val="18"/>
                <w:color w:val="auto"/>
              </w:rPr>
            </w:pPr>
          </w:p>
        </w:tc>
      </w:tr>
      <w:tr>
        <w:trPr>
          <w:trHeight w:val="216"/>
        </w:trPr>
        <w:tc>
          <w:tcPr>
            <w:tcW w:w="53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260" w:type="dxa"/>
            <w:vAlign w:val="bottom"/>
            <w:shd w:val="clear" w:color="auto" w:fill="CFF0FC"/>
          </w:tcPr>
          <w:p>
            <w:pPr>
              <w:spacing w:after="0"/>
              <w:rPr>
                <w:sz w:val="18"/>
                <w:szCs w:val="18"/>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2,111</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4,984</w:t>
            </w:r>
          </w:p>
        </w:tc>
        <w:tc>
          <w:tcPr>
            <w:tcW w:w="80" w:type="dxa"/>
            <w:vAlign w:val="bottom"/>
            <w:shd w:val="clear" w:color="auto" w:fill="CFF0FC"/>
          </w:tcPr>
          <w:p>
            <w:pPr>
              <w:spacing w:after="0"/>
              <w:rPr>
                <w:sz w:val="18"/>
                <w:szCs w:val="18"/>
                <w:color w:val="auto"/>
              </w:rPr>
            </w:pPr>
          </w:p>
        </w:tc>
      </w:tr>
      <w:tr>
        <w:trPr>
          <w:trHeight w:val="216"/>
        </w:trPr>
        <w:tc>
          <w:tcPr>
            <w:tcW w:w="5320" w:type="dxa"/>
            <w:vAlign w:val="bottom"/>
          </w:tcPr>
          <w:p>
            <w:pPr>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260" w:type="dxa"/>
            <w:vAlign w:val="bottom"/>
            <w:tcBorders>
              <w:bottom w:val="single" w:sz="8" w:color="auto"/>
            </w:tcBorders>
          </w:tcPr>
          <w:p>
            <w:pPr>
              <w:spacing w:after="0"/>
              <w:rPr>
                <w:sz w:val="18"/>
                <w:szCs w:val="18"/>
                <w:color w:val="auto"/>
              </w:rPr>
            </w:pPr>
          </w:p>
        </w:tc>
        <w:tc>
          <w:tcPr>
            <w:tcW w:w="8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422</w:t>
            </w:r>
          </w:p>
        </w:tc>
        <w:tc>
          <w:tcPr>
            <w:tcW w:w="220" w:type="dxa"/>
            <w:vAlign w:val="bottom"/>
          </w:tcPr>
          <w:p>
            <w:pPr>
              <w:spacing w:after="0"/>
              <w:rPr>
                <w:sz w:val="18"/>
                <w:szCs w:val="18"/>
                <w:color w:val="auto"/>
              </w:rPr>
            </w:pPr>
          </w:p>
        </w:tc>
        <w:tc>
          <w:tcPr>
            <w:tcW w:w="360" w:type="dxa"/>
            <w:vAlign w:val="bottom"/>
            <w:tcBorders>
              <w:bottom w:val="single" w:sz="8" w:color="auto"/>
            </w:tcBorders>
          </w:tcPr>
          <w:p>
            <w:pPr>
              <w:spacing w:after="0"/>
              <w:rPr>
                <w:sz w:val="18"/>
                <w:szCs w:val="18"/>
                <w:color w:val="auto"/>
              </w:rPr>
            </w:pPr>
          </w:p>
        </w:tc>
        <w:tc>
          <w:tcPr>
            <w:tcW w:w="7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443</w:t>
            </w:r>
          </w:p>
        </w:tc>
        <w:tc>
          <w:tcPr>
            <w:tcW w:w="80" w:type="dxa"/>
            <w:vAlign w:val="bottom"/>
          </w:tcPr>
          <w:p>
            <w:pPr>
              <w:spacing w:after="0"/>
              <w:rPr>
                <w:sz w:val="18"/>
                <w:szCs w:val="18"/>
                <w:color w:val="auto"/>
              </w:rPr>
            </w:pPr>
          </w:p>
        </w:tc>
      </w:tr>
      <w:tr>
        <w:trPr>
          <w:trHeight w:val="249"/>
        </w:trPr>
        <w:tc>
          <w:tcPr>
            <w:tcW w:w="5320" w:type="dxa"/>
            <w:vAlign w:val="bottom"/>
            <w:tcBorders>
              <w:bottom w:val="single" w:sz="8" w:color="CFF0FC"/>
            </w:tcBorders>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Total non-current deferred revenue and advance payments</w:t>
            </w:r>
          </w:p>
        </w:tc>
        <w:tc>
          <w:tcPr>
            <w:tcW w:w="260" w:type="dxa"/>
            <w:vAlign w:val="bottom"/>
            <w:tcBorders>
              <w:bottom w:val="single" w:sz="8" w:color="auto"/>
            </w:tcBorders>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4,970</w:t>
            </w:r>
          </w:p>
        </w:tc>
        <w:tc>
          <w:tcPr>
            <w:tcW w:w="220" w:type="dxa"/>
            <w:vAlign w:val="bottom"/>
            <w:tcBorders>
              <w:bottom w:val="single" w:sz="8" w:color="CFF0FC"/>
            </w:tcBorders>
            <w:shd w:val="clear" w:color="auto" w:fill="CFF0FC"/>
          </w:tcPr>
          <w:p>
            <w:pPr>
              <w:spacing w:after="0"/>
              <w:rPr>
                <w:sz w:val="21"/>
                <w:szCs w:val="21"/>
                <w:color w:val="auto"/>
              </w:rPr>
            </w:pPr>
          </w:p>
        </w:tc>
        <w:tc>
          <w:tcPr>
            <w:tcW w:w="360" w:type="dxa"/>
            <w:vAlign w:val="bottom"/>
            <w:tcBorders>
              <w:bottom w:val="single" w:sz="8" w:color="auto"/>
            </w:tcBorders>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80" w:type="dxa"/>
            <w:vAlign w:val="bottom"/>
            <w:tcBorders>
              <w:bottom w:val="single" w:sz="8" w:color="CFF0FC"/>
            </w:tcBorders>
            <w:shd w:val="clear" w:color="auto" w:fill="CFF0FC"/>
          </w:tcPr>
          <w:p>
            <w:pPr>
              <w:spacing w:after="0"/>
              <w:rPr>
                <w:sz w:val="21"/>
                <w:szCs w:val="2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5173980</wp:posOffset>
            </wp:positionH>
            <wp:positionV relativeFrom="paragraph">
              <wp:posOffset>-1165225</wp:posOffset>
            </wp:positionV>
            <wp:extent cx="51435" cy="8255"/>
            <wp:wrapNone/>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306">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-1165225</wp:posOffset>
            </wp:positionV>
            <wp:extent cx="51435" cy="8255"/>
            <wp:wrapNone/>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7">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5173980</wp:posOffset>
            </wp:positionH>
            <wp:positionV relativeFrom="paragraph">
              <wp:posOffset>-25400</wp:posOffset>
            </wp:positionV>
            <wp:extent cx="51435" cy="8890"/>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8">
                      <a:extLst>
                        <a:ext uri="{28A0092B-C50C-407E-A947-70E740481C1C}"/>
                      </a:extLst>
                    </a:blip>
                    <a:srcRect/>
                    <a:stretch>
                      <a:fillRect/>
                    </a:stretch>
                  </pic:blipFill>
                  <pic:spPr bwMode="auto">
                    <a:xfrm>
                      <a:off x="0" y="0"/>
                      <a:ext cx="51435" cy="8890"/>
                    </a:xfrm>
                    <a:prstGeom prst="rect">
                      <a:avLst/>
                    </a:prstGeom>
                    <a:noFill/>
                  </pic:spPr>
                </pic:pic>
              </a:graphicData>
            </a:graphic>
          </wp:anchor>
        </w:drawing>
        <w:drawing>
          <wp:anchor simplePos="0" relativeHeight="251657728" behindDoc="1" locked="0" layoutInCell="0" allowOverlap="1">
            <wp:simplePos x="0" y="0"/>
            <wp:positionH relativeFrom="column">
              <wp:posOffset>5173980</wp:posOffset>
            </wp:positionH>
            <wp:positionV relativeFrom="paragraph">
              <wp:posOffset>-8255</wp:posOffset>
            </wp:positionV>
            <wp:extent cx="51435" cy="8890"/>
            <wp:wrapNone/>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09">
                      <a:extLst>
                        <a:ext uri="{28A0092B-C50C-407E-A947-70E740481C1C}"/>
                      </a:extLst>
                    </a:blip>
                    <a:srcRect/>
                    <a:stretch>
                      <a:fillRect/>
                    </a:stretch>
                  </pic:blipFill>
                  <pic:spPr bwMode="auto">
                    <a:xfrm>
                      <a:off x="0" y="0"/>
                      <a:ext cx="51435" cy="8890"/>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-25400</wp:posOffset>
            </wp:positionV>
            <wp:extent cx="51435" cy="8890"/>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10">
                      <a:extLst>
                        <a:ext uri="{28A0092B-C50C-407E-A947-70E740481C1C}"/>
                      </a:extLst>
                    </a:blip>
                    <a:srcRect/>
                    <a:stretch>
                      <a:fillRect/>
                    </a:stretch>
                  </pic:blipFill>
                  <pic:spPr bwMode="auto">
                    <a:xfrm>
                      <a:off x="0" y="0"/>
                      <a:ext cx="51435" cy="8890"/>
                    </a:xfrm>
                    <a:prstGeom prst="rect">
                      <a:avLst/>
                    </a:prstGeom>
                    <a:noFill/>
                  </pic:spPr>
                </pic:pic>
              </a:graphicData>
            </a:graphic>
          </wp:anchor>
        </w:drawing>
        <w:drawing>
          <wp:anchor simplePos="0" relativeHeight="251657728" behindDoc="1" locked="0" layoutInCell="0" allowOverlap="1">
            <wp:simplePos x="0" y="0"/>
            <wp:positionH relativeFrom="column">
              <wp:posOffset>6014085</wp:posOffset>
            </wp:positionH>
            <wp:positionV relativeFrom="paragraph">
              <wp:posOffset>-8255</wp:posOffset>
            </wp:positionV>
            <wp:extent cx="51435" cy="8890"/>
            <wp:wrapNone/>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11">
                      <a:extLst>
                        <a:ext uri="{28A0092B-C50C-407E-A947-70E740481C1C}"/>
                      </a:extLst>
                    </a:blip>
                    <a:srcRect/>
                    <a:stretch>
                      <a:fillRect/>
                    </a:stretch>
                  </pic:blipFill>
                  <pic:spPr bwMode="auto">
                    <a:xfrm>
                      <a:off x="0" y="0"/>
                      <a:ext cx="51435" cy="8890"/>
                    </a:xfrm>
                    <a:prstGeom prst="rect">
                      <a:avLst/>
                    </a:prstGeom>
                    <a:noFill/>
                  </pic:spPr>
                </pic:pic>
              </a:graphicData>
            </a:graphic>
          </wp:anchor>
        </w:drawing>
      </w:r>
    </w:p>
    <w:p>
      <w:pPr>
        <w:spacing w:after="0" w:line="17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During the years ended December 31, 2024, 2023, and 2022, the Company recognized revenues of $225.4 million, $215.9 million, and $203.1 million, respectively, from amounts included in the total deferred revenue and advance payments balances at the beginning of the respective year. For the years ended December 31, 2024, 2023, and 2022, there were no significant changes in the timing of revenue recognition on the Company’s deferred balances.</w:t>
      </w:r>
    </w:p>
    <w:p>
      <w:pPr>
        <w:spacing w:after="0" w:line="68"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Company’s remaining performance obligation represents all future revenue under contract and includes deferred revenue and advance payments and billable non-cancelable amounts that will be invoiced and recognized as revenue in future periods. The remaining performance obligation excludes contracts that are billed in arrears, such as certain time and materials contracts. The portions of multi-year contracts that will be invoiced in the future are not presented on the balance sheet within accounts receivable and deferred revenues and are instead included in the following remaining performance obligation disclosure. As of December 31, 2024, the Company had an aggregate transaction price of $454.9 million allocated to the remaining performance obligation related to subscription services, product support, product licenses, and other services contracts. The Company expects to recognize $278.4 million within the next 12 months and the remainder thereafter.</w:t>
      </w:r>
    </w:p>
    <w:p>
      <w:pPr>
        <w:spacing w:after="0" w:line="200" w:lineRule="exact"/>
        <w:rPr>
          <w:sz w:val="20"/>
          <w:szCs w:val="20"/>
          <w:color w:val="auto"/>
        </w:rPr>
      </w:pPr>
    </w:p>
    <w:p>
      <w:pPr>
        <w:spacing w:after="0" w:line="20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1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89" w:name="page90"/>
    <w:bookmarkEnd w:id="89"/>
    <w:p>
      <w:pPr>
        <w:spacing w:after="0"/>
        <w:rPr>
          <w:sz w:val="20"/>
          <w:szCs w:val="20"/>
          <w:color w:val="auto"/>
        </w:rPr>
      </w:pPr>
      <w:r>
        <w:rPr>
          <w:rFonts w:ascii="Times New Roman" w:cs="Times New Roman" w:eastAsia="Times New Roman" w:hAnsi="Times New Roman"/>
          <w:sz w:val="18"/>
          <w:szCs w:val="18"/>
          <w:b w:val="1"/>
          <w:bCs w:val="1"/>
          <w:color w:val="auto"/>
        </w:rPr>
        <w:t>(6) Property and Equipment</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Property and equipment (in thousands) consisted of the following, as of:</w:t>
      </w:r>
    </w:p>
    <w:p>
      <w:pPr>
        <w:spacing w:after="0" w:line="219" w:lineRule="exact"/>
        <w:rPr>
          <w:sz w:val="20"/>
          <w:szCs w:val="20"/>
          <w:color w:val="auto"/>
        </w:rPr>
      </w:pPr>
    </w:p>
    <w:tbl>
      <w:tblPr>
        <w:tblLayout w:type="fixed"/>
        <w:tblInd w:w="1700" w:type="dxa"/>
        <w:tblCellMar>
          <w:top w:w="0" w:type="dxa"/>
          <w:left w:w="0" w:type="dxa"/>
          <w:bottom w:w="0" w:type="dxa"/>
          <w:right w:w="0" w:type="dxa"/>
        </w:tblCellMar>
      </w:tblPr>
      <w:tr>
        <w:trPr>
          <w:trHeight w:val="173"/>
        </w:trPr>
        <w:tc>
          <w:tcPr>
            <w:tcW w:w="5300" w:type="dxa"/>
            <w:vAlign w:val="bottom"/>
          </w:tcPr>
          <w:p>
            <w:pPr>
              <w:spacing w:after="0"/>
              <w:rPr>
                <w:sz w:val="15"/>
                <w:szCs w:val="15"/>
                <w:color w:val="auto"/>
              </w:rPr>
            </w:pPr>
          </w:p>
        </w:tc>
        <w:tc>
          <w:tcPr>
            <w:tcW w:w="260" w:type="dxa"/>
            <w:vAlign w:val="bottom"/>
            <w:tcBorders>
              <w:bottom w:val="single" w:sz="8" w:color="auto"/>
            </w:tcBorders>
          </w:tcPr>
          <w:p>
            <w:pPr>
              <w:spacing w:after="0"/>
              <w:rPr>
                <w:sz w:val="15"/>
                <w:szCs w:val="15"/>
                <w:color w:val="auto"/>
              </w:rPr>
            </w:pPr>
          </w:p>
        </w:tc>
        <w:tc>
          <w:tcPr>
            <w:tcW w:w="144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76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5300" w:type="dxa"/>
            <w:vAlign w:val="bottom"/>
          </w:tcPr>
          <w:p>
            <w:pPr>
              <w:spacing w:after="0"/>
              <w:rPr>
                <w:sz w:val="12"/>
                <w:szCs w:val="12"/>
                <w:color w:val="auto"/>
              </w:rPr>
            </w:pPr>
          </w:p>
        </w:tc>
        <w:tc>
          <w:tcPr>
            <w:tcW w:w="260" w:type="dxa"/>
            <w:vAlign w:val="bottom"/>
            <w:tcBorders>
              <w:bottom w:val="single" w:sz="8" w:color="auto"/>
            </w:tcBorders>
          </w:tcPr>
          <w:p>
            <w:pPr>
              <w:spacing w:after="0"/>
              <w:rPr>
                <w:sz w:val="12"/>
                <w:szCs w:val="12"/>
                <w:color w:val="auto"/>
              </w:rPr>
            </w:pPr>
          </w:p>
        </w:tc>
        <w:tc>
          <w:tcPr>
            <w:tcW w:w="860" w:type="dxa"/>
            <w:vAlign w:val="bottom"/>
            <w:tcBorders>
              <w:bottom w:val="single" w:sz="8" w:color="auto"/>
            </w:tcBorders>
          </w:tcPr>
          <w:p>
            <w:pPr>
              <w:jc w:val="right"/>
              <w:ind w:right="334"/>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2"/>
                <w:szCs w:val="12"/>
                <w:color w:val="auto"/>
              </w:rPr>
            </w:pPr>
          </w:p>
        </w:tc>
        <w:tc>
          <w:tcPr>
            <w:tcW w:w="360" w:type="dxa"/>
            <w:vAlign w:val="bottom"/>
            <w:tcBorders>
              <w:bottom w:val="single" w:sz="8" w:color="auto"/>
            </w:tcBorders>
          </w:tcPr>
          <w:p>
            <w:pPr>
              <w:spacing w:after="0"/>
              <w:rPr>
                <w:sz w:val="12"/>
                <w:szCs w:val="12"/>
                <w:color w:val="auto"/>
              </w:rPr>
            </w:pPr>
          </w:p>
        </w:tc>
        <w:tc>
          <w:tcPr>
            <w:tcW w:w="760" w:type="dxa"/>
            <w:vAlign w:val="bottom"/>
            <w:tcBorders>
              <w:bottom w:val="single" w:sz="8" w:color="auto"/>
            </w:tcBorders>
          </w:tcPr>
          <w:p>
            <w:pPr>
              <w:jc w:val="right"/>
              <w:ind w:right="332"/>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r>
      <w:tr>
        <w:trPr>
          <w:trHeight w:val="209"/>
        </w:trPr>
        <w:tc>
          <w:tcPr>
            <w:tcW w:w="53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Corporate aircraft and related equipment</w:t>
            </w:r>
          </w:p>
        </w:tc>
        <w:tc>
          <w:tcPr>
            <w:tcW w:w="26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w w:val="88"/>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48,645</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48,645</w:t>
            </w:r>
          </w:p>
        </w:tc>
        <w:tc>
          <w:tcPr>
            <w:tcW w:w="100" w:type="dxa"/>
            <w:vAlign w:val="bottom"/>
            <w:shd w:val="clear" w:color="auto" w:fill="CFF0FC"/>
          </w:tcPr>
          <w:p>
            <w:pPr>
              <w:spacing w:after="0"/>
              <w:rPr>
                <w:sz w:val="18"/>
                <w:szCs w:val="18"/>
                <w:color w:val="auto"/>
              </w:rPr>
            </w:pPr>
          </w:p>
        </w:tc>
      </w:tr>
      <w:tr>
        <w:trPr>
          <w:trHeight w:val="216"/>
        </w:trPr>
        <w:tc>
          <w:tcPr>
            <w:tcW w:w="5300" w:type="dxa"/>
            <w:vAlign w:val="bottom"/>
          </w:tcPr>
          <w:p>
            <w:pPr>
              <w:spacing w:after="0"/>
              <w:rPr>
                <w:sz w:val="20"/>
                <w:szCs w:val="20"/>
                <w:color w:val="auto"/>
              </w:rPr>
            </w:pPr>
            <w:r>
              <w:rPr>
                <w:rFonts w:ascii="Times New Roman" w:cs="Times New Roman" w:eastAsia="Times New Roman" w:hAnsi="Times New Roman"/>
                <w:sz w:val="18"/>
                <w:szCs w:val="18"/>
                <w:color w:val="auto"/>
              </w:rPr>
              <w:t>Computer equipment and purchased software</w:t>
            </w:r>
          </w:p>
        </w:tc>
        <w:tc>
          <w:tcPr>
            <w:tcW w:w="260" w:type="dxa"/>
            <w:vAlign w:val="bottom"/>
          </w:tcPr>
          <w:p>
            <w:pPr>
              <w:spacing w:after="0"/>
              <w:rPr>
                <w:sz w:val="18"/>
                <w:szCs w:val="18"/>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61,828</w:t>
            </w: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60,979</w:t>
            </w:r>
          </w:p>
        </w:tc>
        <w:tc>
          <w:tcPr>
            <w:tcW w:w="100" w:type="dxa"/>
            <w:vAlign w:val="bottom"/>
          </w:tcPr>
          <w:p>
            <w:pPr>
              <w:spacing w:after="0"/>
              <w:rPr>
                <w:sz w:val="18"/>
                <w:szCs w:val="18"/>
                <w:color w:val="auto"/>
              </w:rPr>
            </w:pPr>
          </w:p>
        </w:tc>
      </w:tr>
      <w:tr>
        <w:trPr>
          <w:trHeight w:val="216"/>
        </w:trPr>
        <w:tc>
          <w:tcPr>
            <w:tcW w:w="53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Furniture and equipment</w:t>
            </w:r>
          </w:p>
        </w:tc>
        <w:tc>
          <w:tcPr>
            <w:tcW w:w="260" w:type="dxa"/>
            <w:vAlign w:val="bottom"/>
            <w:shd w:val="clear" w:color="auto" w:fill="CFF0FC"/>
          </w:tcPr>
          <w:p>
            <w:pPr>
              <w:spacing w:after="0"/>
              <w:rPr>
                <w:sz w:val="18"/>
                <w:szCs w:val="18"/>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9,708</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9,920</w:t>
            </w:r>
          </w:p>
        </w:tc>
        <w:tc>
          <w:tcPr>
            <w:tcW w:w="100" w:type="dxa"/>
            <w:vAlign w:val="bottom"/>
            <w:shd w:val="clear" w:color="auto" w:fill="CFF0FC"/>
          </w:tcPr>
          <w:p>
            <w:pPr>
              <w:spacing w:after="0"/>
              <w:rPr>
                <w:sz w:val="18"/>
                <w:szCs w:val="18"/>
                <w:color w:val="auto"/>
              </w:rPr>
            </w:pPr>
          </w:p>
        </w:tc>
      </w:tr>
      <w:tr>
        <w:trPr>
          <w:trHeight w:val="216"/>
        </w:trPr>
        <w:tc>
          <w:tcPr>
            <w:tcW w:w="5300" w:type="dxa"/>
            <w:vAlign w:val="bottom"/>
          </w:tcPr>
          <w:p>
            <w:pPr>
              <w:spacing w:after="0"/>
              <w:rPr>
                <w:sz w:val="20"/>
                <w:szCs w:val="20"/>
                <w:color w:val="auto"/>
              </w:rPr>
            </w:pPr>
            <w:r>
              <w:rPr>
                <w:rFonts w:ascii="Times New Roman" w:cs="Times New Roman" w:eastAsia="Times New Roman" w:hAnsi="Times New Roman"/>
                <w:sz w:val="18"/>
                <w:szCs w:val="18"/>
                <w:color w:val="auto"/>
              </w:rPr>
              <w:t>Leasehold improvements</w:t>
            </w:r>
          </w:p>
        </w:tc>
        <w:tc>
          <w:tcPr>
            <w:tcW w:w="260" w:type="dxa"/>
            <w:vAlign w:val="bottom"/>
          </w:tcPr>
          <w:p>
            <w:pPr>
              <w:spacing w:after="0"/>
              <w:rPr>
                <w:sz w:val="18"/>
                <w:szCs w:val="18"/>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29,547</w:t>
            </w: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29,944</w:t>
            </w:r>
          </w:p>
        </w:tc>
        <w:tc>
          <w:tcPr>
            <w:tcW w:w="100" w:type="dxa"/>
            <w:vAlign w:val="bottom"/>
          </w:tcPr>
          <w:p>
            <w:pPr>
              <w:spacing w:after="0"/>
              <w:rPr>
                <w:sz w:val="18"/>
                <w:szCs w:val="18"/>
                <w:color w:val="auto"/>
              </w:rPr>
            </w:pPr>
          </w:p>
        </w:tc>
      </w:tr>
      <w:tr>
        <w:trPr>
          <w:trHeight w:val="216"/>
        </w:trPr>
        <w:tc>
          <w:tcPr>
            <w:tcW w:w="530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Internally developed software</w:t>
            </w:r>
          </w:p>
        </w:tc>
        <w:tc>
          <w:tcPr>
            <w:tcW w:w="260" w:type="dxa"/>
            <w:vAlign w:val="bottom"/>
            <w:tcBorders>
              <w:bottom w:val="single" w:sz="8" w:color="auto"/>
            </w:tcBorders>
            <w:shd w:val="clear" w:color="auto" w:fill="CFF0FC"/>
          </w:tcPr>
          <w:p>
            <w:pPr>
              <w:spacing w:after="0"/>
              <w:rPr>
                <w:sz w:val="18"/>
                <w:szCs w:val="18"/>
                <w:color w:val="auto"/>
              </w:rPr>
            </w:pPr>
          </w:p>
        </w:tc>
        <w:tc>
          <w:tcPr>
            <w:tcW w:w="8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9,917</w:t>
            </w:r>
          </w:p>
        </w:tc>
        <w:tc>
          <w:tcPr>
            <w:tcW w:w="220" w:type="dxa"/>
            <w:vAlign w:val="bottom"/>
            <w:tcBorders>
              <w:bottom w:val="single" w:sz="8" w:color="CFF0FC"/>
            </w:tcBorders>
            <w:shd w:val="clear" w:color="auto" w:fill="CFF0FC"/>
          </w:tcPr>
          <w:p>
            <w:pPr>
              <w:spacing w:after="0"/>
              <w:rPr>
                <w:sz w:val="18"/>
                <w:szCs w:val="18"/>
                <w:color w:val="auto"/>
              </w:rPr>
            </w:pPr>
          </w:p>
        </w:tc>
        <w:tc>
          <w:tcPr>
            <w:tcW w:w="360" w:type="dxa"/>
            <w:vAlign w:val="bottom"/>
            <w:tcBorders>
              <w:bottom w:val="single" w:sz="8" w:color="auto"/>
            </w:tcBorders>
            <w:shd w:val="clear" w:color="auto" w:fill="CFF0FC"/>
          </w:tcPr>
          <w:p>
            <w:pPr>
              <w:spacing w:after="0"/>
              <w:rPr>
                <w:sz w:val="18"/>
                <w:szCs w:val="18"/>
                <w:color w:val="auto"/>
              </w:rPr>
            </w:pPr>
          </w:p>
        </w:tc>
        <w:tc>
          <w:tcPr>
            <w:tcW w:w="7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9,917</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5300" w:type="dxa"/>
            <w:vAlign w:val="bottom"/>
          </w:tcPr>
          <w:p>
            <w:pPr>
              <w:spacing w:after="0"/>
              <w:rPr>
                <w:sz w:val="20"/>
                <w:szCs w:val="20"/>
                <w:color w:val="auto"/>
              </w:rPr>
            </w:pPr>
            <w:r>
              <w:rPr>
                <w:rFonts w:ascii="Times New Roman" w:cs="Times New Roman" w:eastAsia="Times New Roman" w:hAnsi="Times New Roman"/>
                <w:sz w:val="18"/>
                <w:szCs w:val="18"/>
                <w:color w:val="auto"/>
              </w:rPr>
              <w:t>Property and equipment, gross</w:t>
            </w:r>
          </w:p>
        </w:tc>
        <w:tc>
          <w:tcPr>
            <w:tcW w:w="260" w:type="dxa"/>
            <w:vAlign w:val="bottom"/>
          </w:tcPr>
          <w:p>
            <w:pPr>
              <w:spacing w:after="0"/>
              <w:rPr>
                <w:sz w:val="18"/>
                <w:szCs w:val="18"/>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159,645</w:t>
            </w: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159,405</w:t>
            </w:r>
          </w:p>
        </w:tc>
        <w:tc>
          <w:tcPr>
            <w:tcW w:w="100" w:type="dxa"/>
            <w:vAlign w:val="bottom"/>
          </w:tcPr>
          <w:p>
            <w:pPr>
              <w:spacing w:after="0"/>
              <w:rPr>
                <w:sz w:val="18"/>
                <w:szCs w:val="18"/>
                <w:color w:val="auto"/>
              </w:rPr>
            </w:pPr>
          </w:p>
        </w:tc>
      </w:tr>
      <w:tr>
        <w:trPr>
          <w:trHeight w:val="216"/>
        </w:trPr>
        <w:tc>
          <w:tcPr>
            <w:tcW w:w="53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Less: accumulated depreciation and amortization</w:t>
            </w:r>
          </w:p>
        </w:tc>
        <w:tc>
          <w:tcPr>
            <w:tcW w:w="260" w:type="dxa"/>
            <w:vAlign w:val="bottom"/>
            <w:shd w:val="clear" w:color="auto" w:fill="CFF0FC"/>
          </w:tcPr>
          <w:p>
            <w:pPr>
              <w:spacing w:after="0"/>
              <w:rPr>
                <w:sz w:val="18"/>
                <w:szCs w:val="18"/>
                <w:color w:val="auto"/>
              </w:rPr>
            </w:pPr>
          </w:p>
        </w:tc>
        <w:tc>
          <w:tcPr>
            <w:tcW w:w="10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(133,318 )</w:t>
            </w:r>
          </w:p>
        </w:tc>
        <w:tc>
          <w:tcPr>
            <w:tcW w:w="360" w:type="dxa"/>
            <w:vAlign w:val="bottom"/>
            <w:shd w:val="clear" w:color="auto" w:fill="CFF0FC"/>
          </w:tcPr>
          <w:p>
            <w:pPr>
              <w:spacing w:after="0"/>
              <w:rPr>
                <w:sz w:val="18"/>
                <w:szCs w:val="18"/>
                <w:color w:val="auto"/>
              </w:rPr>
            </w:pPr>
          </w:p>
        </w:tc>
        <w:tc>
          <w:tcPr>
            <w:tcW w:w="8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(130,464 )</w:t>
            </w:r>
          </w:p>
        </w:tc>
      </w:tr>
      <w:tr>
        <w:trPr>
          <w:trHeight w:val="210"/>
        </w:trPr>
        <w:tc>
          <w:tcPr>
            <w:tcW w:w="5300" w:type="dxa"/>
            <w:vAlign w:val="bottom"/>
            <w:tcBorders>
              <w:top w:val="single" w:sz="8" w:color="CFF0FC"/>
            </w:tcBorders>
          </w:tcPr>
          <w:p>
            <w:pPr>
              <w:spacing w:after="0"/>
              <w:rPr>
                <w:sz w:val="20"/>
                <w:szCs w:val="20"/>
                <w:color w:val="auto"/>
              </w:rPr>
            </w:pPr>
            <w:r>
              <w:rPr>
                <w:rFonts w:ascii="Times New Roman" w:cs="Times New Roman" w:eastAsia="Times New Roman" w:hAnsi="Times New Roman"/>
                <w:sz w:val="18"/>
                <w:szCs w:val="18"/>
                <w:color w:val="auto"/>
              </w:rPr>
              <w:t>Property and equipment, net</w:t>
            </w:r>
          </w:p>
        </w:tc>
        <w:tc>
          <w:tcPr>
            <w:tcW w:w="260" w:type="dxa"/>
            <w:vAlign w:val="bottom"/>
            <w:tcBorders>
              <w:top w:val="single" w:sz="8" w:color="auto"/>
              <w:bottom w:val="single" w:sz="8" w:color="auto"/>
            </w:tcBorders>
          </w:tcPr>
          <w:p>
            <w:pPr>
              <w:jc w:val="right"/>
              <w:ind w:right="70"/>
              <w:spacing w:after="0"/>
              <w:rPr>
                <w:sz w:val="20"/>
                <w:szCs w:val="20"/>
                <w:color w:val="auto"/>
              </w:rPr>
            </w:pPr>
            <w:r>
              <w:rPr>
                <w:rFonts w:ascii="Times New Roman" w:cs="Times New Roman" w:eastAsia="Times New Roman" w:hAnsi="Times New Roman"/>
                <w:sz w:val="18"/>
                <w:szCs w:val="18"/>
                <w:color w:val="auto"/>
                <w:w w:val="88"/>
              </w:rPr>
              <w:t>$</w:t>
            </w:r>
          </w:p>
        </w:tc>
        <w:tc>
          <w:tcPr>
            <w:tcW w:w="86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26,327</w:t>
            </w:r>
          </w:p>
        </w:tc>
        <w:tc>
          <w:tcPr>
            <w:tcW w:w="220" w:type="dxa"/>
            <w:vAlign w:val="bottom"/>
            <w:tcBorders>
              <w:top w:val="single" w:sz="8" w:color="CFF0FC"/>
            </w:tcBorders>
          </w:tcPr>
          <w:p>
            <w:pPr>
              <w:spacing w:after="0"/>
              <w:rPr>
                <w:sz w:val="18"/>
                <w:szCs w:val="18"/>
                <w:color w:val="auto"/>
              </w:rPr>
            </w:pPr>
          </w:p>
        </w:tc>
        <w:tc>
          <w:tcPr>
            <w:tcW w:w="360" w:type="dxa"/>
            <w:vAlign w:val="bottom"/>
            <w:tcBorders>
              <w:top w:val="single" w:sz="8" w:color="auto"/>
              <w:bottom w:val="single" w:sz="8" w:color="auto"/>
            </w:tcBorders>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28,941</w:t>
            </w:r>
          </w:p>
        </w:tc>
        <w:tc>
          <w:tcPr>
            <w:tcW w:w="100" w:type="dxa"/>
            <w:vAlign w:val="bottom"/>
            <w:tcBorders>
              <w:top w:val="single" w:sz="8" w:color="CFF0FC"/>
            </w:tcBorders>
          </w:tcPr>
          <w:p>
            <w:pPr>
              <w:spacing w:after="0"/>
              <w:rPr>
                <w:sz w:val="18"/>
                <w:szCs w:val="18"/>
                <w:color w:val="auto"/>
              </w:rPr>
            </w:pPr>
          </w:p>
        </w:tc>
      </w:tr>
      <w:tr>
        <w:trPr>
          <w:trHeight w:val="20"/>
        </w:trPr>
        <w:tc>
          <w:tcPr>
            <w:tcW w:w="5300" w:type="dxa"/>
            <w:vAlign w:val="bottom"/>
          </w:tcPr>
          <w:p>
            <w:pPr>
              <w:spacing w:after="0" w:line="20" w:lineRule="exact"/>
              <w:rPr>
                <w:sz w:val="1"/>
                <w:szCs w:val="1"/>
                <w:color w:val="auto"/>
              </w:rPr>
            </w:pPr>
          </w:p>
        </w:tc>
        <w:tc>
          <w:tcPr>
            <w:tcW w:w="260" w:type="dxa"/>
            <w:vAlign w:val="bottom"/>
            <w:tcBorders>
              <w:bottom w:val="single" w:sz="8" w:color="auto"/>
            </w:tcBorders>
          </w:tcPr>
          <w:p>
            <w:pPr>
              <w:spacing w:after="0" w:line="20" w:lineRule="exact"/>
              <w:rPr>
                <w:sz w:val="1"/>
                <w:szCs w:val="1"/>
                <w:color w:val="auto"/>
              </w:rPr>
            </w:pPr>
          </w:p>
        </w:tc>
        <w:tc>
          <w:tcPr>
            <w:tcW w:w="860" w:type="dxa"/>
            <w:vAlign w:val="bottom"/>
            <w:tcBorders>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360" w:type="dxa"/>
            <w:vAlign w:val="bottom"/>
            <w:tcBorders>
              <w:bottom w:val="single" w:sz="8" w:color="auto"/>
            </w:tcBorders>
          </w:tcPr>
          <w:p>
            <w:pPr>
              <w:spacing w:after="0" w:line="20" w:lineRule="exact"/>
              <w:rPr>
                <w:sz w:val="1"/>
                <w:szCs w:val="1"/>
                <w:color w:val="auto"/>
              </w:rPr>
            </w:pPr>
          </w:p>
        </w:tc>
        <w:tc>
          <w:tcPr>
            <w:tcW w:w="76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5156835</wp:posOffset>
            </wp:positionH>
            <wp:positionV relativeFrom="paragraph">
              <wp:posOffset>-453390</wp:posOffset>
            </wp:positionV>
            <wp:extent cx="60325" cy="8255"/>
            <wp:wrapNone/>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13">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-453390</wp:posOffset>
            </wp:positionV>
            <wp:extent cx="60325" cy="8255"/>
            <wp:wrapNone/>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314">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5156835</wp:posOffset>
            </wp:positionH>
            <wp:positionV relativeFrom="paragraph">
              <wp:posOffset>-170815</wp:posOffset>
            </wp:positionV>
            <wp:extent cx="60325" cy="8890"/>
            <wp:wrapNone/>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15">
                      <a:extLst>
                        <a:ext uri="{28A0092B-C50C-407E-A947-70E740481C1C}"/>
                      </a:extLst>
                    </a:blip>
                    <a:srcRect/>
                    <a:stretch>
                      <a:fillRect/>
                    </a:stretch>
                  </pic:blipFill>
                  <pic:spPr bwMode="auto">
                    <a:xfrm>
                      <a:off x="0" y="0"/>
                      <a:ext cx="60325" cy="8890"/>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-170815</wp:posOffset>
            </wp:positionV>
            <wp:extent cx="60325" cy="8890"/>
            <wp:wrapNone/>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316">
                      <a:extLst>
                        <a:ext uri="{28A0092B-C50C-407E-A947-70E740481C1C}"/>
                      </a:extLst>
                    </a:blip>
                    <a:srcRect/>
                    <a:stretch>
                      <a:fillRect/>
                    </a:stretch>
                  </pic:blipFill>
                  <pic:spPr bwMode="auto">
                    <a:xfrm>
                      <a:off x="0" y="0"/>
                      <a:ext cx="60325" cy="8890"/>
                    </a:xfrm>
                    <a:prstGeom prst="rect">
                      <a:avLst/>
                    </a:prstGeom>
                    <a:noFill/>
                  </pic:spPr>
                </pic:pic>
              </a:graphicData>
            </a:graphic>
          </wp:anchor>
        </w:drawing>
      </w:r>
    </w:p>
    <w:p>
      <w:pPr>
        <w:spacing w:after="0" w:line="17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Depreciation and amortization expenses related to property and equipment were $5.6 million, $6.4 million, and $6.7 million for the years ended December 31, 2024, 2023, and 2022, respectively.</w:t>
      </w:r>
    </w:p>
    <w:p>
      <w:pPr>
        <w:spacing w:after="0" w:line="16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December 2024, the Company entered into an agreement to purchase a new corporate aircraft and paid an initial deposit of $10.5 million, which is included in the “Deposits and other assets” line on the Consolidated Balance Sheet as of December 31, 2024. Additional installment payments totaling $68.0 million in the aggregate are expected through completion and delivery of the aircraft, currently anticipated in 2026.</w:t>
      </w:r>
    </w:p>
    <w:p>
      <w:pPr>
        <w:spacing w:after="0" w:line="3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(7) Leases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 leases office space in the United States and foreign locations under operating lease agreements. Office space is the Company’s only material underlying asset class under operating lease agreements. The Company has no material finance leases.</w:t>
      </w:r>
    </w:p>
    <w:p>
      <w:pPr>
        <w:spacing w:after="0" w:line="5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Under the Company’s office space lease agreements, fixed payments and variable payments that depend on an index or rate are typically comprised of base rent and parking fees. Additionally, under these agreements the Company is generally responsible for certain variable payments that typically include certain taxes, utilities and maintenance costs, and other fees. These variable lease payments are generally based on the Company’s occupation or usage percentages and are subject to adjustments by the lessor.</w:t>
      </w:r>
    </w:p>
    <w:p>
      <w:pPr>
        <w:spacing w:after="0" w:line="72"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The Company’s ROU asset and total lease liability balances were $54.6 million and $66.8 million, respectively, as of December 31, 2024, and $57.3 million and $71.5 million, respectively, as of December 31, 2023. The Company’s most significant lease is for its corporate headquarters in Northern Virginia. The ROU asset and total lease liability balances related to the Company’s corporate headquarters lease were $42.8 million and $54.6 million, respectively, as of December 31, 2024, and $48.1 million and $61.7 million, respectively, as of December 31, 2023. The lease agreement for the Company’s corporate headquarters location is set to expire in December 2030, with an option for the Company to extend the term for an additional five or 10 consecutive years. The Company is currently not reasonably certain it will exercise this renewal option and therefore has not included the renewal option in the lease term. Several of the Company’s remaining leases contain options for renewal or options to terminate all or a portion of the leased space. The Company continually assesses the likelihood of exercising these options and recognizes an option as part of its ROU assets and lease liabilities if and when it is reasonably certain that it will exercise the option.</w:t>
      </w:r>
    </w:p>
    <w:p>
      <w:pPr>
        <w:spacing w:after="0" w:line="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presents the Company’s total lease cost and other lease details for the periods indicated (in thousands, except years and discount rates):</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500" w:type="dxa"/>
            <w:vAlign w:val="bottom"/>
          </w:tcPr>
          <w:p>
            <w:pPr>
              <w:spacing w:after="0"/>
              <w:rPr>
                <w:sz w:val="15"/>
                <w:szCs w:val="15"/>
                <w:color w:val="auto"/>
              </w:rPr>
            </w:pPr>
          </w:p>
        </w:tc>
        <w:tc>
          <w:tcPr>
            <w:tcW w:w="300" w:type="dxa"/>
            <w:vAlign w:val="bottom"/>
            <w:tcBorders>
              <w:bottom w:val="single" w:sz="8" w:color="auto"/>
            </w:tcBorders>
          </w:tcPr>
          <w:p>
            <w:pPr>
              <w:spacing w:after="0"/>
              <w:rPr>
                <w:sz w:val="15"/>
                <w:szCs w:val="15"/>
                <w:color w:val="auto"/>
              </w:rPr>
            </w:pPr>
          </w:p>
        </w:tc>
        <w:tc>
          <w:tcPr>
            <w:tcW w:w="980" w:type="dxa"/>
            <w:vAlign w:val="bottom"/>
            <w:tcBorders>
              <w:bottom w:val="single" w:sz="8" w:color="auto"/>
            </w:tcBorders>
          </w:tcPr>
          <w:p>
            <w:pPr>
              <w:spacing w:after="0"/>
              <w:rPr>
                <w:sz w:val="15"/>
                <w:szCs w:val="15"/>
                <w:color w:val="auto"/>
              </w:rPr>
            </w:pPr>
          </w:p>
        </w:tc>
        <w:tc>
          <w:tcPr>
            <w:tcW w:w="1980" w:type="dxa"/>
            <w:vAlign w:val="bottom"/>
            <w:tcBorders>
              <w:bottom w:val="single" w:sz="8" w:color="auto"/>
            </w:tcBorders>
            <w:gridSpan w:val="6"/>
          </w:tcPr>
          <w:p>
            <w:pPr>
              <w:ind w:left="16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300" w:type="dxa"/>
            <w:vAlign w:val="bottom"/>
            <w:tcBorders>
              <w:bottom w:val="single" w:sz="8" w:color="auto"/>
            </w:tcBorders>
          </w:tcPr>
          <w:p>
            <w:pPr>
              <w:spacing w:after="0"/>
              <w:rPr>
                <w:sz w:val="15"/>
                <w:szCs w:val="15"/>
                <w:color w:val="auto"/>
              </w:rPr>
            </w:pPr>
          </w:p>
        </w:tc>
        <w:tc>
          <w:tcPr>
            <w:tcW w:w="1000" w:type="dxa"/>
            <w:vAlign w:val="bottom"/>
            <w:tcBorders>
              <w:bottom w:val="single" w:sz="8" w:color="auto"/>
            </w:tcBorders>
          </w:tcPr>
          <w:p>
            <w:pPr>
              <w:spacing w:after="0"/>
              <w:rPr>
                <w:sz w:val="15"/>
                <w:szCs w:val="15"/>
                <w:color w:val="auto"/>
              </w:rPr>
            </w:pPr>
          </w:p>
        </w:tc>
        <w:tc>
          <w:tcPr>
            <w:tcW w:w="180" w:type="dxa"/>
            <w:vAlign w:val="bottom"/>
          </w:tcPr>
          <w:p>
            <w:pPr>
              <w:spacing w:after="0"/>
              <w:rPr>
                <w:sz w:val="15"/>
                <w:szCs w:val="15"/>
                <w:color w:val="auto"/>
              </w:rPr>
            </w:pPr>
          </w:p>
        </w:tc>
      </w:tr>
      <w:tr>
        <w:trPr>
          <w:trHeight w:val="142"/>
        </w:trPr>
        <w:tc>
          <w:tcPr>
            <w:tcW w:w="6500" w:type="dxa"/>
            <w:vAlign w:val="bottom"/>
          </w:tcPr>
          <w:p>
            <w:pPr>
              <w:spacing w:after="0"/>
              <w:rPr>
                <w:sz w:val="12"/>
                <w:szCs w:val="12"/>
                <w:color w:val="auto"/>
              </w:rPr>
            </w:pPr>
          </w:p>
        </w:tc>
        <w:tc>
          <w:tcPr>
            <w:tcW w:w="300" w:type="dxa"/>
            <w:vAlign w:val="bottom"/>
            <w:tcBorders>
              <w:bottom w:val="single" w:sz="8" w:color="auto"/>
            </w:tcBorders>
          </w:tcPr>
          <w:p>
            <w:pPr>
              <w:spacing w:after="0"/>
              <w:rPr>
                <w:sz w:val="12"/>
                <w:szCs w:val="12"/>
                <w:color w:val="auto"/>
              </w:rPr>
            </w:pPr>
          </w:p>
        </w:tc>
        <w:tc>
          <w:tcPr>
            <w:tcW w:w="980" w:type="dxa"/>
            <w:vAlign w:val="bottom"/>
            <w:tcBorders>
              <w:bottom w:val="single" w:sz="8" w:color="auto"/>
            </w:tcBorders>
          </w:tcPr>
          <w:p>
            <w:pPr>
              <w:jc w:val="right"/>
              <w:ind w:right="412"/>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00" w:type="dxa"/>
            <w:vAlign w:val="bottom"/>
            <w:tcBorders>
              <w:bottom w:val="single" w:sz="8" w:color="auto"/>
            </w:tcBorders>
          </w:tcPr>
          <w:p>
            <w:pPr>
              <w:spacing w:after="0"/>
              <w:rPr>
                <w:sz w:val="12"/>
                <w:szCs w:val="12"/>
                <w:color w:val="auto"/>
              </w:rPr>
            </w:pPr>
          </w:p>
        </w:tc>
        <w:tc>
          <w:tcPr>
            <w:tcW w:w="980" w:type="dxa"/>
            <w:vAlign w:val="bottom"/>
            <w:tcBorders>
              <w:bottom w:val="single" w:sz="8" w:color="auto"/>
            </w:tcBorders>
          </w:tcPr>
          <w:p>
            <w:pPr>
              <w:jc w:val="right"/>
              <w:ind w:right="412"/>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8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00" w:type="dxa"/>
            <w:vAlign w:val="bottom"/>
            <w:tcBorders>
              <w:bottom w:val="single" w:sz="8" w:color="auto"/>
            </w:tcBorders>
          </w:tcPr>
          <w:p>
            <w:pPr>
              <w:spacing w:after="0"/>
              <w:rPr>
                <w:sz w:val="12"/>
                <w:szCs w:val="12"/>
                <w:color w:val="auto"/>
              </w:rPr>
            </w:pPr>
          </w:p>
        </w:tc>
        <w:tc>
          <w:tcPr>
            <w:tcW w:w="1000" w:type="dxa"/>
            <w:vAlign w:val="bottom"/>
            <w:tcBorders>
              <w:bottom w:val="single" w:sz="8" w:color="auto"/>
            </w:tcBorders>
          </w:tcPr>
          <w:p>
            <w:pPr>
              <w:jc w:val="right"/>
              <w:ind w:right="432"/>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180" w:type="dxa"/>
            <w:vAlign w:val="bottom"/>
          </w:tcPr>
          <w:p>
            <w:pPr>
              <w:spacing w:after="0"/>
              <w:rPr>
                <w:sz w:val="12"/>
                <w:szCs w:val="12"/>
                <w:color w:val="auto"/>
              </w:rPr>
            </w:pPr>
          </w:p>
        </w:tc>
      </w:tr>
      <w:tr>
        <w:trPr>
          <w:trHeight w:val="209"/>
        </w:trPr>
        <w:tc>
          <w:tcPr>
            <w:tcW w:w="65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i w:val="1"/>
                <w:iCs w:val="1"/>
                <w:color w:val="auto"/>
              </w:rPr>
              <w:t>Lease cost:</w:t>
            </w: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0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r>
      <w:tr>
        <w:trPr>
          <w:trHeight w:val="216"/>
        </w:trPr>
        <w:tc>
          <w:tcPr>
            <w:tcW w:w="650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Operating lease cost</w:t>
            </w:r>
          </w:p>
        </w:tc>
        <w:tc>
          <w:tcPr>
            <w:tcW w:w="30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12,577</w:t>
            </w:r>
          </w:p>
        </w:tc>
        <w:tc>
          <w:tcPr>
            <w:tcW w:w="660" w:type="dxa"/>
            <w:vAlign w:val="bottom"/>
            <w:gridSpan w:val="3"/>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13,081</w:t>
            </w:r>
          </w:p>
        </w:tc>
        <w:tc>
          <w:tcPr>
            <w:tcW w:w="18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30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13,008</w:t>
            </w:r>
          </w:p>
        </w:tc>
        <w:tc>
          <w:tcPr>
            <w:tcW w:w="180" w:type="dxa"/>
            <w:vAlign w:val="bottom"/>
          </w:tcPr>
          <w:p>
            <w:pPr>
              <w:spacing w:after="0"/>
              <w:rPr>
                <w:sz w:val="18"/>
                <w:szCs w:val="18"/>
                <w:color w:val="auto"/>
              </w:rPr>
            </w:pPr>
          </w:p>
        </w:tc>
      </w:tr>
      <w:tr>
        <w:trPr>
          <w:trHeight w:val="216"/>
        </w:trPr>
        <w:tc>
          <w:tcPr>
            <w:tcW w:w="650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Short-term lease cost</w:t>
            </w: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619</w:t>
            </w:r>
          </w:p>
        </w:tc>
        <w:tc>
          <w:tcPr>
            <w:tcW w:w="2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579</w:t>
            </w:r>
          </w:p>
        </w:tc>
        <w:tc>
          <w:tcPr>
            <w:tcW w:w="18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582</w:t>
            </w:r>
          </w:p>
        </w:tc>
        <w:tc>
          <w:tcPr>
            <w:tcW w:w="180" w:type="dxa"/>
            <w:vAlign w:val="bottom"/>
            <w:shd w:val="clear" w:color="auto" w:fill="CFF0FC"/>
          </w:tcPr>
          <w:p>
            <w:pPr>
              <w:spacing w:after="0"/>
              <w:rPr>
                <w:sz w:val="18"/>
                <w:szCs w:val="18"/>
                <w:color w:val="auto"/>
              </w:rPr>
            </w:pPr>
          </w:p>
        </w:tc>
      </w:tr>
      <w:tr>
        <w:trPr>
          <w:trHeight w:val="216"/>
        </w:trPr>
        <w:tc>
          <w:tcPr>
            <w:tcW w:w="650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Variable lease cost</w:t>
            </w:r>
          </w:p>
        </w:tc>
        <w:tc>
          <w:tcPr>
            <w:tcW w:w="30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632</w:t>
            </w:r>
          </w:p>
        </w:tc>
        <w:tc>
          <w:tcPr>
            <w:tcW w:w="20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30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783</w:t>
            </w:r>
          </w:p>
        </w:tc>
        <w:tc>
          <w:tcPr>
            <w:tcW w:w="18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300" w:type="dxa"/>
            <w:vAlign w:val="bottom"/>
            <w:tcBorders>
              <w:bottom w:val="single" w:sz="8" w:color="auto"/>
            </w:tcBorders>
          </w:tcPr>
          <w:p>
            <w:pPr>
              <w:spacing w:after="0"/>
              <w:rPr>
                <w:sz w:val="18"/>
                <w:szCs w:val="18"/>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514</w:t>
            </w:r>
          </w:p>
        </w:tc>
        <w:tc>
          <w:tcPr>
            <w:tcW w:w="180" w:type="dxa"/>
            <w:vAlign w:val="bottom"/>
          </w:tcPr>
          <w:p>
            <w:pPr>
              <w:spacing w:after="0"/>
              <w:rPr>
                <w:sz w:val="18"/>
                <w:szCs w:val="18"/>
                <w:color w:val="auto"/>
              </w:rPr>
            </w:pPr>
          </w:p>
        </w:tc>
      </w:tr>
      <w:tr>
        <w:trPr>
          <w:trHeight w:val="250"/>
        </w:trPr>
        <w:tc>
          <w:tcPr>
            <w:tcW w:w="650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Total lease cost</w:t>
            </w:r>
          </w:p>
        </w:tc>
        <w:tc>
          <w:tcPr>
            <w:tcW w:w="30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13,828</w:t>
            </w:r>
          </w:p>
        </w:tc>
        <w:tc>
          <w:tcPr>
            <w:tcW w:w="660" w:type="dxa"/>
            <w:vAlign w:val="bottom"/>
            <w:gridSpan w:val="3"/>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14,443</w:t>
            </w:r>
          </w:p>
        </w:tc>
        <w:tc>
          <w:tcPr>
            <w:tcW w:w="18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30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14,104</w:t>
            </w:r>
          </w:p>
        </w:tc>
        <w:tc>
          <w:tcPr>
            <w:tcW w:w="180" w:type="dxa"/>
            <w:vAlign w:val="bottom"/>
            <w:shd w:val="clear" w:color="auto" w:fill="CFF0FC"/>
          </w:tcPr>
          <w:p>
            <w:pPr>
              <w:spacing w:after="0"/>
              <w:rPr>
                <w:sz w:val="21"/>
                <w:szCs w:val="21"/>
                <w:color w:val="auto"/>
              </w:rPr>
            </w:pPr>
          </w:p>
        </w:tc>
      </w:tr>
      <w:tr>
        <w:trPr>
          <w:trHeight w:val="196"/>
        </w:trPr>
        <w:tc>
          <w:tcPr>
            <w:tcW w:w="6500" w:type="dxa"/>
            <w:vAlign w:val="bottom"/>
            <w:tcBorders>
              <w:top w:val="single" w:sz="8" w:color="CFF0FC"/>
            </w:tcBorders>
          </w:tcPr>
          <w:p>
            <w:pPr>
              <w:ind w:left="20"/>
              <w:spacing w:after="0" w:line="196" w:lineRule="exact"/>
              <w:rPr>
                <w:sz w:val="20"/>
                <w:szCs w:val="20"/>
                <w:color w:val="auto"/>
              </w:rPr>
            </w:pPr>
            <w:r>
              <w:rPr>
                <w:rFonts w:ascii="Times New Roman" w:cs="Times New Roman" w:eastAsia="Times New Roman" w:hAnsi="Times New Roman"/>
                <w:sz w:val="18"/>
                <w:szCs w:val="18"/>
                <w:i w:val="1"/>
                <w:iCs w:val="1"/>
                <w:color w:val="auto"/>
              </w:rPr>
              <w:t>Other information:</w:t>
            </w:r>
          </w:p>
        </w:tc>
        <w:tc>
          <w:tcPr>
            <w:tcW w:w="300" w:type="dxa"/>
            <w:vAlign w:val="bottom"/>
            <w:tcBorders>
              <w:top w:val="single" w:sz="8" w:color="auto"/>
            </w:tcBorders>
          </w:tcPr>
          <w:p>
            <w:pPr>
              <w:spacing w:after="0"/>
              <w:rPr>
                <w:sz w:val="17"/>
                <w:szCs w:val="17"/>
                <w:color w:val="auto"/>
              </w:rPr>
            </w:pPr>
          </w:p>
        </w:tc>
        <w:tc>
          <w:tcPr>
            <w:tcW w:w="980" w:type="dxa"/>
            <w:vAlign w:val="bottom"/>
            <w:tcBorders>
              <w:top w:val="single" w:sz="8" w:color="auto"/>
            </w:tcBorders>
          </w:tcPr>
          <w:p>
            <w:pPr>
              <w:spacing w:after="0"/>
              <w:rPr>
                <w:sz w:val="17"/>
                <w:szCs w:val="17"/>
                <w:color w:val="auto"/>
              </w:rPr>
            </w:pPr>
          </w:p>
        </w:tc>
        <w:tc>
          <w:tcPr>
            <w:tcW w:w="200" w:type="dxa"/>
            <w:vAlign w:val="bottom"/>
            <w:tcBorders>
              <w:top w:val="single" w:sz="8" w:color="CFF0FC"/>
            </w:tcBorders>
          </w:tcPr>
          <w:p>
            <w:pPr>
              <w:spacing w:after="0"/>
              <w:rPr>
                <w:sz w:val="17"/>
                <w:szCs w:val="17"/>
                <w:color w:val="auto"/>
              </w:rPr>
            </w:pPr>
          </w:p>
        </w:tc>
        <w:tc>
          <w:tcPr>
            <w:tcW w:w="160" w:type="dxa"/>
            <w:vAlign w:val="bottom"/>
            <w:tcBorders>
              <w:top w:val="single" w:sz="8" w:color="auto"/>
            </w:tcBorders>
          </w:tcPr>
          <w:p>
            <w:pPr>
              <w:spacing w:after="0"/>
              <w:rPr>
                <w:sz w:val="17"/>
                <w:szCs w:val="17"/>
                <w:color w:val="auto"/>
              </w:rPr>
            </w:pPr>
          </w:p>
        </w:tc>
        <w:tc>
          <w:tcPr>
            <w:tcW w:w="300" w:type="dxa"/>
            <w:vAlign w:val="bottom"/>
            <w:tcBorders>
              <w:top w:val="single" w:sz="8" w:color="auto"/>
            </w:tcBorders>
          </w:tcPr>
          <w:p>
            <w:pPr>
              <w:spacing w:after="0"/>
              <w:rPr>
                <w:sz w:val="17"/>
                <w:szCs w:val="17"/>
                <w:color w:val="auto"/>
              </w:rPr>
            </w:pPr>
          </w:p>
        </w:tc>
        <w:tc>
          <w:tcPr>
            <w:tcW w:w="980" w:type="dxa"/>
            <w:vAlign w:val="bottom"/>
            <w:tcBorders>
              <w:top w:val="single" w:sz="8" w:color="auto"/>
            </w:tcBorders>
          </w:tcPr>
          <w:p>
            <w:pPr>
              <w:spacing w:after="0"/>
              <w:rPr>
                <w:sz w:val="17"/>
                <w:szCs w:val="17"/>
                <w:color w:val="auto"/>
              </w:rPr>
            </w:pPr>
          </w:p>
        </w:tc>
        <w:tc>
          <w:tcPr>
            <w:tcW w:w="180" w:type="dxa"/>
            <w:vAlign w:val="bottom"/>
            <w:tcBorders>
              <w:top w:val="single" w:sz="8" w:color="CFF0FC"/>
            </w:tcBorders>
          </w:tcPr>
          <w:p>
            <w:pPr>
              <w:spacing w:after="0"/>
              <w:rPr>
                <w:sz w:val="17"/>
                <w:szCs w:val="17"/>
                <w:color w:val="auto"/>
              </w:rPr>
            </w:pPr>
          </w:p>
        </w:tc>
        <w:tc>
          <w:tcPr>
            <w:tcW w:w="160" w:type="dxa"/>
            <w:vAlign w:val="bottom"/>
            <w:tcBorders>
              <w:top w:val="single" w:sz="8" w:color="auto"/>
            </w:tcBorders>
          </w:tcPr>
          <w:p>
            <w:pPr>
              <w:spacing w:after="0"/>
              <w:rPr>
                <w:sz w:val="17"/>
                <w:szCs w:val="17"/>
                <w:color w:val="auto"/>
              </w:rPr>
            </w:pPr>
          </w:p>
        </w:tc>
        <w:tc>
          <w:tcPr>
            <w:tcW w:w="300" w:type="dxa"/>
            <w:vAlign w:val="bottom"/>
            <w:tcBorders>
              <w:top w:val="single" w:sz="8" w:color="auto"/>
            </w:tcBorders>
          </w:tcPr>
          <w:p>
            <w:pPr>
              <w:spacing w:after="0"/>
              <w:rPr>
                <w:sz w:val="17"/>
                <w:szCs w:val="17"/>
                <w:color w:val="auto"/>
              </w:rPr>
            </w:pPr>
          </w:p>
        </w:tc>
        <w:tc>
          <w:tcPr>
            <w:tcW w:w="1000" w:type="dxa"/>
            <w:vAlign w:val="bottom"/>
            <w:tcBorders>
              <w:top w:val="single" w:sz="8" w:color="auto"/>
            </w:tcBorders>
          </w:tcPr>
          <w:p>
            <w:pPr>
              <w:spacing w:after="0"/>
              <w:rPr>
                <w:sz w:val="17"/>
                <w:szCs w:val="17"/>
                <w:color w:val="auto"/>
              </w:rPr>
            </w:pPr>
          </w:p>
        </w:tc>
        <w:tc>
          <w:tcPr>
            <w:tcW w:w="180" w:type="dxa"/>
            <w:vAlign w:val="bottom"/>
            <w:tcBorders>
              <w:top w:val="single" w:sz="8" w:color="CFF0FC"/>
            </w:tcBorders>
          </w:tcPr>
          <w:p>
            <w:pPr>
              <w:spacing w:after="0"/>
              <w:rPr>
                <w:sz w:val="17"/>
                <w:szCs w:val="17"/>
                <w:color w:val="auto"/>
              </w:rPr>
            </w:pPr>
          </w:p>
        </w:tc>
      </w:tr>
      <w:tr>
        <w:trPr>
          <w:trHeight w:val="216"/>
        </w:trPr>
        <w:tc>
          <w:tcPr>
            <w:tcW w:w="650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Cash paid for amounts included in the measurement of operating lease liabilities</w:t>
            </w:r>
          </w:p>
        </w:tc>
        <w:tc>
          <w:tcPr>
            <w:tcW w:w="30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14,525</w:t>
            </w:r>
          </w:p>
        </w:tc>
        <w:tc>
          <w:tcPr>
            <w:tcW w:w="660" w:type="dxa"/>
            <w:vAlign w:val="bottom"/>
            <w:gridSpan w:val="3"/>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9,862</w:t>
            </w:r>
          </w:p>
        </w:tc>
        <w:tc>
          <w:tcPr>
            <w:tcW w:w="18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14,224</w:t>
            </w:r>
          </w:p>
        </w:tc>
        <w:tc>
          <w:tcPr>
            <w:tcW w:w="180" w:type="dxa"/>
            <w:vAlign w:val="bottom"/>
            <w:shd w:val="clear" w:color="auto" w:fill="CFF0FC"/>
          </w:tcPr>
          <w:p>
            <w:pPr>
              <w:spacing w:after="0"/>
              <w:rPr>
                <w:sz w:val="18"/>
                <w:szCs w:val="18"/>
                <w:color w:val="auto"/>
              </w:rPr>
            </w:pPr>
          </w:p>
        </w:tc>
      </w:tr>
      <w:tr>
        <w:trPr>
          <w:trHeight w:val="216"/>
        </w:trPr>
        <w:tc>
          <w:tcPr>
            <w:tcW w:w="650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ROU assets obtained in exchange for new operating lease liabilities</w:t>
            </w:r>
          </w:p>
        </w:tc>
        <w:tc>
          <w:tcPr>
            <w:tcW w:w="30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6,032</w:t>
            </w:r>
          </w:p>
        </w:tc>
        <w:tc>
          <w:tcPr>
            <w:tcW w:w="660" w:type="dxa"/>
            <w:vAlign w:val="bottom"/>
            <w:gridSpan w:val="3"/>
          </w:tcPr>
          <w:p>
            <w:pPr>
              <w:jc w:val="right"/>
              <w:ind w:right="20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6,183</w:t>
            </w:r>
          </w:p>
        </w:tc>
        <w:tc>
          <w:tcPr>
            <w:tcW w:w="18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30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1,563</w:t>
            </w:r>
          </w:p>
        </w:tc>
        <w:tc>
          <w:tcPr>
            <w:tcW w:w="180" w:type="dxa"/>
            <w:vAlign w:val="bottom"/>
          </w:tcPr>
          <w:p>
            <w:pPr>
              <w:spacing w:after="0"/>
              <w:rPr>
                <w:sz w:val="18"/>
                <w:szCs w:val="18"/>
                <w:color w:val="auto"/>
              </w:rPr>
            </w:pPr>
          </w:p>
        </w:tc>
      </w:tr>
      <w:tr>
        <w:trPr>
          <w:trHeight w:val="216"/>
        </w:trPr>
        <w:tc>
          <w:tcPr>
            <w:tcW w:w="650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Weighted average remaining lease term in years – operating leases</w:t>
            </w: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5.8</w:t>
            </w:r>
          </w:p>
        </w:tc>
        <w:tc>
          <w:tcPr>
            <w:tcW w:w="2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6.6</w:t>
            </w:r>
          </w:p>
        </w:tc>
        <w:tc>
          <w:tcPr>
            <w:tcW w:w="18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w:t>
            </w:r>
          </w:p>
        </w:tc>
        <w:tc>
          <w:tcPr>
            <w:tcW w:w="180" w:type="dxa"/>
            <w:vAlign w:val="bottom"/>
            <w:shd w:val="clear" w:color="auto" w:fill="CFF0FC"/>
          </w:tcPr>
          <w:p>
            <w:pPr>
              <w:spacing w:after="0"/>
              <w:rPr>
                <w:sz w:val="18"/>
                <w:szCs w:val="18"/>
                <w:color w:val="auto"/>
              </w:rPr>
            </w:pPr>
          </w:p>
        </w:tc>
      </w:tr>
      <w:tr>
        <w:trPr>
          <w:trHeight w:val="234"/>
        </w:trPr>
        <w:tc>
          <w:tcPr>
            <w:tcW w:w="650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Weighted average discount rate – operating leases</w:t>
            </w:r>
          </w:p>
        </w:tc>
        <w:tc>
          <w:tcPr>
            <w:tcW w:w="300" w:type="dxa"/>
            <w:vAlign w:val="bottom"/>
          </w:tcPr>
          <w:p>
            <w:pPr>
              <w:spacing w:after="0"/>
              <w:rPr>
                <w:sz w:val="20"/>
                <w:szCs w:val="20"/>
                <w:color w:val="auto"/>
              </w:rPr>
            </w:pPr>
          </w:p>
        </w:tc>
        <w:tc>
          <w:tcPr>
            <w:tcW w:w="11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6.0 %</w:t>
            </w:r>
          </w:p>
        </w:tc>
        <w:tc>
          <w:tcPr>
            <w:tcW w:w="16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11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6.0 %</w:t>
            </w:r>
          </w:p>
        </w:tc>
        <w:tc>
          <w:tcPr>
            <w:tcW w:w="16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11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6.1 %</w:t>
            </w:r>
          </w:p>
        </w:tc>
      </w:tr>
      <w:tr>
        <w:trPr>
          <w:trHeight w:val="630"/>
        </w:trPr>
        <w:tc>
          <w:tcPr>
            <w:tcW w:w="6500" w:type="dxa"/>
            <w:vAlign w:val="bottom"/>
          </w:tcPr>
          <w:p>
            <w:pPr>
              <w:ind w:left="5540"/>
              <w:spacing w:after="0"/>
              <w:rPr>
                <w:sz w:val="20"/>
                <w:szCs w:val="20"/>
                <w:color w:val="auto"/>
              </w:rPr>
            </w:pPr>
            <w:r>
              <w:rPr>
                <w:rFonts w:ascii="Times New Roman" w:cs="Times New Roman" w:eastAsia="Times New Roman" w:hAnsi="Times New Roman"/>
                <w:sz w:val="18"/>
                <w:szCs w:val="18"/>
                <w:color w:val="auto"/>
              </w:rPr>
              <w:t>90</w:t>
            </w:r>
          </w:p>
        </w:tc>
        <w:tc>
          <w:tcPr>
            <w:tcW w:w="300" w:type="dxa"/>
            <w:vAlign w:val="bottom"/>
          </w:tcPr>
          <w:p>
            <w:pPr>
              <w:spacing w:after="0"/>
              <w:rPr>
                <w:sz w:val="24"/>
                <w:szCs w:val="24"/>
                <w:color w:val="auto"/>
              </w:rPr>
            </w:pPr>
          </w:p>
        </w:tc>
        <w:tc>
          <w:tcPr>
            <w:tcW w:w="98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98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1000" w:type="dxa"/>
            <w:vAlign w:val="bottom"/>
          </w:tcPr>
          <w:p>
            <w:pPr>
              <w:spacing w:after="0"/>
              <w:rPr>
                <w:sz w:val="24"/>
                <w:szCs w:val="24"/>
                <w:color w:val="auto"/>
              </w:rPr>
            </w:pPr>
          </w:p>
        </w:tc>
        <w:tc>
          <w:tcPr>
            <w:tcW w:w="180" w:type="dxa"/>
            <w:vAlign w:val="bottom"/>
          </w:tcPr>
          <w:p>
            <w:pPr>
              <w:spacing w:after="0"/>
              <w:rPr>
                <w:sz w:val="24"/>
                <w:szCs w:val="24"/>
                <w:color w:val="auto"/>
              </w:rPr>
            </w:pPr>
          </w:p>
        </w:tc>
      </w:tr>
      <w:tr>
        <w:trPr>
          <w:trHeight w:val="763"/>
        </w:trPr>
        <w:tc>
          <w:tcPr>
            <w:tcW w:w="6500" w:type="dxa"/>
            <w:vAlign w:val="bottom"/>
            <w:tcBorders>
              <w:bottom w:val="single" w:sz="8" w:color="9A9A9A"/>
            </w:tcBorders>
          </w:tcPr>
          <w:p>
            <w:pPr>
              <w:spacing w:after="0"/>
              <w:rPr>
                <w:sz w:val="24"/>
                <w:szCs w:val="24"/>
                <w:color w:val="auto"/>
              </w:rPr>
            </w:pPr>
          </w:p>
        </w:tc>
        <w:tc>
          <w:tcPr>
            <w:tcW w:w="300" w:type="dxa"/>
            <w:vAlign w:val="bottom"/>
            <w:tcBorders>
              <w:bottom w:val="single" w:sz="8" w:color="9A9A9A"/>
            </w:tcBorders>
          </w:tcPr>
          <w:p>
            <w:pPr>
              <w:spacing w:after="0"/>
              <w:rPr>
                <w:sz w:val="24"/>
                <w:szCs w:val="24"/>
                <w:color w:val="auto"/>
              </w:rPr>
            </w:pPr>
          </w:p>
        </w:tc>
        <w:tc>
          <w:tcPr>
            <w:tcW w:w="98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300" w:type="dxa"/>
            <w:vAlign w:val="bottom"/>
            <w:tcBorders>
              <w:bottom w:val="single" w:sz="8" w:color="9A9A9A"/>
            </w:tcBorders>
          </w:tcPr>
          <w:p>
            <w:pPr>
              <w:spacing w:after="0"/>
              <w:rPr>
                <w:sz w:val="24"/>
                <w:szCs w:val="24"/>
                <w:color w:val="auto"/>
              </w:rPr>
            </w:pPr>
          </w:p>
        </w:tc>
        <w:tc>
          <w:tcPr>
            <w:tcW w:w="98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300" w:type="dxa"/>
            <w:vAlign w:val="bottom"/>
            <w:tcBorders>
              <w:bottom w:val="single" w:sz="8" w:color="9A9A9A"/>
            </w:tcBorders>
          </w:tcPr>
          <w:p>
            <w:pPr>
              <w:spacing w:after="0"/>
              <w:rPr>
                <w:sz w:val="24"/>
                <w:szCs w:val="24"/>
                <w:color w:val="auto"/>
              </w:rPr>
            </w:pPr>
          </w:p>
        </w:tc>
        <w:tc>
          <w:tcPr>
            <w:tcW w:w="100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4942840</wp:posOffset>
            </wp:positionH>
            <wp:positionV relativeFrom="paragraph">
              <wp:posOffset>-1619250</wp:posOffset>
            </wp:positionV>
            <wp:extent cx="120015" cy="8890"/>
            <wp:wrapNone/>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317">
                      <a:extLst>
                        <a:ext uri="{28A0092B-C50C-407E-A947-70E740481C1C}"/>
                      </a:extLst>
                    </a:blip>
                    <a:srcRect/>
                    <a:stretch>
                      <a:fillRect/>
                    </a:stretch>
                  </pic:blipFill>
                  <pic:spPr bwMode="auto">
                    <a:xfrm>
                      <a:off x="0" y="0"/>
                      <a:ext cx="120015" cy="8890"/>
                    </a:xfrm>
                    <a:prstGeom prst="rect">
                      <a:avLst/>
                    </a:prstGeom>
                    <a:noFill/>
                  </pic:spPr>
                </pic:pic>
              </a:graphicData>
            </a:graphic>
          </wp:anchor>
        </w:drawing>
        <w:drawing>
          <wp:anchor simplePos="0" relativeHeight="251657728" behindDoc="1" locked="0" layoutInCell="0" allowOverlap="1">
            <wp:simplePos x="0" y="0"/>
            <wp:positionH relativeFrom="column">
              <wp:posOffset>4942840</wp:posOffset>
            </wp:positionH>
            <wp:positionV relativeFrom="paragraph">
              <wp:posOffset>-1602105</wp:posOffset>
            </wp:positionV>
            <wp:extent cx="120015" cy="8890"/>
            <wp:wrapNone/>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18">
                      <a:extLst>
                        <a:ext uri="{28A0092B-C50C-407E-A947-70E740481C1C}"/>
                      </a:extLst>
                    </a:blip>
                    <a:srcRect/>
                    <a:stretch>
                      <a:fillRect/>
                    </a:stretch>
                  </pic:blipFill>
                  <pic:spPr bwMode="auto">
                    <a:xfrm>
                      <a:off x="0" y="0"/>
                      <a:ext cx="120015" cy="8890"/>
                    </a:xfrm>
                    <a:prstGeom prst="rect">
                      <a:avLst/>
                    </a:prstGeom>
                    <a:noFill/>
                  </pic:spPr>
                </pic:pic>
              </a:graphicData>
            </a:graphic>
          </wp:anchor>
        </w:drawing>
        <w:drawing>
          <wp:anchor simplePos="0" relativeHeight="251657728" behindDoc="1" locked="0" layoutInCell="0" allowOverlap="1">
            <wp:simplePos x="0" y="0"/>
            <wp:positionH relativeFrom="column">
              <wp:posOffset>5979795</wp:posOffset>
            </wp:positionH>
            <wp:positionV relativeFrom="paragraph">
              <wp:posOffset>-1619250</wp:posOffset>
            </wp:positionV>
            <wp:extent cx="120015" cy="8890"/>
            <wp:wrapNone/>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319">
                      <a:extLst>
                        <a:ext uri="{28A0092B-C50C-407E-A947-70E740481C1C}"/>
                      </a:extLst>
                    </a:blip>
                    <a:srcRect/>
                    <a:stretch>
                      <a:fillRect/>
                    </a:stretch>
                  </pic:blipFill>
                  <pic:spPr bwMode="auto">
                    <a:xfrm>
                      <a:off x="0" y="0"/>
                      <a:ext cx="120015" cy="8890"/>
                    </a:xfrm>
                    <a:prstGeom prst="rect">
                      <a:avLst/>
                    </a:prstGeom>
                    <a:noFill/>
                  </pic:spPr>
                </pic:pic>
              </a:graphicData>
            </a:graphic>
          </wp:anchor>
        </w:drawing>
        <w:drawing>
          <wp:anchor simplePos="0" relativeHeight="251657728" behindDoc="1" locked="0" layoutInCell="0" allowOverlap="1">
            <wp:simplePos x="0" y="0"/>
            <wp:positionH relativeFrom="column">
              <wp:posOffset>5979795</wp:posOffset>
            </wp:positionH>
            <wp:positionV relativeFrom="paragraph">
              <wp:posOffset>-1602105</wp:posOffset>
            </wp:positionV>
            <wp:extent cx="120015" cy="8890"/>
            <wp:wrapNone/>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20">
                      <a:extLst>
                        <a:ext uri="{28A0092B-C50C-407E-A947-70E740481C1C}"/>
                      </a:extLst>
                    </a:blip>
                    <a:srcRect/>
                    <a:stretch>
                      <a:fillRect/>
                    </a:stretch>
                  </pic:blipFill>
                  <pic:spPr bwMode="auto">
                    <a:xfrm>
                      <a:off x="0" y="0"/>
                      <a:ext cx="120015" cy="8890"/>
                    </a:xfrm>
                    <a:prstGeom prst="rect">
                      <a:avLst/>
                    </a:prstGeom>
                    <a:noFill/>
                  </pic:spPr>
                </pic:pic>
              </a:graphicData>
            </a:graphic>
          </wp:anchor>
        </w:drawing>
        <w:drawing>
          <wp:anchor simplePos="0" relativeHeight="251657728" behindDoc="1" locked="0" layoutInCell="0" allowOverlap="1">
            <wp:simplePos x="0" y="0"/>
            <wp:positionH relativeFrom="column">
              <wp:posOffset>7017385</wp:posOffset>
            </wp:positionH>
            <wp:positionV relativeFrom="paragraph">
              <wp:posOffset>-1619250</wp:posOffset>
            </wp:positionV>
            <wp:extent cx="120015" cy="8890"/>
            <wp:wrapNone/>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21">
                      <a:extLst>
                        <a:ext uri="{28A0092B-C50C-407E-A947-70E740481C1C}"/>
                      </a:extLst>
                    </a:blip>
                    <a:srcRect/>
                    <a:stretch>
                      <a:fillRect/>
                    </a:stretch>
                  </pic:blipFill>
                  <pic:spPr bwMode="auto">
                    <a:xfrm>
                      <a:off x="0" y="0"/>
                      <a:ext cx="120015" cy="8890"/>
                    </a:xfrm>
                    <a:prstGeom prst="rect">
                      <a:avLst/>
                    </a:prstGeom>
                    <a:noFill/>
                  </pic:spPr>
                </pic:pic>
              </a:graphicData>
            </a:graphic>
          </wp:anchor>
        </w:drawing>
        <w:drawing>
          <wp:anchor simplePos="0" relativeHeight="251657728" behindDoc="1" locked="0" layoutInCell="0" allowOverlap="1">
            <wp:simplePos x="0" y="0"/>
            <wp:positionH relativeFrom="column">
              <wp:posOffset>7017385</wp:posOffset>
            </wp:positionH>
            <wp:positionV relativeFrom="paragraph">
              <wp:posOffset>-1602105</wp:posOffset>
            </wp:positionV>
            <wp:extent cx="120015" cy="8890"/>
            <wp:wrapNone/>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22">
                      <a:extLst>
                        <a:ext uri="{28A0092B-C50C-407E-A947-70E740481C1C}"/>
                      </a:extLst>
                    </a:blip>
                    <a:srcRect/>
                    <a:stretch>
                      <a:fillRect/>
                    </a:stretch>
                  </pic:blipFill>
                  <pic:spPr bwMode="auto">
                    <a:xfrm>
                      <a:off x="0" y="0"/>
                      <a:ext cx="120015"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23">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24">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224" w:right="339" w:bottom="1440" w:gutter="0" w:footer="0" w:header="0"/>
        </w:sectPr>
      </w:pPr>
    </w:p>
    <w:bookmarkStart w:id="90" w:name="page91"/>
    <w:bookmarkEnd w:id="90"/>
    <w:p>
      <w:pPr>
        <w:spacing w:after="0"/>
        <w:rPr>
          <w:sz w:val="20"/>
          <w:szCs w:val="20"/>
          <w:color w:val="auto"/>
        </w:rPr>
      </w:pPr>
      <w:r>
        <w:rPr>
          <w:rFonts w:ascii="Times New Roman" w:cs="Times New Roman" w:eastAsia="Times New Roman" w:hAnsi="Times New Roman"/>
          <w:sz w:val="18"/>
          <w:szCs w:val="18"/>
          <w:color w:val="auto"/>
        </w:rPr>
        <w:t>The following table presents the maturities of the Company’s operating lease liabilities as of December 31, 2024 (in thousands):</w:t>
      </w:r>
    </w:p>
    <w:p>
      <w:pPr>
        <w:spacing w:after="0" w:line="219" w:lineRule="exact"/>
        <w:rPr>
          <w:sz w:val="20"/>
          <w:szCs w:val="20"/>
          <w:color w:val="auto"/>
        </w:rPr>
      </w:pPr>
    </w:p>
    <w:p>
      <w:pPr>
        <w:ind w:left="20"/>
        <w:spacing w:after="0"/>
        <w:rPr>
          <w:sz w:val="20"/>
          <w:szCs w:val="20"/>
          <w:color w:val="auto"/>
        </w:rPr>
      </w:pPr>
      <w:r>
        <w:rPr>
          <w:rFonts w:ascii="Times New Roman" w:cs="Times New Roman" w:eastAsia="Times New Roman" w:hAnsi="Times New Roman"/>
          <w:sz w:val="14"/>
          <w:szCs w:val="14"/>
          <w:b w:val="1"/>
          <w:bCs w:val="1"/>
          <w:color w:val="auto"/>
        </w:rPr>
        <w:t>For the year ended December 31,</w:t>
      </w:r>
    </w:p>
    <w:p>
      <w:pPr>
        <w:spacing w:after="0" w:line="12" w:lineRule="exact"/>
        <w:rPr>
          <w:sz w:val="20"/>
          <w:szCs w:val="20"/>
          <w:color w:val="auto"/>
        </w:rPr>
      </w:pPr>
    </w:p>
    <w:tbl>
      <w:tblPr>
        <w:tblLayout w:type="fixed"/>
        <w:tblInd w:w="0" w:type="dxa"/>
        <w:tblCellMar>
          <w:top w:w="0" w:type="dxa"/>
          <w:left w:w="0" w:type="dxa"/>
          <w:bottom w:w="0" w:type="dxa"/>
          <w:right w:w="0" w:type="dxa"/>
        </w:tblCellMar>
      </w:tblPr>
      <w:tr>
        <w:trPr>
          <w:trHeight w:val="210"/>
        </w:trPr>
        <w:tc>
          <w:tcPr>
            <w:tcW w:w="400" w:type="dxa"/>
            <w:vAlign w:val="bottom"/>
            <w:tcBorders>
              <w:top w:val="single" w:sz="8" w:color="auto"/>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2025</w:t>
            </w:r>
          </w:p>
        </w:tc>
        <w:tc>
          <w:tcPr>
            <w:tcW w:w="5820" w:type="dxa"/>
            <w:vAlign w:val="bottom"/>
            <w:tcBorders>
              <w:top w:val="single" w:sz="8" w:color="auto"/>
            </w:tcBorders>
            <w:shd w:val="clear" w:color="auto" w:fill="CFF0FC"/>
          </w:tcPr>
          <w:p>
            <w:pPr>
              <w:spacing w:after="0"/>
              <w:rPr>
                <w:sz w:val="18"/>
                <w:szCs w:val="18"/>
                <w:color w:val="auto"/>
              </w:rPr>
            </w:pPr>
          </w:p>
        </w:tc>
        <w:tc>
          <w:tcPr>
            <w:tcW w:w="1500" w:type="dxa"/>
            <w:vAlign w:val="bottom"/>
            <w:tcBorders>
              <w:top w:val="single" w:sz="8" w:color="auto"/>
            </w:tcBorders>
            <w:shd w:val="clear" w:color="auto" w:fill="CFF0FC"/>
          </w:tcPr>
          <w:p>
            <w:pPr>
              <w:spacing w:after="0"/>
              <w:rPr>
                <w:sz w:val="18"/>
                <w:szCs w:val="18"/>
                <w:color w:val="auto"/>
              </w:rPr>
            </w:pPr>
          </w:p>
        </w:tc>
        <w:tc>
          <w:tcPr>
            <w:tcW w:w="820" w:type="dxa"/>
            <w:vAlign w:val="bottom"/>
            <w:tcBorders>
              <w:top w:val="single" w:sz="8" w:color="auto"/>
            </w:tcBorders>
            <w:shd w:val="clear" w:color="auto" w:fill="CFF0FC"/>
          </w:tcPr>
          <w:p>
            <w:pPr>
              <w:spacing w:after="0"/>
              <w:rPr>
                <w:sz w:val="18"/>
                <w:szCs w:val="18"/>
                <w:color w:val="auto"/>
              </w:rPr>
            </w:pPr>
          </w:p>
        </w:tc>
        <w:tc>
          <w:tcPr>
            <w:tcW w:w="1060" w:type="dxa"/>
            <w:vAlign w:val="bottom"/>
            <w:tcBorders>
              <w:top w:val="single" w:sz="8" w:color="auto"/>
            </w:tcBorders>
            <w:gridSpan w:val="3"/>
            <w:shd w:val="clear" w:color="auto" w:fill="CFF0FC"/>
          </w:tcPr>
          <w:p>
            <w:pPr>
              <w:jc w:val="right"/>
              <w:ind w:right="130"/>
              <w:spacing w:after="0"/>
              <w:rPr>
                <w:sz w:val="20"/>
                <w:szCs w:val="20"/>
                <w:color w:val="auto"/>
              </w:rPr>
            </w:pPr>
            <w:r>
              <w:rPr>
                <w:rFonts w:ascii="Times New Roman" w:cs="Times New Roman" w:eastAsia="Times New Roman" w:hAnsi="Times New Roman"/>
                <w:sz w:val="18"/>
                <w:szCs w:val="18"/>
                <w:color w:val="auto"/>
              </w:rPr>
              <w:t>$</w:t>
            </w:r>
          </w:p>
        </w:tc>
        <w:tc>
          <w:tcPr>
            <w:tcW w:w="15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14,037</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color w:val="auto"/>
                <w:w w:val="99"/>
              </w:rPr>
              <w:t>2026</w:t>
            </w:r>
          </w:p>
        </w:tc>
        <w:tc>
          <w:tcPr>
            <w:tcW w:w="582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82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14,596</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2027</w:t>
            </w:r>
          </w:p>
        </w:tc>
        <w:tc>
          <w:tcPr>
            <w:tcW w:w="582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82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13,826</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color w:val="auto"/>
                <w:w w:val="99"/>
              </w:rPr>
              <w:t>2028</w:t>
            </w:r>
          </w:p>
        </w:tc>
        <w:tc>
          <w:tcPr>
            <w:tcW w:w="582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82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13,667</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2029</w:t>
            </w:r>
          </w:p>
        </w:tc>
        <w:tc>
          <w:tcPr>
            <w:tcW w:w="582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82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12,943</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22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Thereafter</w:t>
            </w:r>
          </w:p>
        </w:tc>
        <w:tc>
          <w:tcPr>
            <w:tcW w:w="1500" w:type="dxa"/>
            <w:vAlign w:val="bottom"/>
          </w:tcPr>
          <w:p>
            <w:pPr>
              <w:spacing w:after="0"/>
              <w:rPr>
                <w:sz w:val="18"/>
                <w:szCs w:val="18"/>
                <w:color w:val="auto"/>
              </w:rPr>
            </w:pPr>
          </w:p>
        </w:tc>
        <w:tc>
          <w:tcPr>
            <w:tcW w:w="82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9,548</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622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Total lease payments</w:t>
            </w:r>
          </w:p>
        </w:tc>
        <w:tc>
          <w:tcPr>
            <w:tcW w:w="1500" w:type="dxa"/>
            <w:vAlign w:val="bottom"/>
            <w:shd w:val="clear" w:color="auto" w:fill="CFF0FC"/>
          </w:tcPr>
          <w:p>
            <w:pPr>
              <w:spacing w:after="0"/>
              <w:rPr>
                <w:sz w:val="18"/>
                <w:szCs w:val="18"/>
                <w:color w:val="auto"/>
              </w:rPr>
            </w:pPr>
          </w:p>
        </w:tc>
        <w:tc>
          <w:tcPr>
            <w:tcW w:w="82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78,617</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22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Less: imputed interest</w:t>
            </w:r>
          </w:p>
        </w:tc>
        <w:tc>
          <w:tcPr>
            <w:tcW w:w="1500" w:type="dxa"/>
            <w:vAlign w:val="bottom"/>
          </w:tcPr>
          <w:p>
            <w:pPr>
              <w:spacing w:after="0"/>
              <w:rPr>
                <w:sz w:val="18"/>
                <w:szCs w:val="18"/>
                <w:color w:val="auto"/>
              </w:rPr>
            </w:pPr>
          </w:p>
        </w:tc>
        <w:tc>
          <w:tcPr>
            <w:tcW w:w="82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64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(11,830 )</w:t>
            </w:r>
          </w:p>
        </w:tc>
        <w:tc>
          <w:tcPr>
            <w:tcW w:w="0" w:type="dxa"/>
            <w:vAlign w:val="bottom"/>
          </w:tcPr>
          <w:p>
            <w:pPr>
              <w:spacing w:after="0"/>
              <w:rPr>
                <w:sz w:val="1"/>
                <w:szCs w:val="1"/>
                <w:color w:val="auto"/>
              </w:rPr>
            </w:pPr>
          </w:p>
        </w:tc>
      </w:tr>
      <w:tr>
        <w:trPr>
          <w:trHeight w:val="250"/>
        </w:trPr>
        <w:tc>
          <w:tcPr>
            <w:tcW w:w="6220" w:type="dxa"/>
            <w:vAlign w:val="bottom"/>
            <w:tcBorders>
              <w:bottom w:val="single" w:sz="8" w:color="CFF0FC"/>
            </w:tcBorders>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Total</w:t>
            </w:r>
          </w:p>
        </w:tc>
        <w:tc>
          <w:tcPr>
            <w:tcW w:w="1500" w:type="dxa"/>
            <w:vAlign w:val="bottom"/>
            <w:tcBorders>
              <w:bottom w:val="single" w:sz="8" w:color="CFF0FC"/>
            </w:tcBorders>
            <w:shd w:val="clear" w:color="auto" w:fill="CFF0FC"/>
          </w:tcPr>
          <w:p>
            <w:pPr>
              <w:spacing w:after="0"/>
              <w:rPr>
                <w:sz w:val="21"/>
                <w:szCs w:val="21"/>
                <w:color w:val="auto"/>
              </w:rPr>
            </w:pPr>
          </w:p>
        </w:tc>
        <w:tc>
          <w:tcPr>
            <w:tcW w:w="820" w:type="dxa"/>
            <w:vAlign w:val="bottom"/>
            <w:tcBorders>
              <w:bottom w:val="single" w:sz="8" w:color="CFF0FC"/>
            </w:tcBorders>
            <w:shd w:val="clear" w:color="auto" w:fill="CFF0FC"/>
          </w:tcPr>
          <w:p>
            <w:pPr>
              <w:spacing w:after="0"/>
              <w:rPr>
                <w:sz w:val="21"/>
                <w:szCs w:val="21"/>
                <w:color w:val="auto"/>
              </w:rPr>
            </w:pPr>
          </w:p>
        </w:tc>
        <w:tc>
          <w:tcPr>
            <w:tcW w:w="740" w:type="dxa"/>
            <w:vAlign w:val="bottom"/>
            <w:tcBorders>
              <w:bottom w:val="single" w:sz="8" w:color="CFF0FC"/>
            </w:tcBorders>
            <w:gridSpan w:val="2"/>
            <w:shd w:val="clear" w:color="auto" w:fill="CFF0FC"/>
          </w:tcPr>
          <w:p>
            <w:pPr>
              <w:spacing w:after="0"/>
              <w:rPr>
                <w:sz w:val="21"/>
                <w:szCs w:val="21"/>
                <w:color w:val="auto"/>
              </w:rPr>
            </w:pPr>
          </w:p>
        </w:tc>
        <w:tc>
          <w:tcPr>
            <w:tcW w:w="320" w:type="dxa"/>
            <w:vAlign w:val="bottom"/>
            <w:tcBorders>
              <w:top w:val="single" w:sz="8" w:color="auto"/>
              <w:bottom w:val="single" w:sz="8" w:color="auto"/>
            </w:tcBorders>
            <w:shd w:val="clear" w:color="auto" w:fill="CFF0FC"/>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5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66,787</w:t>
            </w: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196"/>
        </w:trPr>
        <w:tc>
          <w:tcPr>
            <w:tcW w:w="6220" w:type="dxa"/>
            <w:vAlign w:val="bottom"/>
            <w:gridSpan w:val="2"/>
          </w:tcPr>
          <w:p>
            <w:pPr>
              <w:spacing w:after="0"/>
              <w:rPr>
                <w:sz w:val="17"/>
                <w:szCs w:val="17"/>
                <w:color w:val="auto"/>
              </w:rPr>
            </w:pPr>
          </w:p>
        </w:tc>
        <w:tc>
          <w:tcPr>
            <w:tcW w:w="1500" w:type="dxa"/>
            <w:vAlign w:val="bottom"/>
          </w:tcPr>
          <w:p>
            <w:pPr>
              <w:spacing w:after="0"/>
              <w:rPr>
                <w:sz w:val="17"/>
                <w:szCs w:val="17"/>
                <w:color w:val="auto"/>
              </w:rPr>
            </w:pPr>
          </w:p>
        </w:tc>
        <w:tc>
          <w:tcPr>
            <w:tcW w:w="82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460" w:type="dxa"/>
            <w:vAlign w:val="bottom"/>
          </w:tcPr>
          <w:p>
            <w:pPr>
              <w:spacing w:after="0"/>
              <w:rPr>
                <w:sz w:val="17"/>
                <w:szCs w:val="17"/>
                <w:color w:val="auto"/>
              </w:rPr>
            </w:pPr>
          </w:p>
        </w:tc>
        <w:tc>
          <w:tcPr>
            <w:tcW w:w="320" w:type="dxa"/>
            <w:vAlign w:val="bottom"/>
          </w:tcPr>
          <w:p>
            <w:pPr>
              <w:spacing w:after="0"/>
              <w:rPr>
                <w:sz w:val="17"/>
                <w:szCs w:val="17"/>
                <w:color w:val="auto"/>
              </w:rPr>
            </w:pPr>
          </w:p>
        </w:tc>
        <w:tc>
          <w:tcPr>
            <w:tcW w:w="154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62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Reported as:</w:t>
            </w:r>
          </w:p>
        </w:tc>
        <w:tc>
          <w:tcPr>
            <w:tcW w:w="1500" w:type="dxa"/>
            <w:vAlign w:val="bottom"/>
            <w:shd w:val="clear" w:color="auto" w:fill="CFF0FC"/>
          </w:tcPr>
          <w:p>
            <w:pPr>
              <w:spacing w:after="0"/>
              <w:rPr>
                <w:sz w:val="18"/>
                <w:szCs w:val="18"/>
                <w:color w:val="auto"/>
              </w:rPr>
            </w:pPr>
          </w:p>
        </w:tc>
        <w:tc>
          <w:tcPr>
            <w:tcW w:w="82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54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22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Current operating lease liabilities</w:t>
            </w:r>
          </w:p>
        </w:tc>
        <w:tc>
          <w:tcPr>
            <w:tcW w:w="1500" w:type="dxa"/>
            <w:vAlign w:val="bottom"/>
          </w:tcPr>
          <w:p>
            <w:pPr>
              <w:spacing w:after="0"/>
              <w:rPr>
                <w:sz w:val="18"/>
                <w:szCs w:val="18"/>
                <w:color w:val="auto"/>
              </w:rPr>
            </w:pPr>
          </w:p>
        </w:tc>
        <w:tc>
          <w:tcPr>
            <w:tcW w:w="820" w:type="dxa"/>
            <w:vAlign w:val="bottom"/>
          </w:tcPr>
          <w:p>
            <w:pPr>
              <w:spacing w:after="0"/>
              <w:rPr>
                <w:sz w:val="18"/>
                <w:szCs w:val="18"/>
                <w:color w:val="auto"/>
              </w:rPr>
            </w:pPr>
          </w:p>
        </w:tc>
        <w:tc>
          <w:tcPr>
            <w:tcW w:w="1060" w:type="dxa"/>
            <w:vAlign w:val="bottom"/>
            <w:gridSpan w:val="3"/>
          </w:tcPr>
          <w:p>
            <w:pPr>
              <w:jc w:val="right"/>
              <w:ind w:right="130"/>
              <w:spacing w:after="0"/>
              <w:rPr>
                <w:sz w:val="20"/>
                <w:szCs w:val="20"/>
                <w:color w:val="auto"/>
              </w:rPr>
            </w:pPr>
            <w:r>
              <w:rPr>
                <w:rFonts w:ascii="Times New Roman" w:cs="Times New Roman" w:eastAsia="Times New Roman" w:hAnsi="Times New Roman"/>
                <w:sz w:val="18"/>
                <w:szCs w:val="18"/>
                <w:color w:val="auto"/>
              </w:rPr>
              <w:t>$</w:t>
            </w: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10,384</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220" w:type="dxa"/>
            <w:vAlign w:val="bottom"/>
            <w:tcBorders>
              <w:bottom w:val="single" w:sz="8" w:color="CFF0FC"/>
            </w:tcBorders>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Non-current operating lease liabilities</w:t>
            </w:r>
          </w:p>
        </w:tc>
        <w:tc>
          <w:tcPr>
            <w:tcW w:w="1500" w:type="dxa"/>
            <w:vAlign w:val="bottom"/>
            <w:tcBorders>
              <w:bottom w:val="single" w:sz="8" w:color="CFF0FC"/>
            </w:tcBorders>
            <w:shd w:val="clear" w:color="auto" w:fill="CFF0FC"/>
          </w:tcPr>
          <w:p>
            <w:pPr>
              <w:spacing w:after="0"/>
              <w:rPr>
                <w:sz w:val="18"/>
                <w:szCs w:val="18"/>
                <w:color w:val="auto"/>
              </w:rPr>
            </w:pPr>
          </w:p>
        </w:tc>
        <w:tc>
          <w:tcPr>
            <w:tcW w:w="820" w:type="dxa"/>
            <w:vAlign w:val="bottom"/>
            <w:tcBorders>
              <w:bottom w:val="single" w:sz="8" w:color="CFF0FC"/>
            </w:tcBorders>
            <w:shd w:val="clear" w:color="auto" w:fill="CFF0FC"/>
          </w:tcPr>
          <w:p>
            <w:pPr>
              <w:spacing w:after="0"/>
              <w:rPr>
                <w:sz w:val="18"/>
                <w:szCs w:val="18"/>
                <w:color w:val="auto"/>
              </w:rPr>
            </w:pPr>
          </w:p>
        </w:tc>
        <w:tc>
          <w:tcPr>
            <w:tcW w:w="280" w:type="dxa"/>
            <w:vAlign w:val="bottom"/>
            <w:tcBorders>
              <w:bottom w:val="single" w:sz="8" w:color="CFF0FC"/>
            </w:tcBorders>
            <w:shd w:val="clear" w:color="auto" w:fill="CFF0FC"/>
          </w:tcPr>
          <w:p>
            <w:pPr>
              <w:spacing w:after="0"/>
              <w:rPr>
                <w:sz w:val="18"/>
                <w:szCs w:val="18"/>
                <w:color w:val="auto"/>
              </w:rPr>
            </w:pPr>
          </w:p>
        </w:tc>
        <w:tc>
          <w:tcPr>
            <w:tcW w:w="46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56,403</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622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Total</w:t>
            </w:r>
          </w:p>
        </w:tc>
        <w:tc>
          <w:tcPr>
            <w:tcW w:w="1500" w:type="dxa"/>
            <w:vAlign w:val="bottom"/>
          </w:tcPr>
          <w:p>
            <w:pPr>
              <w:spacing w:after="0"/>
              <w:rPr>
                <w:sz w:val="18"/>
                <w:szCs w:val="18"/>
                <w:color w:val="auto"/>
              </w:rPr>
            </w:pPr>
          </w:p>
        </w:tc>
        <w:tc>
          <w:tcPr>
            <w:tcW w:w="820" w:type="dxa"/>
            <w:vAlign w:val="bottom"/>
          </w:tcPr>
          <w:p>
            <w:pPr>
              <w:spacing w:after="0"/>
              <w:rPr>
                <w:sz w:val="18"/>
                <w:szCs w:val="18"/>
                <w:color w:val="auto"/>
              </w:rPr>
            </w:pPr>
          </w:p>
        </w:tc>
        <w:tc>
          <w:tcPr>
            <w:tcW w:w="1060" w:type="dxa"/>
            <w:vAlign w:val="bottom"/>
            <w:gridSpan w:val="3"/>
          </w:tcPr>
          <w:p>
            <w:pPr>
              <w:jc w:val="right"/>
              <w:ind w:right="130"/>
              <w:spacing w:after="0"/>
              <w:rPr>
                <w:sz w:val="20"/>
                <w:szCs w:val="20"/>
                <w:color w:val="auto"/>
              </w:rPr>
            </w:pPr>
            <w:r>
              <w:rPr>
                <w:rFonts w:ascii="Times New Roman" w:cs="Times New Roman" w:eastAsia="Times New Roman" w:hAnsi="Times New Roman"/>
                <w:sz w:val="18"/>
                <w:szCs w:val="18"/>
                <w:color w:val="auto"/>
              </w:rPr>
              <w:t>$</w:t>
            </w: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66,787</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6220" w:type="dxa"/>
            <w:vAlign w:val="bottom"/>
            <w:gridSpan w:val="2"/>
            <w:vMerge w:val="restart"/>
          </w:tcPr>
          <w:p>
            <w:pPr>
              <w:spacing w:after="0"/>
              <w:rPr>
                <w:sz w:val="20"/>
                <w:szCs w:val="20"/>
                <w:color w:val="auto"/>
              </w:rPr>
            </w:pPr>
            <w:r>
              <w:rPr>
                <w:rFonts w:ascii="Times New Roman" w:cs="Times New Roman" w:eastAsia="Times New Roman" w:hAnsi="Times New Roman"/>
                <w:sz w:val="18"/>
                <w:szCs w:val="18"/>
                <w:b w:val="1"/>
                <w:bCs w:val="1"/>
                <w:color w:val="auto"/>
              </w:rPr>
              <w:t>(8) Long-term Debt</w:t>
            </w:r>
          </w:p>
        </w:tc>
        <w:tc>
          <w:tcPr>
            <w:tcW w:w="1500" w:type="dxa"/>
            <w:vAlign w:val="bottom"/>
          </w:tcPr>
          <w:p>
            <w:pPr>
              <w:spacing w:after="0" w:line="20" w:lineRule="exact"/>
              <w:rPr>
                <w:sz w:val="1"/>
                <w:szCs w:val="1"/>
                <w:color w:val="auto"/>
              </w:rPr>
            </w:pPr>
          </w:p>
        </w:tc>
        <w:tc>
          <w:tcPr>
            <w:tcW w:w="820" w:type="dxa"/>
            <w:vAlign w:val="bottom"/>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460" w:type="dxa"/>
            <w:vAlign w:val="bottom"/>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154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548"/>
        </w:trPr>
        <w:tc>
          <w:tcPr>
            <w:tcW w:w="6220" w:type="dxa"/>
            <w:vAlign w:val="bottom"/>
            <w:gridSpan w:val="2"/>
            <w:vMerge w:val="continue"/>
          </w:tcPr>
          <w:p>
            <w:pPr>
              <w:spacing w:after="0"/>
              <w:rPr>
                <w:sz w:val="24"/>
                <w:szCs w:val="24"/>
                <w:color w:val="auto"/>
              </w:rPr>
            </w:pPr>
          </w:p>
        </w:tc>
        <w:tc>
          <w:tcPr>
            <w:tcW w:w="150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320" w:type="dxa"/>
            <w:vAlign w:val="bottom"/>
          </w:tcPr>
          <w:p>
            <w:pPr>
              <w:spacing w:after="0"/>
              <w:rPr>
                <w:sz w:val="24"/>
                <w:szCs w:val="24"/>
                <w:color w:val="auto"/>
              </w:rPr>
            </w:pPr>
          </w:p>
        </w:tc>
        <w:tc>
          <w:tcPr>
            <w:tcW w:w="154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78"/>
        </w:trPr>
        <w:tc>
          <w:tcPr>
            <w:tcW w:w="772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The net carrying value of the Company’s outstanding debt (in thousands) consisted of the following as of:</w:t>
            </w:r>
          </w:p>
        </w:tc>
        <w:tc>
          <w:tcPr>
            <w:tcW w:w="82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320" w:type="dxa"/>
            <w:vAlign w:val="bottom"/>
          </w:tcPr>
          <w:p>
            <w:pPr>
              <w:spacing w:after="0"/>
              <w:rPr>
                <w:sz w:val="24"/>
                <w:szCs w:val="24"/>
                <w:color w:val="auto"/>
              </w:rPr>
            </w:pPr>
          </w:p>
        </w:tc>
        <w:tc>
          <w:tcPr>
            <w:tcW w:w="154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64"/>
        </w:trPr>
        <w:tc>
          <w:tcPr>
            <w:tcW w:w="400" w:type="dxa"/>
            <w:vAlign w:val="bottom"/>
          </w:tcPr>
          <w:p>
            <w:pPr>
              <w:spacing w:after="0"/>
              <w:rPr>
                <w:sz w:val="24"/>
                <w:szCs w:val="24"/>
                <w:color w:val="auto"/>
              </w:rPr>
            </w:pPr>
          </w:p>
        </w:tc>
        <w:tc>
          <w:tcPr>
            <w:tcW w:w="5820" w:type="dxa"/>
            <w:vAlign w:val="bottom"/>
          </w:tcPr>
          <w:p>
            <w:pPr>
              <w:spacing w:after="0"/>
              <w:rPr>
                <w:sz w:val="24"/>
                <w:szCs w:val="24"/>
                <w:color w:val="auto"/>
              </w:rPr>
            </w:pPr>
          </w:p>
        </w:tc>
        <w:tc>
          <w:tcPr>
            <w:tcW w:w="1500" w:type="dxa"/>
            <w:vAlign w:val="bottom"/>
            <w:tcBorders>
              <w:bottom w:val="single" w:sz="8" w:color="auto"/>
            </w:tcBorders>
          </w:tcPr>
          <w:p>
            <w:pPr>
              <w:spacing w:after="0"/>
              <w:rPr>
                <w:sz w:val="24"/>
                <w:szCs w:val="24"/>
                <w:color w:val="auto"/>
              </w:rPr>
            </w:pPr>
          </w:p>
        </w:tc>
        <w:tc>
          <w:tcPr>
            <w:tcW w:w="1880" w:type="dxa"/>
            <w:vAlign w:val="bottom"/>
            <w:tcBorders>
              <w:bottom w:val="single" w:sz="8" w:color="auto"/>
            </w:tcBorders>
            <w:gridSpan w:val="4"/>
          </w:tcPr>
          <w:p>
            <w:pPr>
              <w:jc w:val="right"/>
              <w:ind w:right="43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15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42"/>
        </w:trPr>
        <w:tc>
          <w:tcPr>
            <w:tcW w:w="400" w:type="dxa"/>
            <w:vAlign w:val="bottom"/>
          </w:tcPr>
          <w:p>
            <w:pPr>
              <w:spacing w:after="0"/>
              <w:rPr>
                <w:sz w:val="12"/>
                <w:szCs w:val="12"/>
                <w:color w:val="auto"/>
              </w:rPr>
            </w:pPr>
          </w:p>
        </w:tc>
        <w:tc>
          <w:tcPr>
            <w:tcW w:w="5820" w:type="dxa"/>
            <w:vAlign w:val="bottom"/>
          </w:tcPr>
          <w:p>
            <w:pPr>
              <w:spacing w:after="0"/>
              <w:rPr>
                <w:sz w:val="12"/>
                <w:szCs w:val="12"/>
                <w:color w:val="auto"/>
              </w:rPr>
            </w:pPr>
          </w:p>
        </w:tc>
        <w:tc>
          <w:tcPr>
            <w:tcW w:w="1500" w:type="dxa"/>
            <w:vAlign w:val="bottom"/>
            <w:tcBorders>
              <w:bottom w:val="single" w:sz="8" w:color="auto"/>
            </w:tcBorders>
          </w:tcPr>
          <w:p>
            <w:pPr>
              <w:jc w:val="right"/>
              <w:ind w:right="115"/>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820" w:type="dxa"/>
            <w:vAlign w:val="bottom"/>
            <w:tcBorders>
              <w:bottom w:val="single" w:sz="8" w:color="auto"/>
            </w:tcBorders>
          </w:tcPr>
          <w:p>
            <w:pPr>
              <w:spacing w:after="0"/>
              <w:rPr>
                <w:sz w:val="12"/>
                <w:szCs w:val="12"/>
                <w:color w:val="auto"/>
              </w:rPr>
            </w:pPr>
          </w:p>
        </w:tc>
        <w:tc>
          <w:tcPr>
            <w:tcW w:w="280" w:type="dxa"/>
            <w:vAlign w:val="bottom"/>
          </w:tcPr>
          <w:p>
            <w:pPr>
              <w:spacing w:after="0"/>
              <w:rPr>
                <w:sz w:val="12"/>
                <w:szCs w:val="12"/>
                <w:color w:val="auto"/>
              </w:rPr>
            </w:pPr>
          </w:p>
        </w:tc>
        <w:tc>
          <w:tcPr>
            <w:tcW w:w="460" w:type="dxa"/>
            <w:vAlign w:val="bottom"/>
            <w:tcBorders>
              <w:bottom w:val="single" w:sz="8" w:color="auto"/>
            </w:tcBorders>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540" w:type="dxa"/>
            <w:vAlign w:val="bottom"/>
            <w:tcBorders>
              <w:bottom w:val="single" w:sz="8" w:color="auto"/>
            </w:tcBorders>
          </w:tcPr>
          <w:p>
            <w:pPr>
              <w:jc w:val="right"/>
              <w:ind w:right="931"/>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4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2025</w:t>
            </w:r>
          </w:p>
        </w:tc>
        <w:tc>
          <w:tcPr>
            <w:tcW w:w="58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00" w:type="dxa"/>
            <w:vAlign w:val="bottom"/>
            <w:shd w:val="clear" w:color="auto" w:fill="CFF0FC"/>
          </w:tcPr>
          <w:p>
            <w:pPr>
              <w:jc w:val="right"/>
              <w:ind w:right="1315"/>
              <w:spacing w:after="0"/>
              <w:rPr>
                <w:sz w:val="20"/>
                <w:szCs w:val="20"/>
                <w:color w:val="auto"/>
              </w:rPr>
            </w:pPr>
            <w:r>
              <w:rPr>
                <w:rFonts w:ascii="Times New Roman" w:cs="Times New Roman" w:eastAsia="Times New Roman" w:hAnsi="Times New Roman"/>
                <w:sz w:val="18"/>
                <w:szCs w:val="18"/>
                <w:color w:val="auto"/>
                <w:w w:val="88"/>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740" w:type="dxa"/>
            <w:vAlign w:val="bottom"/>
            <w:gridSpan w:val="2"/>
            <w:shd w:val="clear" w:color="auto" w:fill="CFF0FC"/>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320" w:type="dxa"/>
            <w:vAlign w:val="bottom"/>
            <w:shd w:val="clear" w:color="auto" w:fill="CFF0FC"/>
          </w:tcPr>
          <w:p>
            <w:pPr>
              <w:spacing w:after="0"/>
              <w:rPr>
                <w:sz w:val="18"/>
                <w:szCs w:val="18"/>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643,931</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color w:val="auto"/>
                <w:w w:val="99"/>
              </w:rPr>
              <w:t>2027</w:t>
            </w:r>
          </w:p>
        </w:tc>
        <w:tc>
          <w:tcPr>
            <w:tcW w:w="58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0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1,041,352</w:t>
            </w: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1,037,306</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2028</w:t>
            </w:r>
          </w:p>
        </w:tc>
        <w:tc>
          <w:tcPr>
            <w:tcW w:w="58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0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998,543</w:t>
            </w: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color w:val="auto"/>
                <w:w w:val="99"/>
              </w:rPr>
              <w:t>2029</w:t>
            </w:r>
          </w:p>
        </w:tc>
        <w:tc>
          <w:tcPr>
            <w:tcW w:w="58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0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2,975,037</w:t>
            </w: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2030</w:t>
            </w:r>
          </w:p>
        </w:tc>
        <w:tc>
          <w:tcPr>
            <w:tcW w:w="58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0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785,172</w:t>
            </w: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color w:val="auto"/>
                <w:w w:val="99"/>
              </w:rPr>
              <w:t>2031</w:t>
            </w:r>
          </w:p>
        </w:tc>
        <w:tc>
          <w:tcPr>
            <w:tcW w:w="58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0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594,476</w:t>
            </w: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2032</w:t>
            </w:r>
          </w:p>
        </w:tc>
        <w:tc>
          <w:tcPr>
            <w:tcW w:w="58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150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787,417</w:t>
            </w:r>
          </w:p>
        </w:tc>
        <w:tc>
          <w:tcPr>
            <w:tcW w:w="280" w:type="dxa"/>
            <w:vAlign w:val="bottom"/>
            <w:shd w:val="clear" w:color="auto" w:fill="CFF0FC"/>
          </w:tcPr>
          <w:p>
            <w:pPr>
              <w:spacing w:after="0"/>
              <w:rPr>
                <w:sz w:val="18"/>
                <w:szCs w:val="18"/>
                <w:color w:val="auto"/>
              </w:rPr>
            </w:pPr>
          </w:p>
        </w:tc>
        <w:tc>
          <w:tcPr>
            <w:tcW w:w="46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color w:val="auto"/>
                <w:w w:val="99"/>
              </w:rPr>
              <w:t>2028</w:t>
            </w:r>
          </w:p>
        </w:tc>
        <w:tc>
          <w:tcPr>
            <w:tcW w:w="58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Secured Notes</w:t>
            </w:r>
          </w:p>
        </w:tc>
        <w:tc>
          <w:tcPr>
            <w:tcW w:w="150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491,193</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22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long-term secured debt</w:t>
            </w:r>
          </w:p>
        </w:tc>
        <w:tc>
          <w:tcPr>
            <w:tcW w:w="1500" w:type="dxa"/>
            <w:vAlign w:val="bottom"/>
            <w:tcBorders>
              <w:bottom w:val="single" w:sz="8" w:color="auto"/>
            </w:tcBorders>
            <w:shd w:val="clear" w:color="auto" w:fill="CFF0FC"/>
          </w:tcPr>
          <w:p>
            <w:pPr>
              <w:spacing w:after="0"/>
              <w:rPr>
                <w:sz w:val="18"/>
                <w:szCs w:val="18"/>
                <w:color w:val="auto"/>
              </w:rPr>
            </w:pPr>
          </w:p>
        </w:tc>
        <w:tc>
          <w:tcPr>
            <w:tcW w:w="8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9,678</w:t>
            </w:r>
          </w:p>
        </w:tc>
        <w:tc>
          <w:tcPr>
            <w:tcW w:w="280" w:type="dxa"/>
            <w:vAlign w:val="bottom"/>
            <w:tcBorders>
              <w:bottom w:val="single" w:sz="8" w:color="CFF0FC"/>
            </w:tcBorders>
            <w:shd w:val="clear" w:color="auto" w:fill="CFF0FC"/>
          </w:tcPr>
          <w:p>
            <w:pPr>
              <w:spacing w:after="0"/>
              <w:rPr>
                <w:sz w:val="18"/>
                <w:szCs w:val="18"/>
                <w:color w:val="auto"/>
              </w:rPr>
            </w:pPr>
          </w:p>
        </w:tc>
        <w:tc>
          <w:tcPr>
            <w:tcW w:w="460" w:type="dxa"/>
            <w:vAlign w:val="bottom"/>
            <w:tcBorders>
              <w:bottom w:val="single" w:sz="8" w:color="auto"/>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10,161</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6220" w:type="dxa"/>
            <w:vAlign w:val="bottom"/>
            <w:gridSpan w:val="2"/>
          </w:tcPr>
          <w:p>
            <w:pPr>
              <w:ind w:left="120"/>
              <w:spacing w:after="0"/>
              <w:rPr>
                <w:sz w:val="20"/>
                <w:szCs w:val="20"/>
                <w:color w:val="auto"/>
              </w:rPr>
            </w:pPr>
            <w:r>
              <w:rPr>
                <w:rFonts w:ascii="Times New Roman" w:cs="Times New Roman" w:eastAsia="Times New Roman" w:hAnsi="Times New Roman"/>
                <w:sz w:val="18"/>
                <w:szCs w:val="18"/>
                <w:color w:val="auto"/>
              </w:rPr>
              <w:t>Total</w:t>
            </w:r>
          </w:p>
        </w:tc>
        <w:tc>
          <w:tcPr>
            <w:tcW w:w="1500" w:type="dxa"/>
            <w:vAlign w:val="bottom"/>
          </w:tcPr>
          <w:p>
            <w:pPr>
              <w:jc w:val="right"/>
              <w:ind w:right="1315"/>
              <w:spacing w:after="0"/>
              <w:rPr>
                <w:sz w:val="20"/>
                <w:szCs w:val="20"/>
                <w:color w:val="auto"/>
              </w:rPr>
            </w:pPr>
            <w:r>
              <w:rPr>
                <w:rFonts w:ascii="Times New Roman" w:cs="Times New Roman" w:eastAsia="Times New Roman" w:hAnsi="Times New Roman"/>
                <w:sz w:val="18"/>
                <w:szCs w:val="18"/>
                <w:color w:val="auto"/>
                <w:w w:val="88"/>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7,191,675</w:t>
            </w:r>
          </w:p>
        </w:tc>
        <w:tc>
          <w:tcPr>
            <w:tcW w:w="74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320" w:type="dxa"/>
            <w:vAlign w:val="bottom"/>
          </w:tcPr>
          <w:p>
            <w:pPr>
              <w:spacing w:after="0"/>
              <w:rPr>
                <w:sz w:val="18"/>
                <w:szCs w:val="18"/>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2,182,591</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400" w:type="dxa"/>
            <w:vAlign w:val="bottom"/>
          </w:tcPr>
          <w:p>
            <w:pPr>
              <w:spacing w:after="0" w:line="20" w:lineRule="exact"/>
              <w:rPr>
                <w:sz w:val="1"/>
                <w:szCs w:val="1"/>
                <w:color w:val="auto"/>
              </w:rPr>
            </w:pPr>
          </w:p>
        </w:tc>
        <w:tc>
          <w:tcPr>
            <w:tcW w:w="5820" w:type="dxa"/>
            <w:vAlign w:val="bottom"/>
          </w:tcPr>
          <w:p>
            <w:pPr>
              <w:spacing w:after="0" w:line="20" w:lineRule="exact"/>
              <w:rPr>
                <w:sz w:val="1"/>
                <w:szCs w:val="1"/>
                <w:color w:val="auto"/>
              </w:rPr>
            </w:pPr>
          </w:p>
        </w:tc>
        <w:tc>
          <w:tcPr>
            <w:tcW w:w="1500" w:type="dxa"/>
            <w:vAlign w:val="bottom"/>
            <w:tcBorders>
              <w:top w:val="single" w:sz="8" w:color="auto"/>
              <w:bottom w:val="single" w:sz="8" w:color="auto"/>
            </w:tcBorders>
          </w:tcPr>
          <w:p>
            <w:pPr>
              <w:spacing w:after="0" w:line="20" w:lineRule="exact"/>
              <w:rPr>
                <w:sz w:val="1"/>
                <w:szCs w:val="1"/>
                <w:color w:val="auto"/>
              </w:rPr>
            </w:pPr>
          </w:p>
        </w:tc>
        <w:tc>
          <w:tcPr>
            <w:tcW w:w="82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154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7"/>
        </w:trPr>
        <w:tc>
          <w:tcPr>
            <w:tcW w:w="6220" w:type="dxa"/>
            <w:vAlign w:val="bottom"/>
            <w:gridSpan w:val="2"/>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color w:val="auto"/>
              </w:rPr>
              <w:t>Reported as:</w:t>
            </w:r>
          </w:p>
        </w:tc>
        <w:tc>
          <w:tcPr>
            <w:tcW w:w="1500" w:type="dxa"/>
            <w:vAlign w:val="bottom"/>
            <w:shd w:val="clear" w:color="auto" w:fill="CFF0FC"/>
          </w:tcPr>
          <w:p>
            <w:pPr>
              <w:spacing w:after="0"/>
              <w:rPr>
                <w:sz w:val="17"/>
                <w:szCs w:val="17"/>
                <w:color w:val="auto"/>
              </w:rPr>
            </w:pPr>
          </w:p>
        </w:tc>
        <w:tc>
          <w:tcPr>
            <w:tcW w:w="82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460" w:type="dxa"/>
            <w:vAlign w:val="bottom"/>
            <w:shd w:val="clear" w:color="auto" w:fill="CFF0FC"/>
          </w:tcPr>
          <w:p>
            <w:pPr>
              <w:spacing w:after="0"/>
              <w:rPr>
                <w:sz w:val="17"/>
                <w:szCs w:val="17"/>
                <w:color w:val="auto"/>
              </w:rPr>
            </w:pPr>
          </w:p>
        </w:tc>
        <w:tc>
          <w:tcPr>
            <w:tcW w:w="320" w:type="dxa"/>
            <w:vAlign w:val="bottom"/>
            <w:shd w:val="clear" w:color="auto" w:fill="CFF0FC"/>
          </w:tcPr>
          <w:p>
            <w:pPr>
              <w:spacing w:after="0"/>
              <w:rPr>
                <w:sz w:val="17"/>
                <w:szCs w:val="17"/>
                <w:color w:val="auto"/>
              </w:rPr>
            </w:pPr>
          </w:p>
        </w:tc>
        <w:tc>
          <w:tcPr>
            <w:tcW w:w="154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6220" w:type="dxa"/>
            <w:vAlign w:val="bottom"/>
            <w:gridSpan w:val="2"/>
          </w:tcPr>
          <w:p>
            <w:pPr>
              <w:ind w:left="120"/>
              <w:spacing w:after="0"/>
              <w:rPr>
                <w:sz w:val="20"/>
                <w:szCs w:val="20"/>
                <w:color w:val="auto"/>
              </w:rPr>
            </w:pPr>
            <w:r>
              <w:rPr>
                <w:rFonts w:ascii="Times New Roman" w:cs="Times New Roman" w:eastAsia="Times New Roman" w:hAnsi="Times New Roman"/>
                <w:sz w:val="18"/>
                <w:szCs w:val="18"/>
                <w:color w:val="auto"/>
              </w:rPr>
              <w:t>Current portion of long-term debt, net</w:t>
            </w:r>
          </w:p>
        </w:tc>
        <w:tc>
          <w:tcPr>
            <w:tcW w:w="150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517</w:t>
            </w:r>
          </w:p>
        </w:tc>
        <w:tc>
          <w:tcPr>
            <w:tcW w:w="280" w:type="dxa"/>
            <w:vAlign w:val="bottom"/>
          </w:tcPr>
          <w:p>
            <w:pPr>
              <w:spacing w:after="0"/>
              <w:rPr>
                <w:sz w:val="18"/>
                <w:szCs w:val="18"/>
                <w:color w:val="auto"/>
              </w:rPr>
            </w:pPr>
          </w:p>
        </w:tc>
        <w:tc>
          <w:tcPr>
            <w:tcW w:w="4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483</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220" w:type="dxa"/>
            <w:vAlign w:val="bottom"/>
            <w:tcBorders>
              <w:bottom w:val="single" w:sz="8" w:color="CFF0FC"/>
            </w:tcBorders>
            <w:gridSpan w:val="2"/>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Long-term debt, net</w:t>
            </w:r>
          </w:p>
        </w:tc>
        <w:tc>
          <w:tcPr>
            <w:tcW w:w="1500" w:type="dxa"/>
            <w:vAlign w:val="bottom"/>
            <w:tcBorders>
              <w:bottom w:val="single" w:sz="8" w:color="auto"/>
            </w:tcBorders>
            <w:shd w:val="clear" w:color="auto" w:fill="CFF0FC"/>
          </w:tcPr>
          <w:p>
            <w:pPr>
              <w:spacing w:after="0"/>
              <w:rPr>
                <w:sz w:val="18"/>
                <w:szCs w:val="18"/>
                <w:color w:val="auto"/>
              </w:rPr>
            </w:pPr>
          </w:p>
        </w:tc>
        <w:tc>
          <w:tcPr>
            <w:tcW w:w="8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7,191,158</w:t>
            </w:r>
          </w:p>
        </w:tc>
        <w:tc>
          <w:tcPr>
            <w:tcW w:w="280" w:type="dxa"/>
            <w:vAlign w:val="bottom"/>
            <w:tcBorders>
              <w:bottom w:val="single" w:sz="8" w:color="CFF0FC"/>
            </w:tcBorders>
            <w:shd w:val="clear" w:color="auto" w:fill="CFF0FC"/>
          </w:tcPr>
          <w:p>
            <w:pPr>
              <w:spacing w:after="0"/>
              <w:rPr>
                <w:sz w:val="18"/>
                <w:szCs w:val="18"/>
                <w:color w:val="auto"/>
              </w:rPr>
            </w:pPr>
          </w:p>
        </w:tc>
        <w:tc>
          <w:tcPr>
            <w:tcW w:w="460" w:type="dxa"/>
            <w:vAlign w:val="bottom"/>
            <w:tcBorders>
              <w:bottom w:val="single" w:sz="8" w:color="auto"/>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2,182,108</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6220" w:type="dxa"/>
            <w:vAlign w:val="bottom"/>
            <w:gridSpan w:val="2"/>
          </w:tcPr>
          <w:p>
            <w:pPr>
              <w:ind w:left="120"/>
              <w:spacing w:after="0"/>
              <w:rPr>
                <w:sz w:val="20"/>
                <w:szCs w:val="20"/>
                <w:color w:val="auto"/>
              </w:rPr>
            </w:pPr>
            <w:r>
              <w:rPr>
                <w:rFonts w:ascii="Times New Roman" w:cs="Times New Roman" w:eastAsia="Times New Roman" w:hAnsi="Times New Roman"/>
                <w:sz w:val="18"/>
                <w:szCs w:val="18"/>
                <w:color w:val="auto"/>
              </w:rPr>
              <w:t>Total</w:t>
            </w:r>
          </w:p>
        </w:tc>
        <w:tc>
          <w:tcPr>
            <w:tcW w:w="1500" w:type="dxa"/>
            <w:vAlign w:val="bottom"/>
          </w:tcPr>
          <w:p>
            <w:pPr>
              <w:jc w:val="right"/>
              <w:ind w:right="1315"/>
              <w:spacing w:after="0"/>
              <w:rPr>
                <w:sz w:val="20"/>
                <w:szCs w:val="20"/>
                <w:color w:val="auto"/>
              </w:rPr>
            </w:pPr>
            <w:r>
              <w:rPr>
                <w:rFonts w:ascii="Times New Roman" w:cs="Times New Roman" w:eastAsia="Times New Roman" w:hAnsi="Times New Roman"/>
                <w:sz w:val="18"/>
                <w:szCs w:val="18"/>
                <w:color w:val="auto"/>
                <w:w w:val="88"/>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7,191,675</w:t>
            </w:r>
          </w:p>
        </w:tc>
        <w:tc>
          <w:tcPr>
            <w:tcW w:w="74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320" w:type="dxa"/>
            <w:vAlign w:val="bottom"/>
          </w:tcPr>
          <w:p>
            <w:pPr>
              <w:spacing w:after="0"/>
              <w:rPr>
                <w:sz w:val="18"/>
                <w:szCs w:val="18"/>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2,182,591</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400" w:type="dxa"/>
            <w:vAlign w:val="bottom"/>
          </w:tcPr>
          <w:p>
            <w:pPr>
              <w:spacing w:after="0" w:line="20" w:lineRule="exact"/>
              <w:rPr>
                <w:sz w:val="1"/>
                <w:szCs w:val="1"/>
                <w:color w:val="auto"/>
              </w:rPr>
            </w:pPr>
          </w:p>
        </w:tc>
        <w:tc>
          <w:tcPr>
            <w:tcW w:w="5820" w:type="dxa"/>
            <w:vAlign w:val="bottom"/>
          </w:tcPr>
          <w:p>
            <w:pPr>
              <w:spacing w:after="0" w:line="20" w:lineRule="exact"/>
              <w:rPr>
                <w:sz w:val="1"/>
                <w:szCs w:val="1"/>
                <w:color w:val="auto"/>
              </w:rPr>
            </w:pPr>
          </w:p>
        </w:tc>
        <w:tc>
          <w:tcPr>
            <w:tcW w:w="1500" w:type="dxa"/>
            <w:vAlign w:val="bottom"/>
            <w:tcBorders>
              <w:top w:val="single" w:sz="8" w:color="auto"/>
              <w:bottom w:val="single" w:sz="8" w:color="auto"/>
            </w:tcBorders>
          </w:tcPr>
          <w:p>
            <w:pPr>
              <w:spacing w:after="0" w:line="20" w:lineRule="exact"/>
              <w:rPr>
                <w:sz w:val="1"/>
                <w:szCs w:val="1"/>
                <w:color w:val="auto"/>
              </w:rPr>
            </w:pPr>
          </w:p>
        </w:tc>
        <w:tc>
          <w:tcPr>
            <w:tcW w:w="82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154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7068820</wp:posOffset>
            </wp:positionH>
            <wp:positionV relativeFrom="paragraph">
              <wp:posOffset>-3676650</wp:posOffset>
            </wp:positionV>
            <wp:extent cx="68580" cy="8255"/>
            <wp:wrapNone/>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2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-3659505</wp:posOffset>
            </wp:positionV>
            <wp:extent cx="68580" cy="8255"/>
            <wp:wrapNone/>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2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-3102610</wp:posOffset>
            </wp:positionV>
            <wp:extent cx="68580" cy="8255"/>
            <wp:wrapNone/>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2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5422900</wp:posOffset>
            </wp:positionH>
            <wp:positionV relativeFrom="paragraph">
              <wp:posOffset>-753745</wp:posOffset>
            </wp:positionV>
            <wp:extent cx="68580" cy="8255"/>
            <wp:wrapNone/>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2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-753745</wp:posOffset>
            </wp:positionV>
            <wp:extent cx="68580" cy="8255"/>
            <wp:wrapNone/>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2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5422900</wp:posOffset>
            </wp:positionH>
            <wp:positionV relativeFrom="paragraph">
              <wp:posOffset>-170815</wp:posOffset>
            </wp:positionV>
            <wp:extent cx="68580" cy="8255"/>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3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-170815</wp:posOffset>
            </wp:positionV>
            <wp:extent cx="68580" cy="8255"/>
            <wp:wrapNone/>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31">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28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Convertible Senior Notes</w:t>
      </w:r>
    </w:p>
    <w:p>
      <w:pPr>
        <w:spacing w:after="0" w:line="2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 has issued the following convertible notes (collectively, the “Convertible Notes”) in private offerings:</w:t>
      </w:r>
    </w:p>
    <w:p>
      <w:pPr>
        <w:spacing w:after="0" w:line="117" w:lineRule="exact"/>
        <w:rPr>
          <w:sz w:val="20"/>
          <w:szCs w:val="20"/>
          <w:color w:val="auto"/>
        </w:rPr>
      </w:pPr>
    </w:p>
    <w:p>
      <w:pPr>
        <w:ind w:left="1020" w:hanging="503"/>
        <w:spacing w:after="0" w:line="282" w:lineRule="auto"/>
        <w:tabs>
          <w:tab w:leader="none" w:pos="1020"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$650.0 million aggregate principal amount of 0.750% Convertible Senior Notes due 2025 (the “2025 Convertible Notes”), all of which were previously redeemed or converted into our class A common stock by July 15, 2024;</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$1.050 billion aggregate principal amount of 0% Convertible Senior Notes due 2027 (the “2027 Convertible Notes”);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$1.010 billion aggregate principal amount of 0.625% Convertible Senior Notes due 2028 (the “2028 Convertible Notes”);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$3.000 billion aggregate principal amount of 0% Convertible Senior Notes due 2029 (the “2029 Convertible Notes”);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$800.0 million aggregate principal amount of 0.625% Convertible Senior Notes due 2030 (the “2030 Convertible Notes”);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$603.8 million aggregate principal amount of 0.875% Convertible Senior Notes due 2031 (the “2031 Convertible Notes”); and</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$800.0 million aggregate principal amount of 2.25% Convertible Senior Notes due 2032 (the “2032 Convertible Notes”).</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3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69" w:right="339" w:bottom="1440" w:gutter="0" w:footer="0" w:header="0"/>
        </w:sectPr>
      </w:pPr>
    </w:p>
    <w:bookmarkStart w:id="91" w:name="page92"/>
    <w:bookmarkEnd w:id="91"/>
    <w:p>
      <w:pPr>
        <w:jc w:val="both"/>
        <w:spacing w:after="0" w:line="255" w:lineRule="auto"/>
        <w:rPr>
          <w:sz w:val="20"/>
          <w:szCs w:val="20"/>
          <w:color w:val="auto"/>
        </w:rPr>
      </w:pPr>
      <w:r>
        <w:rPr>
          <w:rFonts w:ascii="Times New Roman" w:cs="Times New Roman" w:eastAsia="Times New Roman" w:hAnsi="Times New Roman"/>
          <w:sz w:val="18"/>
          <w:szCs w:val="18"/>
          <w:color w:val="auto"/>
        </w:rPr>
        <w:t>The outstanding Convertible Notes are senior unsecured obligations of the Company and rank senior in right of payment to any of the Company’s indebtedness that is expressly subordinated in right of payment to the Convertible Notes; equal in right of payment to any of the Company’s unsecured indebtedness that is not so subordinated; effectively junior in right of payment to any of the Company’s secured indebtedness to the extent of the value of the assets securing such indebtedness; and structurally junior to all indebtedness and other liabilities (including trade payables) of the Company’s subsidiaries. The outstanding Convertible Notes also rank senior in right of payment to the Company’s Series A perpetual strike preferred stock issued in the first quarter of 2025. Refer to Note 18, Subsequent Events to the Consolidated Financial Statements for further information on the Company’s Series A perpetual strike preferred stock issuance.</w:t>
      </w:r>
    </w:p>
    <w:p>
      <w:pPr>
        <w:spacing w:after="0" w:line="18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following table summarizes the key terms of each of the Convertible Notes (principal at inception, net proceeds, and issuance costs are each reported in thousands):</w:t>
      </w:r>
    </w:p>
    <w:p>
      <w:pPr>
        <w:spacing w:after="0" w:line="143"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188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40" w:type="dxa"/>
            <w:vAlign w:val="bottom"/>
          </w:tcPr>
          <w:p>
            <w:pPr>
              <w:jc w:val="center"/>
              <w:ind w:right="73"/>
              <w:spacing w:after="0"/>
              <w:rPr>
                <w:sz w:val="20"/>
                <w:szCs w:val="20"/>
                <w:color w:val="auto"/>
              </w:rPr>
            </w:pPr>
            <w:r>
              <w:rPr>
                <w:rFonts w:ascii="Times New Roman" w:cs="Times New Roman" w:eastAsia="Times New Roman" w:hAnsi="Times New Roman"/>
                <w:sz w:val="14"/>
                <w:szCs w:val="14"/>
                <w:b w:val="1"/>
                <w:bCs w:val="1"/>
                <w:color w:val="auto"/>
              </w:rPr>
              <w:t>2025</w:t>
            </w:r>
          </w:p>
        </w:tc>
        <w:tc>
          <w:tcPr>
            <w:tcW w:w="3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20" w:type="dxa"/>
            <w:vAlign w:val="bottom"/>
          </w:tcPr>
          <w:p>
            <w:pPr>
              <w:jc w:val="center"/>
              <w:ind w:right="73"/>
              <w:spacing w:after="0"/>
              <w:rPr>
                <w:sz w:val="20"/>
                <w:szCs w:val="20"/>
                <w:color w:val="auto"/>
              </w:rPr>
            </w:pPr>
            <w:r>
              <w:rPr>
                <w:rFonts w:ascii="Times New Roman" w:cs="Times New Roman" w:eastAsia="Times New Roman" w:hAnsi="Times New Roman"/>
                <w:sz w:val="14"/>
                <w:szCs w:val="14"/>
                <w:b w:val="1"/>
                <w:bCs w:val="1"/>
                <w:color w:val="auto"/>
                <w:w w:val="99"/>
              </w:rPr>
              <w:t>2027</w:t>
            </w:r>
          </w:p>
        </w:tc>
        <w:tc>
          <w:tcPr>
            <w:tcW w:w="30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960" w:type="dxa"/>
            <w:vAlign w:val="bottom"/>
          </w:tcPr>
          <w:p>
            <w:pPr>
              <w:jc w:val="center"/>
              <w:ind w:right="53"/>
              <w:spacing w:after="0"/>
              <w:rPr>
                <w:sz w:val="20"/>
                <w:szCs w:val="20"/>
                <w:color w:val="auto"/>
              </w:rPr>
            </w:pPr>
            <w:r>
              <w:rPr>
                <w:rFonts w:ascii="Times New Roman" w:cs="Times New Roman" w:eastAsia="Times New Roman" w:hAnsi="Times New Roman"/>
                <w:sz w:val="14"/>
                <w:szCs w:val="14"/>
                <w:b w:val="1"/>
                <w:bCs w:val="1"/>
                <w:color w:val="auto"/>
              </w:rPr>
              <w:t>2028</w:t>
            </w:r>
          </w:p>
        </w:tc>
        <w:tc>
          <w:tcPr>
            <w:tcW w:w="30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940" w:type="dxa"/>
            <w:vAlign w:val="bottom"/>
          </w:tcPr>
          <w:p>
            <w:pPr>
              <w:jc w:val="center"/>
              <w:ind w:right="53"/>
              <w:spacing w:after="0"/>
              <w:rPr>
                <w:sz w:val="20"/>
                <w:szCs w:val="20"/>
                <w:color w:val="auto"/>
              </w:rPr>
            </w:pPr>
            <w:r>
              <w:rPr>
                <w:rFonts w:ascii="Times New Roman" w:cs="Times New Roman" w:eastAsia="Times New Roman" w:hAnsi="Times New Roman"/>
                <w:sz w:val="14"/>
                <w:szCs w:val="14"/>
                <w:b w:val="1"/>
                <w:bCs w:val="1"/>
                <w:color w:val="auto"/>
                <w:w w:val="99"/>
              </w:rPr>
              <w:t>2029</w:t>
            </w:r>
          </w:p>
        </w:tc>
        <w:tc>
          <w:tcPr>
            <w:tcW w:w="30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960" w:type="dxa"/>
            <w:vAlign w:val="bottom"/>
          </w:tcPr>
          <w:p>
            <w:pPr>
              <w:jc w:val="center"/>
              <w:ind w:right="53"/>
              <w:spacing w:after="0"/>
              <w:rPr>
                <w:sz w:val="20"/>
                <w:szCs w:val="20"/>
                <w:color w:val="auto"/>
              </w:rPr>
            </w:pPr>
            <w:r>
              <w:rPr>
                <w:rFonts w:ascii="Times New Roman" w:cs="Times New Roman" w:eastAsia="Times New Roman" w:hAnsi="Times New Roman"/>
                <w:sz w:val="14"/>
                <w:szCs w:val="14"/>
                <w:b w:val="1"/>
                <w:bCs w:val="1"/>
                <w:color w:val="auto"/>
              </w:rPr>
              <w:t>2030</w:t>
            </w:r>
          </w:p>
        </w:tc>
        <w:tc>
          <w:tcPr>
            <w:tcW w:w="30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940" w:type="dxa"/>
            <w:vAlign w:val="bottom"/>
          </w:tcPr>
          <w:p>
            <w:pPr>
              <w:jc w:val="center"/>
              <w:ind w:right="53"/>
              <w:spacing w:after="0"/>
              <w:rPr>
                <w:sz w:val="20"/>
                <w:szCs w:val="20"/>
                <w:color w:val="auto"/>
              </w:rPr>
            </w:pPr>
            <w:r>
              <w:rPr>
                <w:rFonts w:ascii="Times New Roman" w:cs="Times New Roman" w:eastAsia="Times New Roman" w:hAnsi="Times New Roman"/>
                <w:sz w:val="14"/>
                <w:szCs w:val="14"/>
                <w:b w:val="1"/>
                <w:bCs w:val="1"/>
                <w:color w:val="auto"/>
                <w:w w:val="99"/>
              </w:rPr>
              <w:t>2031</w:t>
            </w:r>
          </w:p>
        </w:tc>
        <w:tc>
          <w:tcPr>
            <w:tcW w:w="3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60" w:type="dxa"/>
            <w:vAlign w:val="bottom"/>
          </w:tcPr>
          <w:p>
            <w:pPr>
              <w:jc w:val="center"/>
              <w:ind w:right="74"/>
              <w:spacing w:after="0"/>
              <w:rPr>
                <w:sz w:val="20"/>
                <w:szCs w:val="20"/>
                <w:color w:val="auto"/>
              </w:rPr>
            </w:pPr>
            <w:r>
              <w:rPr>
                <w:rFonts w:ascii="Times New Roman" w:cs="Times New Roman" w:eastAsia="Times New Roman" w:hAnsi="Times New Roman"/>
                <w:sz w:val="14"/>
                <w:szCs w:val="14"/>
                <w:b w:val="1"/>
                <w:bCs w:val="1"/>
                <w:color w:val="auto"/>
                <w:w w:val="99"/>
              </w:rPr>
              <w:t>2032</w:t>
            </w:r>
          </w:p>
        </w:tc>
        <w:tc>
          <w:tcPr>
            <w:tcW w:w="180" w:type="dxa"/>
            <w:vAlign w:val="bottom"/>
          </w:tcPr>
          <w:p>
            <w:pPr>
              <w:spacing w:after="0"/>
              <w:rPr>
                <w:sz w:val="13"/>
                <w:szCs w:val="13"/>
                <w:color w:val="auto"/>
              </w:rPr>
            </w:pPr>
          </w:p>
        </w:tc>
      </w:tr>
      <w:tr>
        <w:trPr>
          <w:trHeight w:val="148"/>
        </w:trPr>
        <w:tc>
          <w:tcPr>
            <w:tcW w:w="188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40" w:type="dxa"/>
            <w:vAlign w:val="bottom"/>
            <w:gridSpan w:val="2"/>
          </w:tcPr>
          <w:p>
            <w:pPr>
              <w:jc w:val="center"/>
              <w:ind w:right="460"/>
              <w:spacing w:after="0" w:line="149"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120" w:type="dxa"/>
            <w:vAlign w:val="bottom"/>
          </w:tcPr>
          <w:p>
            <w:pPr>
              <w:spacing w:after="0"/>
              <w:rPr>
                <w:sz w:val="12"/>
                <w:szCs w:val="12"/>
                <w:color w:val="auto"/>
              </w:rPr>
            </w:pPr>
          </w:p>
        </w:tc>
        <w:tc>
          <w:tcPr>
            <w:tcW w:w="1220" w:type="dxa"/>
            <w:vAlign w:val="bottom"/>
            <w:gridSpan w:val="2"/>
          </w:tcPr>
          <w:p>
            <w:pPr>
              <w:jc w:val="center"/>
              <w:ind w:right="460"/>
              <w:spacing w:after="0" w:line="149"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100" w:type="dxa"/>
            <w:vAlign w:val="bottom"/>
          </w:tcPr>
          <w:p>
            <w:pPr>
              <w:spacing w:after="0"/>
              <w:rPr>
                <w:sz w:val="12"/>
                <w:szCs w:val="12"/>
                <w:color w:val="auto"/>
              </w:rPr>
            </w:pPr>
          </w:p>
        </w:tc>
        <w:tc>
          <w:tcPr>
            <w:tcW w:w="1260" w:type="dxa"/>
            <w:vAlign w:val="bottom"/>
            <w:gridSpan w:val="2"/>
          </w:tcPr>
          <w:p>
            <w:pPr>
              <w:jc w:val="center"/>
              <w:ind w:right="440"/>
              <w:spacing w:after="0" w:line="149"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100" w:type="dxa"/>
            <w:vAlign w:val="bottom"/>
          </w:tcPr>
          <w:p>
            <w:pPr>
              <w:spacing w:after="0"/>
              <w:rPr>
                <w:sz w:val="12"/>
                <w:szCs w:val="12"/>
                <w:color w:val="auto"/>
              </w:rPr>
            </w:pPr>
          </w:p>
        </w:tc>
        <w:tc>
          <w:tcPr>
            <w:tcW w:w="1240" w:type="dxa"/>
            <w:vAlign w:val="bottom"/>
            <w:gridSpan w:val="2"/>
          </w:tcPr>
          <w:p>
            <w:pPr>
              <w:jc w:val="center"/>
              <w:ind w:right="440"/>
              <w:spacing w:after="0" w:line="149"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100" w:type="dxa"/>
            <w:vAlign w:val="bottom"/>
          </w:tcPr>
          <w:p>
            <w:pPr>
              <w:spacing w:after="0"/>
              <w:rPr>
                <w:sz w:val="12"/>
                <w:szCs w:val="12"/>
                <w:color w:val="auto"/>
              </w:rPr>
            </w:pPr>
          </w:p>
        </w:tc>
        <w:tc>
          <w:tcPr>
            <w:tcW w:w="1260" w:type="dxa"/>
            <w:vAlign w:val="bottom"/>
            <w:gridSpan w:val="2"/>
          </w:tcPr>
          <w:p>
            <w:pPr>
              <w:jc w:val="center"/>
              <w:ind w:right="440"/>
              <w:spacing w:after="0" w:line="149"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100" w:type="dxa"/>
            <w:vAlign w:val="bottom"/>
          </w:tcPr>
          <w:p>
            <w:pPr>
              <w:spacing w:after="0"/>
              <w:rPr>
                <w:sz w:val="12"/>
                <w:szCs w:val="12"/>
                <w:color w:val="auto"/>
              </w:rPr>
            </w:pPr>
          </w:p>
        </w:tc>
        <w:tc>
          <w:tcPr>
            <w:tcW w:w="1240" w:type="dxa"/>
            <w:vAlign w:val="bottom"/>
            <w:gridSpan w:val="2"/>
          </w:tcPr>
          <w:p>
            <w:pPr>
              <w:jc w:val="center"/>
              <w:ind w:right="440"/>
              <w:spacing w:after="0" w:line="149"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120" w:type="dxa"/>
            <w:vAlign w:val="bottom"/>
          </w:tcPr>
          <w:p>
            <w:pPr>
              <w:spacing w:after="0"/>
              <w:rPr>
                <w:sz w:val="12"/>
                <w:szCs w:val="12"/>
                <w:color w:val="auto"/>
              </w:rPr>
            </w:pPr>
          </w:p>
        </w:tc>
        <w:tc>
          <w:tcPr>
            <w:tcW w:w="1140" w:type="dxa"/>
            <w:vAlign w:val="bottom"/>
            <w:gridSpan w:val="2"/>
          </w:tcPr>
          <w:p>
            <w:pPr>
              <w:jc w:val="center"/>
              <w:ind w:right="340"/>
              <w:spacing w:after="0" w:line="149" w:lineRule="exact"/>
              <w:rPr>
                <w:sz w:val="20"/>
                <w:szCs w:val="20"/>
                <w:color w:val="auto"/>
              </w:rPr>
            </w:pPr>
            <w:r>
              <w:rPr>
                <w:rFonts w:ascii="Times New Roman" w:cs="Times New Roman" w:eastAsia="Times New Roman" w:hAnsi="Times New Roman"/>
                <w:sz w:val="14"/>
                <w:szCs w:val="14"/>
                <w:b w:val="1"/>
                <w:bCs w:val="1"/>
                <w:color w:val="auto"/>
              </w:rPr>
              <w:t>Convertible</w:t>
            </w:r>
          </w:p>
        </w:tc>
      </w:tr>
      <w:tr>
        <w:trPr>
          <w:trHeight w:val="173"/>
        </w:trPr>
        <w:tc>
          <w:tcPr>
            <w:tcW w:w="188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940" w:type="dxa"/>
            <w:vAlign w:val="bottom"/>
            <w:tcBorders>
              <w:bottom w:val="single" w:sz="8" w:color="auto"/>
            </w:tcBorders>
          </w:tcPr>
          <w:p>
            <w:pPr>
              <w:jc w:val="center"/>
              <w:ind w:right="33"/>
              <w:spacing w:after="0"/>
              <w:rPr>
                <w:sz w:val="20"/>
                <w:szCs w:val="20"/>
                <w:color w:val="auto"/>
              </w:rPr>
            </w:pPr>
            <w:r>
              <w:rPr>
                <w:rFonts w:ascii="Times New Roman" w:cs="Times New Roman" w:eastAsia="Times New Roman" w:hAnsi="Times New Roman"/>
                <w:sz w:val="14"/>
                <w:szCs w:val="14"/>
                <w:b w:val="1"/>
                <w:bCs w:val="1"/>
                <w:color w:val="auto"/>
              </w:rPr>
              <w:t>Notes</w:t>
            </w:r>
          </w:p>
        </w:tc>
        <w:tc>
          <w:tcPr>
            <w:tcW w:w="30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920" w:type="dxa"/>
            <w:vAlign w:val="bottom"/>
            <w:tcBorders>
              <w:bottom w:val="single" w:sz="8" w:color="auto"/>
            </w:tcBorders>
          </w:tcPr>
          <w:p>
            <w:pPr>
              <w:jc w:val="center"/>
              <w:ind w:right="53"/>
              <w:spacing w:after="0"/>
              <w:rPr>
                <w:sz w:val="20"/>
                <w:szCs w:val="20"/>
                <w:color w:val="auto"/>
              </w:rPr>
            </w:pPr>
            <w:r>
              <w:rPr>
                <w:rFonts w:ascii="Times New Roman" w:cs="Times New Roman" w:eastAsia="Times New Roman" w:hAnsi="Times New Roman"/>
                <w:sz w:val="14"/>
                <w:szCs w:val="14"/>
                <w:b w:val="1"/>
                <w:bCs w:val="1"/>
                <w:color w:val="auto"/>
              </w:rPr>
              <w:t>Notes</w:t>
            </w:r>
          </w:p>
        </w:tc>
        <w:tc>
          <w:tcPr>
            <w:tcW w:w="30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960" w:type="dxa"/>
            <w:vAlign w:val="bottom"/>
            <w:tcBorders>
              <w:bottom w:val="single" w:sz="8" w:color="auto"/>
            </w:tcBorders>
          </w:tcPr>
          <w:p>
            <w:pPr>
              <w:jc w:val="center"/>
              <w:ind w:right="13"/>
              <w:spacing w:after="0"/>
              <w:rPr>
                <w:sz w:val="20"/>
                <w:szCs w:val="20"/>
                <w:color w:val="auto"/>
              </w:rPr>
            </w:pPr>
            <w:r>
              <w:rPr>
                <w:rFonts w:ascii="Times New Roman" w:cs="Times New Roman" w:eastAsia="Times New Roman" w:hAnsi="Times New Roman"/>
                <w:sz w:val="14"/>
                <w:szCs w:val="14"/>
                <w:b w:val="1"/>
                <w:bCs w:val="1"/>
                <w:color w:val="auto"/>
              </w:rPr>
              <w:t>Notes</w:t>
            </w:r>
          </w:p>
        </w:tc>
        <w:tc>
          <w:tcPr>
            <w:tcW w:w="30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940" w:type="dxa"/>
            <w:vAlign w:val="bottom"/>
            <w:tcBorders>
              <w:bottom w:val="single" w:sz="8" w:color="auto"/>
            </w:tcBorders>
          </w:tcPr>
          <w:p>
            <w:pPr>
              <w:jc w:val="center"/>
              <w:ind w:right="33"/>
              <w:spacing w:after="0"/>
              <w:rPr>
                <w:sz w:val="20"/>
                <w:szCs w:val="20"/>
                <w:color w:val="auto"/>
              </w:rPr>
            </w:pPr>
            <w:r>
              <w:rPr>
                <w:rFonts w:ascii="Times New Roman" w:cs="Times New Roman" w:eastAsia="Times New Roman" w:hAnsi="Times New Roman"/>
                <w:sz w:val="14"/>
                <w:szCs w:val="14"/>
                <w:b w:val="1"/>
                <w:bCs w:val="1"/>
                <w:color w:val="auto"/>
              </w:rPr>
              <w:t>Notes</w:t>
            </w:r>
          </w:p>
        </w:tc>
        <w:tc>
          <w:tcPr>
            <w:tcW w:w="30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960" w:type="dxa"/>
            <w:vAlign w:val="bottom"/>
            <w:tcBorders>
              <w:bottom w:val="single" w:sz="8" w:color="auto"/>
            </w:tcBorders>
          </w:tcPr>
          <w:p>
            <w:pPr>
              <w:jc w:val="center"/>
              <w:ind w:right="13"/>
              <w:spacing w:after="0"/>
              <w:rPr>
                <w:sz w:val="20"/>
                <w:szCs w:val="20"/>
                <w:color w:val="auto"/>
              </w:rPr>
            </w:pPr>
            <w:r>
              <w:rPr>
                <w:rFonts w:ascii="Times New Roman" w:cs="Times New Roman" w:eastAsia="Times New Roman" w:hAnsi="Times New Roman"/>
                <w:sz w:val="14"/>
                <w:szCs w:val="14"/>
                <w:b w:val="1"/>
                <w:bCs w:val="1"/>
                <w:color w:val="auto"/>
              </w:rPr>
              <w:t>Notes</w:t>
            </w:r>
          </w:p>
        </w:tc>
        <w:tc>
          <w:tcPr>
            <w:tcW w:w="30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940" w:type="dxa"/>
            <w:vAlign w:val="bottom"/>
            <w:tcBorders>
              <w:bottom w:val="single" w:sz="8" w:color="auto"/>
            </w:tcBorders>
          </w:tcPr>
          <w:p>
            <w:pPr>
              <w:jc w:val="center"/>
              <w:ind w:right="33"/>
              <w:spacing w:after="0"/>
              <w:rPr>
                <w:sz w:val="20"/>
                <w:szCs w:val="20"/>
                <w:color w:val="auto"/>
              </w:rPr>
            </w:pPr>
            <w:r>
              <w:rPr>
                <w:rFonts w:ascii="Times New Roman" w:cs="Times New Roman" w:eastAsia="Times New Roman" w:hAnsi="Times New Roman"/>
                <w:sz w:val="14"/>
                <w:szCs w:val="14"/>
                <w:b w:val="1"/>
                <w:bCs w:val="1"/>
                <w:color w:val="auto"/>
              </w:rPr>
              <w:t>Notes</w:t>
            </w:r>
          </w:p>
        </w:tc>
        <w:tc>
          <w:tcPr>
            <w:tcW w:w="30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960" w:type="dxa"/>
            <w:vAlign w:val="bottom"/>
            <w:tcBorders>
              <w:bottom w:val="single" w:sz="8" w:color="auto"/>
            </w:tcBorders>
          </w:tcPr>
          <w:p>
            <w:pPr>
              <w:jc w:val="center"/>
              <w:ind w:right="54"/>
              <w:spacing w:after="0"/>
              <w:rPr>
                <w:sz w:val="20"/>
                <w:szCs w:val="20"/>
                <w:color w:val="auto"/>
              </w:rPr>
            </w:pPr>
            <w:r>
              <w:rPr>
                <w:rFonts w:ascii="Times New Roman" w:cs="Times New Roman" w:eastAsia="Times New Roman" w:hAnsi="Times New Roman"/>
                <w:sz w:val="14"/>
                <w:szCs w:val="14"/>
                <w:b w:val="1"/>
                <w:bCs w:val="1"/>
                <w:color w:val="auto"/>
              </w:rPr>
              <w:t>Notes</w:t>
            </w:r>
          </w:p>
        </w:tc>
        <w:tc>
          <w:tcPr>
            <w:tcW w:w="180" w:type="dxa"/>
            <w:vAlign w:val="bottom"/>
          </w:tcPr>
          <w:p>
            <w:pPr>
              <w:spacing w:after="0"/>
              <w:rPr>
                <w:sz w:val="15"/>
                <w:szCs w:val="15"/>
                <w:color w:val="auto"/>
              </w:rPr>
            </w:pPr>
          </w:p>
        </w:tc>
      </w:tr>
      <w:tr>
        <w:trPr>
          <w:trHeight w:val="191"/>
        </w:trPr>
        <w:tc>
          <w:tcPr>
            <w:tcW w:w="1880" w:type="dxa"/>
            <w:vAlign w:val="bottom"/>
            <w:shd w:val="clear" w:color="auto" w:fill="CFF0FC"/>
          </w:tcPr>
          <w:p>
            <w:pPr>
              <w:spacing w:after="0"/>
              <w:rPr>
                <w:sz w:val="16"/>
                <w:szCs w:val="16"/>
                <w:color w:val="auto"/>
              </w:rPr>
            </w:pPr>
          </w:p>
        </w:tc>
        <w:tc>
          <w:tcPr>
            <w:tcW w:w="120" w:type="dxa"/>
            <w:vAlign w:val="bottom"/>
            <w:shd w:val="clear" w:color="auto" w:fill="CFF0FC"/>
          </w:tcPr>
          <w:p>
            <w:pPr>
              <w:spacing w:after="0"/>
              <w:rPr>
                <w:sz w:val="16"/>
                <w:szCs w:val="16"/>
                <w:color w:val="auto"/>
              </w:rPr>
            </w:pPr>
          </w:p>
        </w:tc>
        <w:tc>
          <w:tcPr>
            <w:tcW w:w="1240" w:type="dxa"/>
            <w:vAlign w:val="bottom"/>
            <w:gridSpan w:val="2"/>
            <w:shd w:val="clear" w:color="auto" w:fill="CFF0FC"/>
          </w:tcPr>
          <w:p>
            <w:pPr>
              <w:jc w:val="right"/>
              <w:ind w:right="380"/>
              <w:spacing w:after="0" w:line="191" w:lineRule="exact"/>
              <w:rPr>
                <w:sz w:val="20"/>
                <w:szCs w:val="20"/>
                <w:color w:val="auto"/>
              </w:rPr>
            </w:pPr>
            <w:r>
              <w:rPr>
                <w:rFonts w:ascii="Times New Roman" w:cs="Times New Roman" w:eastAsia="Times New Roman" w:hAnsi="Times New Roman"/>
                <w:sz w:val="18"/>
                <w:szCs w:val="18"/>
                <w:color w:val="auto"/>
              </w:rPr>
              <w:t>December</w:t>
            </w:r>
          </w:p>
        </w:tc>
        <w:tc>
          <w:tcPr>
            <w:tcW w:w="120" w:type="dxa"/>
            <w:vAlign w:val="bottom"/>
            <w:shd w:val="clear" w:color="auto" w:fill="CFF0FC"/>
          </w:tcPr>
          <w:p>
            <w:pPr>
              <w:spacing w:after="0"/>
              <w:rPr>
                <w:sz w:val="16"/>
                <w:szCs w:val="16"/>
                <w:color w:val="auto"/>
              </w:rPr>
            </w:pPr>
          </w:p>
        </w:tc>
        <w:tc>
          <w:tcPr>
            <w:tcW w:w="1220" w:type="dxa"/>
            <w:vAlign w:val="bottom"/>
            <w:gridSpan w:val="2"/>
            <w:shd w:val="clear" w:color="auto" w:fill="CFF0FC"/>
          </w:tcPr>
          <w:p>
            <w:pPr>
              <w:jc w:val="right"/>
              <w:ind w:right="360"/>
              <w:spacing w:after="0" w:line="191" w:lineRule="exact"/>
              <w:rPr>
                <w:sz w:val="20"/>
                <w:szCs w:val="20"/>
                <w:color w:val="auto"/>
              </w:rPr>
            </w:pPr>
            <w:r>
              <w:rPr>
                <w:rFonts w:ascii="Times New Roman" w:cs="Times New Roman" w:eastAsia="Times New Roman" w:hAnsi="Times New Roman"/>
                <w:sz w:val="18"/>
                <w:szCs w:val="18"/>
                <w:color w:val="auto"/>
              </w:rPr>
              <w:t>February</w:t>
            </w:r>
          </w:p>
        </w:tc>
        <w:tc>
          <w:tcPr>
            <w:tcW w:w="100" w:type="dxa"/>
            <w:vAlign w:val="bottom"/>
            <w:shd w:val="clear" w:color="auto" w:fill="CFF0FC"/>
          </w:tcPr>
          <w:p>
            <w:pPr>
              <w:spacing w:after="0"/>
              <w:rPr>
                <w:sz w:val="16"/>
                <w:szCs w:val="16"/>
                <w:color w:val="auto"/>
              </w:rPr>
            </w:pPr>
          </w:p>
        </w:tc>
        <w:tc>
          <w:tcPr>
            <w:tcW w:w="1260" w:type="dxa"/>
            <w:vAlign w:val="bottom"/>
            <w:gridSpan w:val="2"/>
            <w:shd w:val="clear" w:color="auto" w:fill="CFF0FC"/>
          </w:tcPr>
          <w:p>
            <w:pPr>
              <w:jc w:val="right"/>
              <w:ind w:right="380"/>
              <w:spacing w:after="0" w:line="191" w:lineRule="exact"/>
              <w:rPr>
                <w:sz w:val="20"/>
                <w:szCs w:val="20"/>
                <w:color w:val="auto"/>
              </w:rPr>
            </w:pPr>
            <w:r>
              <w:rPr>
                <w:rFonts w:ascii="Times New Roman" w:cs="Times New Roman" w:eastAsia="Times New Roman" w:hAnsi="Times New Roman"/>
                <w:sz w:val="18"/>
                <w:szCs w:val="18"/>
                <w:color w:val="auto"/>
              </w:rPr>
              <w:t>September</w:t>
            </w:r>
          </w:p>
        </w:tc>
        <w:tc>
          <w:tcPr>
            <w:tcW w:w="100" w:type="dxa"/>
            <w:vAlign w:val="bottom"/>
            <w:shd w:val="clear" w:color="auto" w:fill="CFF0FC"/>
          </w:tcPr>
          <w:p>
            <w:pPr>
              <w:spacing w:after="0"/>
              <w:rPr>
                <w:sz w:val="16"/>
                <w:szCs w:val="16"/>
                <w:color w:val="auto"/>
              </w:rPr>
            </w:pPr>
          </w:p>
        </w:tc>
        <w:tc>
          <w:tcPr>
            <w:tcW w:w="1240" w:type="dxa"/>
            <w:vAlign w:val="bottom"/>
            <w:gridSpan w:val="2"/>
            <w:shd w:val="clear" w:color="auto" w:fill="CFF0FC"/>
          </w:tcPr>
          <w:p>
            <w:pPr>
              <w:jc w:val="right"/>
              <w:ind w:right="360"/>
              <w:spacing w:after="0" w:line="191" w:lineRule="exact"/>
              <w:rPr>
                <w:sz w:val="20"/>
                <w:szCs w:val="20"/>
                <w:color w:val="auto"/>
              </w:rPr>
            </w:pPr>
            <w:r>
              <w:rPr>
                <w:rFonts w:ascii="Times New Roman" w:cs="Times New Roman" w:eastAsia="Times New Roman" w:hAnsi="Times New Roman"/>
                <w:sz w:val="18"/>
                <w:szCs w:val="18"/>
                <w:color w:val="auto"/>
              </w:rPr>
              <w:t>November</w:t>
            </w:r>
          </w:p>
        </w:tc>
        <w:tc>
          <w:tcPr>
            <w:tcW w:w="100" w:type="dxa"/>
            <w:vAlign w:val="bottom"/>
            <w:shd w:val="clear" w:color="auto" w:fill="CFF0FC"/>
          </w:tcPr>
          <w:p>
            <w:pPr>
              <w:spacing w:after="0"/>
              <w:rPr>
                <w:sz w:val="16"/>
                <w:szCs w:val="16"/>
                <w:color w:val="auto"/>
              </w:rPr>
            </w:pPr>
          </w:p>
        </w:tc>
        <w:tc>
          <w:tcPr>
            <w:tcW w:w="960" w:type="dxa"/>
            <w:vAlign w:val="bottom"/>
            <w:shd w:val="clear" w:color="auto" w:fill="CFF0FC"/>
          </w:tcPr>
          <w:p>
            <w:pPr>
              <w:spacing w:after="0"/>
              <w:rPr>
                <w:sz w:val="16"/>
                <w:szCs w:val="16"/>
                <w:color w:val="auto"/>
              </w:rPr>
            </w:pPr>
          </w:p>
        </w:tc>
        <w:tc>
          <w:tcPr>
            <w:tcW w:w="30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940" w:type="dxa"/>
            <w:vAlign w:val="bottom"/>
            <w:shd w:val="clear" w:color="auto" w:fill="CFF0FC"/>
          </w:tcPr>
          <w:p>
            <w:pPr>
              <w:spacing w:after="0"/>
              <w:rPr>
                <w:sz w:val="16"/>
                <w:szCs w:val="16"/>
                <w:color w:val="auto"/>
              </w:rPr>
            </w:pPr>
          </w:p>
        </w:tc>
        <w:tc>
          <w:tcPr>
            <w:tcW w:w="300" w:type="dxa"/>
            <w:vAlign w:val="bottom"/>
            <w:shd w:val="clear" w:color="auto" w:fill="CFF0FC"/>
          </w:tcPr>
          <w:p>
            <w:pPr>
              <w:spacing w:after="0"/>
              <w:rPr>
                <w:sz w:val="16"/>
                <w:szCs w:val="16"/>
                <w:color w:val="auto"/>
              </w:rPr>
            </w:pPr>
          </w:p>
        </w:tc>
        <w:tc>
          <w:tcPr>
            <w:tcW w:w="120" w:type="dxa"/>
            <w:vAlign w:val="bottom"/>
            <w:shd w:val="clear" w:color="auto" w:fill="CFF0FC"/>
          </w:tcPr>
          <w:p>
            <w:pPr>
              <w:spacing w:after="0"/>
              <w:rPr>
                <w:sz w:val="16"/>
                <w:szCs w:val="16"/>
                <w:color w:val="auto"/>
              </w:rPr>
            </w:pPr>
          </w:p>
        </w:tc>
        <w:tc>
          <w:tcPr>
            <w:tcW w:w="96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r>
      <w:tr>
        <w:trPr>
          <w:trHeight w:val="234"/>
        </w:trPr>
        <w:tc>
          <w:tcPr>
            <w:tcW w:w="1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Issuance Date</w:t>
            </w:r>
          </w:p>
        </w:tc>
        <w:tc>
          <w:tcPr>
            <w:tcW w:w="120" w:type="dxa"/>
            <w:vAlign w:val="bottom"/>
            <w:shd w:val="clear" w:color="auto" w:fill="CFF0FC"/>
          </w:tcPr>
          <w:p>
            <w:pPr>
              <w:spacing w:after="0"/>
              <w:rPr>
                <w:sz w:val="20"/>
                <w:szCs w:val="20"/>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2020</w:t>
            </w:r>
          </w:p>
        </w:tc>
        <w:tc>
          <w:tcPr>
            <w:tcW w:w="30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2021</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2024</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2024</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1260" w:type="dxa"/>
            <w:vAlign w:val="bottom"/>
            <w:gridSpan w:val="2"/>
            <w:shd w:val="clear" w:color="auto" w:fill="CFF0FC"/>
          </w:tcPr>
          <w:p>
            <w:pPr>
              <w:jc w:val="right"/>
              <w:ind w:right="320"/>
              <w:spacing w:after="0"/>
              <w:rPr>
                <w:sz w:val="20"/>
                <w:szCs w:val="20"/>
                <w:color w:val="auto"/>
              </w:rPr>
            </w:pPr>
            <w:r>
              <w:rPr>
                <w:rFonts w:ascii="Times New Roman" w:cs="Times New Roman" w:eastAsia="Times New Roman" w:hAnsi="Times New Roman"/>
                <w:sz w:val="18"/>
                <w:szCs w:val="18"/>
                <w:color w:val="auto"/>
              </w:rPr>
              <w:t>March 2024</w:t>
            </w:r>
          </w:p>
        </w:tc>
        <w:tc>
          <w:tcPr>
            <w:tcW w:w="100" w:type="dxa"/>
            <w:vAlign w:val="bottom"/>
            <w:shd w:val="clear" w:color="auto" w:fill="CFF0FC"/>
          </w:tcPr>
          <w:p>
            <w:pPr>
              <w:spacing w:after="0"/>
              <w:rPr>
                <w:sz w:val="20"/>
                <w:szCs w:val="20"/>
                <w:color w:val="auto"/>
              </w:rPr>
            </w:pPr>
          </w:p>
        </w:tc>
        <w:tc>
          <w:tcPr>
            <w:tcW w:w="1240" w:type="dxa"/>
            <w:vAlign w:val="bottom"/>
            <w:gridSpan w:val="2"/>
            <w:shd w:val="clear" w:color="auto" w:fill="CFF0FC"/>
          </w:tcPr>
          <w:p>
            <w:pPr>
              <w:jc w:val="right"/>
              <w:ind w:right="320"/>
              <w:spacing w:after="0"/>
              <w:rPr>
                <w:sz w:val="20"/>
                <w:szCs w:val="20"/>
                <w:color w:val="auto"/>
              </w:rPr>
            </w:pPr>
            <w:r>
              <w:rPr>
                <w:rFonts w:ascii="Times New Roman" w:cs="Times New Roman" w:eastAsia="Times New Roman" w:hAnsi="Times New Roman"/>
                <w:sz w:val="18"/>
                <w:szCs w:val="18"/>
                <w:color w:val="auto"/>
              </w:rPr>
              <w:t>March 2024</w:t>
            </w:r>
          </w:p>
        </w:tc>
        <w:tc>
          <w:tcPr>
            <w:tcW w:w="120" w:type="dxa"/>
            <w:vAlign w:val="bottom"/>
            <w:shd w:val="clear" w:color="auto" w:fill="CFF0FC"/>
          </w:tcPr>
          <w:p>
            <w:pPr>
              <w:spacing w:after="0"/>
              <w:rPr>
                <w:sz w:val="20"/>
                <w:szCs w:val="20"/>
                <w:color w:val="auto"/>
              </w:rPr>
            </w:pPr>
          </w:p>
        </w:tc>
        <w:tc>
          <w:tcPr>
            <w:tcW w:w="1140" w:type="dxa"/>
            <w:vAlign w:val="bottom"/>
            <w:gridSpan w:val="2"/>
            <w:shd w:val="clear" w:color="auto" w:fill="CFF0FC"/>
          </w:tcPr>
          <w:p>
            <w:pPr>
              <w:jc w:val="right"/>
              <w:ind w:right="220"/>
              <w:spacing w:after="0"/>
              <w:rPr>
                <w:sz w:val="20"/>
                <w:szCs w:val="20"/>
                <w:color w:val="auto"/>
              </w:rPr>
            </w:pPr>
            <w:r>
              <w:rPr>
                <w:rFonts w:ascii="Times New Roman" w:cs="Times New Roman" w:eastAsia="Times New Roman" w:hAnsi="Times New Roman"/>
                <w:sz w:val="18"/>
                <w:szCs w:val="18"/>
                <w:color w:val="auto"/>
              </w:rPr>
              <w:t>June 2024</w:t>
            </w:r>
          </w:p>
        </w:tc>
      </w:tr>
      <w:tr>
        <w:trPr>
          <w:trHeight w:val="198"/>
        </w:trPr>
        <w:tc>
          <w:tcPr>
            <w:tcW w:w="1880" w:type="dxa"/>
            <w:vAlign w:val="bottom"/>
          </w:tcPr>
          <w:p>
            <w:pPr>
              <w:spacing w:after="0"/>
              <w:rPr>
                <w:sz w:val="17"/>
                <w:szCs w:val="17"/>
                <w:color w:val="auto"/>
              </w:rPr>
            </w:pPr>
          </w:p>
        </w:tc>
        <w:tc>
          <w:tcPr>
            <w:tcW w:w="1360" w:type="dxa"/>
            <w:vAlign w:val="bottom"/>
            <w:gridSpan w:val="3"/>
          </w:tcPr>
          <w:p>
            <w:pPr>
              <w:ind w:left="20"/>
              <w:spacing w:after="0" w:line="198" w:lineRule="exact"/>
              <w:rPr>
                <w:sz w:val="20"/>
                <w:szCs w:val="20"/>
                <w:color w:val="auto"/>
              </w:rPr>
            </w:pPr>
            <w:r>
              <w:rPr>
                <w:rFonts w:ascii="Times New Roman" w:cs="Times New Roman" w:eastAsia="Times New Roman" w:hAnsi="Times New Roman"/>
                <w:sz w:val="18"/>
                <w:szCs w:val="18"/>
                <w:color w:val="auto"/>
              </w:rPr>
              <w:t>December 15,</w:t>
            </w:r>
          </w:p>
        </w:tc>
        <w:tc>
          <w:tcPr>
            <w:tcW w:w="1340" w:type="dxa"/>
            <w:vAlign w:val="bottom"/>
            <w:gridSpan w:val="3"/>
          </w:tcPr>
          <w:p>
            <w:pPr>
              <w:jc w:val="right"/>
              <w:ind w:right="360"/>
              <w:spacing w:after="0" w:line="198" w:lineRule="exact"/>
              <w:rPr>
                <w:sz w:val="20"/>
                <w:szCs w:val="20"/>
                <w:color w:val="auto"/>
              </w:rPr>
            </w:pPr>
            <w:r>
              <w:rPr>
                <w:rFonts w:ascii="Times New Roman" w:cs="Times New Roman" w:eastAsia="Times New Roman" w:hAnsi="Times New Roman"/>
                <w:sz w:val="18"/>
                <w:szCs w:val="18"/>
                <w:color w:val="auto"/>
              </w:rPr>
              <w:t>February 15,</w:t>
            </w:r>
          </w:p>
        </w:tc>
        <w:tc>
          <w:tcPr>
            <w:tcW w:w="100" w:type="dxa"/>
            <w:vAlign w:val="bottom"/>
          </w:tcPr>
          <w:p>
            <w:pPr>
              <w:spacing w:after="0"/>
              <w:rPr>
                <w:sz w:val="17"/>
                <w:szCs w:val="17"/>
                <w:color w:val="auto"/>
              </w:rPr>
            </w:pPr>
          </w:p>
        </w:tc>
        <w:tc>
          <w:tcPr>
            <w:tcW w:w="1260" w:type="dxa"/>
            <w:vAlign w:val="bottom"/>
            <w:gridSpan w:val="2"/>
          </w:tcPr>
          <w:p>
            <w:pPr>
              <w:jc w:val="right"/>
              <w:ind w:right="380"/>
              <w:spacing w:after="0" w:line="198" w:lineRule="exact"/>
              <w:rPr>
                <w:sz w:val="20"/>
                <w:szCs w:val="20"/>
                <w:color w:val="auto"/>
              </w:rPr>
            </w:pPr>
            <w:r>
              <w:rPr>
                <w:rFonts w:ascii="Times New Roman" w:cs="Times New Roman" w:eastAsia="Times New Roman" w:hAnsi="Times New Roman"/>
                <w:sz w:val="18"/>
                <w:szCs w:val="18"/>
                <w:color w:val="auto"/>
              </w:rPr>
              <w:t>September</w:t>
            </w:r>
          </w:p>
        </w:tc>
        <w:tc>
          <w:tcPr>
            <w:tcW w:w="1340" w:type="dxa"/>
            <w:vAlign w:val="bottom"/>
            <w:gridSpan w:val="3"/>
          </w:tcPr>
          <w:p>
            <w:pPr>
              <w:jc w:val="center"/>
              <w:ind w:right="300"/>
              <w:spacing w:after="0" w:line="198" w:lineRule="exact"/>
              <w:rPr>
                <w:sz w:val="20"/>
                <w:szCs w:val="20"/>
                <w:color w:val="auto"/>
              </w:rPr>
            </w:pPr>
            <w:r>
              <w:rPr>
                <w:rFonts w:ascii="Times New Roman" w:cs="Times New Roman" w:eastAsia="Times New Roman" w:hAnsi="Times New Roman"/>
                <w:sz w:val="18"/>
                <w:szCs w:val="18"/>
                <w:color w:val="auto"/>
                <w:w w:val="99"/>
              </w:rPr>
              <w:t>December 1,</w:t>
            </w:r>
          </w:p>
        </w:tc>
        <w:tc>
          <w:tcPr>
            <w:tcW w:w="100" w:type="dxa"/>
            <w:vAlign w:val="bottom"/>
          </w:tcPr>
          <w:p>
            <w:pPr>
              <w:spacing w:after="0"/>
              <w:rPr>
                <w:sz w:val="17"/>
                <w:szCs w:val="17"/>
                <w:color w:val="auto"/>
              </w:rPr>
            </w:pPr>
          </w:p>
        </w:tc>
        <w:tc>
          <w:tcPr>
            <w:tcW w:w="1260" w:type="dxa"/>
            <w:vAlign w:val="bottom"/>
            <w:gridSpan w:val="2"/>
          </w:tcPr>
          <w:p>
            <w:pPr>
              <w:jc w:val="right"/>
              <w:ind w:right="380"/>
              <w:spacing w:after="0" w:line="198" w:lineRule="exact"/>
              <w:rPr>
                <w:sz w:val="20"/>
                <w:szCs w:val="20"/>
                <w:color w:val="auto"/>
              </w:rPr>
            </w:pPr>
            <w:r>
              <w:rPr>
                <w:rFonts w:ascii="Times New Roman" w:cs="Times New Roman" w:eastAsia="Times New Roman" w:hAnsi="Times New Roman"/>
                <w:sz w:val="18"/>
                <w:szCs w:val="18"/>
                <w:color w:val="auto"/>
              </w:rPr>
              <w:t>March 15,</w:t>
            </w:r>
          </w:p>
        </w:tc>
        <w:tc>
          <w:tcPr>
            <w:tcW w:w="100" w:type="dxa"/>
            <w:vAlign w:val="bottom"/>
          </w:tcPr>
          <w:p>
            <w:pPr>
              <w:spacing w:after="0"/>
              <w:rPr>
                <w:sz w:val="17"/>
                <w:szCs w:val="17"/>
                <w:color w:val="auto"/>
              </w:rPr>
            </w:pPr>
          </w:p>
        </w:tc>
        <w:tc>
          <w:tcPr>
            <w:tcW w:w="1240" w:type="dxa"/>
            <w:vAlign w:val="bottom"/>
            <w:gridSpan w:val="2"/>
          </w:tcPr>
          <w:p>
            <w:pPr>
              <w:jc w:val="right"/>
              <w:ind w:right="360"/>
              <w:spacing w:after="0" w:line="198" w:lineRule="exact"/>
              <w:rPr>
                <w:sz w:val="20"/>
                <w:szCs w:val="20"/>
                <w:color w:val="auto"/>
              </w:rPr>
            </w:pPr>
            <w:r>
              <w:rPr>
                <w:rFonts w:ascii="Times New Roman" w:cs="Times New Roman" w:eastAsia="Times New Roman" w:hAnsi="Times New Roman"/>
                <w:sz w:val="18"/>
                <w:szCs w:val="18"/>
                <w:color w:val="auto"/>
              </w:rPr>
              <w:t>March 15,</w:t>
            </w:r>
          </w:p>
        </w:tc>
        <w:tc>
          <w:tcPr>
            <w:tcW w:w="12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180" w:type="dxa"/>
            <w:vAlign w:val="bottom"/>
          </w:tcPr>
          <w:p>
            <w:pPr>
              <w:spacing w:after="0"/>
              <w:rPr>
                <w:sz w:val="17"/>
                <w:szCs w:val="17"/>
                <w:color w:val="auto"/>
              </w:rPr>
            </w:pPr>
          </w:p>
        </w:tc>
      </w:tr>
      <w:tr>
        <w:trPr>
          <w:trHeight w:val="234"/>
        </w:trPr>
        <w:tc>
          <w:tcPr>
            <w:tcW w:w="18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Maturity Date (1)</w:t>
            </w:r>
          </w:p>
        </w:tc>
        <w:tc>
          <w:tcPr>
            <w:tcW w:w="12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2025</w:t>
            </w:r>
          </w:p>
        </w:tc>
        <w:tc>
          <w:tcPr>
            <w:tcW w:w="3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2027</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15, 2028</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2029</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2030</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2031</w:t>
            </w:r>
          </w:p>
        </w:tc>
        <w:tc>
          <w:tcPr>
            <w:tcW w:w="300" w:type="dxa"/>
            <w:vAlign w:val="bottom"/>
          </w:tcPr>
          <w:p>
            <w:pPr>
              <w:spacing w:after="0"/>
              <w:rPr>
                <w:sz w:val="20"/>
                <w:szCs w:val="20"/>
                <w:color w:val="auto"/>
              </w:rPr>
            </w:pPr>
          </w:p>
        </w:tc>
        <w:tc>
          <w:tcPr>
            <w:tcW w:w="1260" w:type="dxa"/>
            <w:vAlign w:val="bottom"/>
            <w:gridSpan w:val="3"/>
          </w:tcPr>
          <w:p>
            <w:pPr>
              <w:jc w:val="right"/>
              <w:ind w:right="220"/>
              <w:spacing w:after="0"/>
              <w:rPr>
                <w:sz w:val="20"/>
                <w:szCs w:val="20"/>
                <w:color w:val="auto"/>
              </w:rPr>
            </w:pPr>
            <w:r>
              <w:rPr>
                <w:rFonts w:ascii="Times New Roman" w:cs="Times New Roman" w:eastAsia="Times New Roman" w:hAnsi="Times New Roman"/>
                <w:sz w:val="18"/>
                <w:szCs w:val="18"/>
                <w:color w:val="auto"/>
              </w:rPr>
              <w:t>June 15, 2032</w:t>
            </w:r>
          </w:p>
        </w:tc>
      </w:tr>
      <w:tr>
        <w:trPr>
          <w:trHeight w:val="216"/>
        </w:trPr>
        <w:tc>
          <w:tcPr>
            <w:tcW w:w="1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Principal at Inception</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650,000</w:t>
            </w:r>
          </w:p>
        </w:tc>
        <w:tc>
          <w:tcPr>
            <w:tcW w:w="300" w:type="dxa"/>
            <w:vAlign w:val="bottom"/>
            <w:shd w:val="clear" w:color="auto" w:fill="CFF0FC"/>
          </w:tcPr>
          <w:p>
            <w:pPr>
              <w:spacing w:after="0"/>
              <w:rPr>
                <w:sz w:val="18"/>
                <w:szCs w:val="18"/>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1,050,000</w:t>
            </w:r>
          </w:p>
        </w:tc>
        <w:tc>
          <w:tcPr>
            <w:tcW w:w="300" w:type="dxa"/>
            <w:vAlign w:val="bottom"/>
            <w:shd w:val="clear" w:color="auto" w:fill="CFF0FC"/>
          </w:tcPr>
          <w:p>
            <w:pPr>
              <w:spacing w:after="0"/>
              <w:rPr>
                <w:sz w:val="18"/>
                <w:szCs w:val="18"/>
                <w:color w:val="auto"/>
              </w:rPr>
            </w:pP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7"/>
                <w:szCs w:val="17"/>
                <w:color w:val="auto"/>
                <w:w w:val="70"/>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1,010,000</w:t>
            </w:r>
          </w:p>
        </w:tc>
        <w:tc>
          <w:tcPr>
            <w:tcW w:w="300" w:type="dxa"/>
            <w:vAlign w:val="bottom"/>
            <w:shd w:val="clear" w:color="auto" w:fill="CFF0FC"/>
          </w:tcPr>
          <w:p>
            <w:pPr>
              <w:spacing w:after="0"/>
              <w:rPr>
                <w:sz w:val="18"/>
                <w:szCs w:val="18"/>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3,000,000</w:t>
            </w:r>
          </w:p>
        </w:tc>
        <w:tc>
          <w:tcPr>
            <w:tcW w:w="300" w:type="dxa"/>
            <w:vAlign w:val="bottom"/>
            <w:shd w:val="clear" w:color="auto" w:fill="CFF0FC"/>
          </w:tcPr>
          <w:p>
            <w:pPr>
              <w:spacing w:after="0"/>
              <w:rPr>
                <w:sz w:val="18"/>
                <w:szCs w:val="18"/>
                <w:color w:val="auto"/>
              </w:rPr>
            </w:pP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7"/>
                <w:szCs w:val="17"/>
                <w:color w:val="auto"/>
                <w:w w:val="70"/>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3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603,750</w:t>
            </w:r>
          </w:p>
        </w:tc>
        <w:tc>
          <w:tcPr>
            <w:tcW w:w="300" w:type="dxa"/>
            <w:vAlign w:val="bottom"/>
            <w:shd w:val="clear" w:color="auto" w:fill="CFF0FC"/>
          </w:tcPr>
          <w:p>
            <w:pPr>
              <w:spacing w:after="0"/>
              <w:rPr>
                <w:sz w:val="18"/>
                <w:szCs w:val="18"/>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180" w:type="dxa"/>
            <w:vAlign w:val="bottom"/>
            <w:shd w:val="clear" w:color="auto" w:fill="CFF0FC"/>
          </w:tcPr>
          <w:p>
            <w:pPr>
              <w:spacing w:after="0"/>
              <w:rPr>
                <w:sz w:val="18"/>
                <w:szCs w:val="18"/>
                <w:color w:val="auto"/>
              </w:rPr>
            </w:pPr>
          </w:p>
        </w:tc>
      </w:tr>
      <w:tr>
        <w:trPr>
          <w:trHeight w:val="216"/>
        </w:trPr>
        <w:tc>
          <w:tcPr>
            <w:tcW w:w="18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Stated Interest Rate (2)</w:t>
            </w:r>
          </w:p>
        </w:tc>
        <w:tc>
          <w:tcPr>
            <w:tcW w:w="120" w:type="dxa"/>
            <w:vAlign w:val="bottom"/>
          </w:tcPr>
          <w:p>
            <w:pPr>
              <w:spacing w:after="0"/>
              <w:rPr>
                <w:sz w:val="18"/>
                <w:szCs w:val="18"/>
                <w:color w:val="auto"/>
              </w:rPr>
            </w:pPr>
          </w:p>
        </w:tc>
        <w:tc>
          <w:tcPr>
            <w:tcW w:w="12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0.750 %</w:t>
            </w:r>
          </w:p>
        </w:tc>
        <w:tc>
          <w:tcPr>
            <w:tcW w:w="120" w:type="dxa"/>
            <w:vAlign w:val="bottom"/>
          </w:tcPr>
          <w:p>
            <w:pPr>
              <w:spacing w:after="0"/>
              <w:rPr>
                <w:sz w:val="18"/>
                <w:szCs w:val="18"/>
                <w:color w:val="auto"/>
              </w:rPr>
            </w:pPr>
          </w:p>
        </w:tc>
        <w:tc>
          <w:tcPr>
            <w:tcW w:w="122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0.000 %</w:t>
            </w:r>
          </w:p>
        </w:tc>
        <w:tc>
          <w:tcPr>
            <w:tcW w:w="100" w:type="dxa"/>
            <w:vAlign w:val="bottom"/>
          </w:tcPr>
          <w:p>
            <w:pPr>
              <w:spacing w:after="0"/>
              <w:rPr>
                <w:sz w:val="18"/>
                <w:szCs w:val="18"/>
                <w:color w:val="auto"/>
              </w:rPr>
            </w:pPr>
          </w:p>
        </w:tc>
        <w:tc>
          <w:tcPr>
            <w:tcW w:w="12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0.625 %</w:t>
            </w:r>
          </w:p>
        </w:tc>
        <w:tc>
          <w:tcPr>
            <w:tcW w:w="100" w:type="dxa"/>
            <w:vAlign w:val="bottom"/>
          </w:tcPr>
          <w:p>
            <w:pPr>
              <w:spacing w:after="0"/>
              <w:rPr>
                <w:sz w:val="18"/>
                <w:szCs w:val="18"/>
                <w:color w:val="auto"/>
              </w:rPr>
            </w:pPr>
          </w:p>
        </w:tc>
        <w:tc>
          <w:tcPr>
            <w:tcW w:w="124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0.000 %</w:t>
            </w:r>
          </w:p>
        </w:tc>
        <w:tc>
          <w:tcPr>
            <w:tcW w:w="100" w:type="dxa"/>
            <w:vAlign w:val="bottom"/>
          </w:tcPr>
          <w:p>
            <w:pPr>
              <w:spacing w:after="0"/>
              <w:rPr>
                <w:sz w:val="18"/>
                <w:szCs w:val="18"/>
                <w:color w:val="auto"/>
              </w:rPr>
            </w:pPr>
          </w:p>
        </w:tc>
        <w:tc>
          <w:tcPr>
            <w:tcW w:w="12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0.625 %</w:t>
            </w:r>
          </w:p>
        </w:tc>
        <w:tc>
          <w:tcPr>
            <w:tcW w:w="100" w:type="dxa"/>
            <w:vAlign w:val="bottom"/>
          </w:tcPr>
          <w:p>
            <w:pPr>
              <w:spacing w:after="0"/>
              <w:rPr>
                <w:sz w:val="18"/>
                <w:szCs w:val="18"/>
                <w:color w:val="auto"/>
              </w:rPr>
            </w:pPr>
          </w:p>
        </w:tc>
        <w:tc>
          <w:tcPr>
            <w:tcW w:w="124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0.875 %</w:t>
            </w:r>
          </w:p>
        </w:tc>
        <w:tc>
          <w:tcPr>
            <w:tcW w:w="120" w:type="dxa"/>
            <w:vAlign w:val="bottom"/>
          </w:tcPr>
          <w:p>
            <w:pPr>
              <w:spacing w:after="0"/>
              <w:rPr>
                <w:sz w:val="18"/>
                <w:szCs w:val="18"/>
                <w:color w:val="auto"/>
              </w:rPr>
            </w:pPr>
          </w:p>
        </w:tc>
        <w:tc>
          <w:tcPr>
            <w:tcW w:w="114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2.250 %</w:t>
            </w:r>
          </w:p>
        </w:tc>
      </w:tr>
      <w:tr>
        <w:trPr>
          <w:trHeight w:val="198"/>
        </w:trPr>
        <w:tc>
          <w:tcPr>
            <w:tcW w:w="188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1220" w:type="dxa"/>
            <w:vAlign w:val="bottom"/>
            <w:gridSpan w:val="2"/>
            <w:shd w:val="clear" w:color="auto" w:fill="CFF0FC"/>
          </w:tcPr>
          <w:p>
            <w:pPr>
              <w:jc w:val="right"/>
              <w:ind w:right="360"/>
              <w:spacing w:after="0" w:line="198" w:lineRule="exact"/>
              <w:rPr>
                <w:sz w:val="20"/>
                <w:szCs w:val="20"/>
                <w:color w:val="auto"/>
              </w:rPr>
            </w:pPr>
            <w:r>
              <w:rPr>
                <w:rFonts w:ascii="Times New Roman" w:cs="Times New Roman" w:eastAsia="Times New Roman" w:hAnsi="Times New Roman"/>
                <w:sz w:val="18"/>
                <w:szCs w:val="18"/>
                <w:color w:val="auto"/>
              </w:rPr>
              <w:t>February</w:t>
            </w:r>
          </w:p>
        </w:tc>
        <w:tc>
          <w:tcPr>
            <w:tcW w:w="10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r>
      <w:tr>
        <w:trPr>
          <w:trHeight w:val="216"/>
        </w:trPr>
        <w:tc>
          <w:tcPr>
            <w:tcW w:w="1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Interest Payment Dates</w:t>
            </w:r>
          </w:p>
        </w:tc>
        <w:tc>
          <w:tcPr>
            <w:tcW w:w="120" w:type="dxa"/>
            <w:vAlign w:val="bottom"/>
            <w:shd w:val="clear" w:color="auto" w:fill="CFF0FC"/>
          </w:tcPr>
          <w:p>
            <w:pPr>
              <w:spacing w:after="0"/>
              <w:rPr>
                <w:sz w:val="18"/>
                <w:szCs w:val="18"/>
                <w:color w:val="auto"/>
              </w:rPr>
            </w:pPr>
          </w:p>
        </w:tc>
        <w:tc>
          <w:tcPr>
            <w:tcW w:w="1240" w:type="dxa"/>
            <w:vAlign w:val="bottom"/>
            <w:gridSpan w:val="2"/>
            <w:shd w:val="clear" w:color="auto" w:fill="CFF0FC"/>
          </w:tcPr>
          <w:p>
            <w:pPr>
              <w:jc w:val="right"/>
              <w:ind w:right="380"/>
              <w:spacing w:after="0"/>
              <w:rPr>
                <w:sz w:val="20"/>
                <w:szCs w:val="20"/>
                <w:color w:val="auto"/>
              </w:rPr>
            </w:pPr>
            <w:r>
              <w:rPr>
                <w:rFonts w:ascii="Times New Roman" w:cs="Times New Roman" w:eastAsia="Times New Roman" w:hAnsi="Times New Roman"/>
                <w:sz w:val="18"/>
                <w:szCs w:val="18"/>
                <w:color w:val="auto"/>
              </w:rPr>
              <w:t>June 15 &amp;</w:t>
            </w:r>
          </w:p>
        </w:tc>
        <w:tc>
          <w:tcPr>
            <w:tcW w:w="1340" w:type="dxa"/>
            <w:vAlign w:val="bottom"/>
            <w:gridSpan w:val="3"/>
            <w:shd w:val="clear" w:color="auto" w:fill="CFF0FC"/>
          </w:tcPr>
          <w:p>
            <w:pPr>
              <w:jc w:val="right"/>
              <w:ind w:right="360"/>
              <w:spacing w:after="0"/>
              <w:rPr>
                <w:sz w:val="20"/>
                <w:szCs w:val="20"/>
                <w:color w:val="auto"/>
              </w:rPr>
            </w:pPr>
            <w:r>
              <w:rPr>
                <w:rFonts w:ascii="Times New Roman" w:cs="Times New Roman" w:eastAsia="Times New Roman" w:hAnsi="Times New Roman"/>
                <w:sz w:val="18"/>
                <w:szCs w:val="18"/>
                <w:color w:val="auto"/>
              </w:rPr>
              <w:t>15 &amp; August</w:t>
            </w:r>
          </w:p>
        </w:tc>
        <w:tc>
          <w:tcPr>
            <w:tcW w:w="100" w:type="dxa"/>
            <w:vAlign w:val="bottom"/>
            <w:shd w:val="clear" w:color="auto" w:fill="CFF0FC"/>
          </w:tcPr>
          <w:p>
            <w:pPr>
              <w:spacing w:after="0"/>
              <w:rPr>
                <w:sz w:val="18"/>
                <w:szCs w:val="18"/>
                <w:color w:val="auto"/>
              </w:rPr>
            </w:pPr>
          </w:p>
        </w:tc>
        <w:tc>
          <w:tcPr>
            <w:tcW w:w="1260" w:type="dxa"/>
            <w:vAlign w:val="bottom"/>
            <w:gridSpan w:val="2"/>
            <w:shd w:val="clear" w:color="auto" w:fill="CFF0FC"/>
          </w:tcPr>
          <w:p>
            <w:pPr>
              <w:jc w:val="right"/>
              <w:ind w:right="380"/>
              <w:spacing w:after="0"/>
              <w:rPr>
                <w:sz w:val="20"/>
                <w:szCs w:val="20"/>
                <w:color w:val="auto"/>
              </w:rPr>
            </w:pPr>
            <w:r>
              <w:rPr>
                <w:rFonts w:ascii="Times New Roman" w:cs="Times New Roman" w:eastAsia="Times New Roman" w:hAnsi="Times New Roman"/>
                <w:sz w:val="18"/>
                <w:szCs w:val="18"/>
                <w:color w:val="auto"/>
                <w:w w:val="97"/>
              </w:rPr>
              <w:t>March 15 &amp;</w:t>
            </w:r>
          </w:p>
        </w:tc>
        <w:tc>
          <w:tcPr>
            <w:tcW w:w="100" w:type="dxa"/>
            <w:vAlign w:val="bottom"/>
            <w:shd w:val="clear" w:color="auto" w:fill="CFF0FC"/>
          </w:tcPr>
          <w:p>
            <w:pPr>
              <w:spacing w:after="0"/>
              <w:rPr>
                <w:sz w:val="18"/>
                <w:szCs w:val="18"/>
                <w:color w:val="auto"/>
              </w:rPr>
            </w:pPr>
          </w:p>
        </w:tc>
        <w:tc>
          <w:tcPr>
            <w:tcW w:w="1240" w:type="dxa"/>
            <w:vAlign w:val="bottom"/>
            <w:gridSpan w:val="2"/>
            <w:shd w:val="clear" w:color="auto" w:fill="CFF0FC"/>
          </w:tcPr>
          <w:p>
            <w:pPr>
              <w:jc w:val="right"/>
              <w:ind w:right="360"/>
              <w:spacing w:after="0"/>
              <w:rPr>
                <w:sz w:val="20"/>
                <w:szCs w:val="20"/>
                <w:color w:val="auto"/>
              </w:rPr>
            </w:pPr>
            <w:r>
              <w:rPr>
                <w:rFonts w:ascii="Times New Roman" w:cs="Times New Roman" w:eastAsia="Times New Roman" w:hAnsi="Times New Roman"/>
                <w:sz w:val="18"/>
                <w:szCs w:val="18"/>
                <w:color w:val="auto"/>
              </w:rPr>
              <w:t>June 1 &amp;</w:t>
            </w:r>
          </w:p>
        </w:tc>
        <w:tc>
          <w:tcPr>
            <w:tcW w:w="100" w:type="dxa"/>
            <w:vAlign w:val="bottom"/>
            <w:shd w:val="clear" w:color="auto" w:fill="CFF0FC"/>
          </w:tcPr>
          <w:p>
            <w:pPr>
              <w:spacing w:after="0"/>
              <w:rPr>
                <w:sz w:val="18"/>
                <w:szCs w:val="18"/>
                <w:color w:val="auto"/>
              </w:rPr>
            </w:pPr>
          </w:p>
        </w:tc>
        <w:tc>
          <w:tcPr>
            <w:tcW w:w="1260" w:type="dxa"/>
            <w:vAlign w:val="bottom"/>
            <w:gridSpan w:val="2"/>
            <w:shd w:val="clear" w:color="auto" w:fill="CFF0FC"/>
          </w:tcPr>
          <w:p>
            <w:pPr>
              <w:jc w:val="right"/>
              <w:ind w:right="380"/>
              <w:spacing w:after="0"/>
              <w:rPr>
                <w:sz w:val="20"/>
                <w:szCs w:val="20"/>
                <w:color w:val="auto"/>
              </w:rPr>
            </w:pPr>
            <w:r>
              <w:rPr>
                <w:rFonts w:ascii="Times New Roman" w:cs="Times New Roman" w:eastAsia="Times New Roman" w:hAnsi="Times New Roman"/>
                <w:sz w:val="18"/>
                <w:szCs w:val="18"/>
                <w:color w:val="auto"/>
                <w:w w:val="97"/>
              </w:rPr>
              <w:t>March 15 &amp;</w:t>
            </w:r>
          </w:p>
        </w:tc>
        <w:tc>
          <w:tcPr>
            <w:tcW w:w="100" w:type="dxa"/>
            <w:vAlign w:val="bottom"/>
            <w:shd w:val="clear" w:color="auto" w:fill="CFF0FC"/>
          </w:tcPr>
          <w:p>
            <w:pPr>
              <w:spacing w:after="0"/>
              <w:rPr>
                <w:sz w:val="18"/>
                <w:szCs w:val="18"/>
                <w:color w:val="auto"/>
              </w:rPr>
            </w:pPr>
          </w:p>
        </w:tc>
        <w:tc>
          <w:tcPr>
            <w:tcW w:w="1240" w:type="dxa"/>
            <w:vAlign w:val="bottom"/>
            <w:gridSpan w:val="2"/>
            <w:shd w:val="clear" w:color="auto" w:fill="CFF0FC"/>
          </w:tcPr>
          <w:p>
            <w:pPr>
              <w:jc w:val="right"/>
              <w:ind w:right="360"/>
              <w:spacing w:after="0"/>
              <w:rPr>
                <w:sz w:val="20"/>
                <w:szCs w:val="20"/>
                <w:color w:val="auto"/>
              </w:rPr>
            </w:pPr>
            <w:r>
              <w:rPr>
                <w:rFonts w:ascii="Times New Roman" w:cs="Times New Roman" w:eastAsia="Times New Roman" w:hAnsi="Times New Roman"/>
                <w:sz w:val="18"/>
                <w:szCs w:val="18"/>
                <w:color w:val="auto"/>
                <w:w w:val="97"/>
              </w:rPr>
              <w:t>March 15 &amp;</w:t>
            </w:r>
          </w:p>
        </w:tc>
        <w:tc>
          <w:tcPr>
            <w:tcW w:w="120" w:type="dxa"/>
            <w:vAlign w:val="bottom"/>
            <w:shd w:val="clear" w:color="auto" w:fill="CFF0FC"/>
          </w:tcPr>
          <w:p>
            <w:pPr>
              <w:spacing w:after="0"/>
              <w:rPr>
                <w:sz w:val="18"/>
                <w:szCs w:val="18"/>
                <w:color w:val="auto"/>
              </w:rPr>
            </w:pPr>
          </w:p>
        </w:tc>
        <w:tc>
          <w:tcPr>
            <w:tcW w:w="1140" w:type="dxa"/>
            <w:vAlign w:val="bottom"/>
            <w:gridSpan w:val="2"/>
            <w:shd w:val="clear" w:color="auto" w:fill="CFF0FC"/>
          </w:tcPr>
          <w:p>
            <w:pPr>
              <w:jc w:val="right"/>
              <w:ind w:right="260"/>
              <w:spacing w:after="0"/>
              <w:rPr>
                <w:sz w:val="20"/>
                <w:szCs w:val="20"/>
                <w:color w:val="auto"/>
              </w:rPr>
            </w:pPr>
            <w:r>
              <w:rPr>
                <w:rFonts w:ascii="Times New Roman" w:cs="Times New Roman" w:eastAsia="Times New Roman" w:hAnsi="Times New Roman"/>
                <w:sz w:val="18"/>
                <w:szCs w:val="18"/>
                <w:color w:val="auto"/>
              </w:rPr>
              <w:t>June 15 &amp;</w:t>
            </w:r>
          </w:p>
        </w:tc>
      </w:tr>
      <w:tr>
        <w:trPr>
          <w:trHeight w:val="234"/>
        </w:trPr>
        <w:tc>
          <w:tcPr>
            <w:tcW w:w="1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(3)</w:t>
            </w:r>
          </w:p>
        </w:tc>
        <w:tc>
          <w:tcPr>
            <w:tcW w:w="1360" w:type="dxa"/>
            <w:vAlign w:val="bottom"/>
            <w:gridSpan w:val="3"/>
            <w:shd w:val="clear" w:color="auto" w:fill="CFF0FC"/>
          </w:tcPr>
          <w:p>
            <w:pPr>
              <w:jc w:val="right"/>
              <w:ind w:right="320"/>
              <w:spacing w:after="0"/>
              <w:rPr>
                <w:sz w:val="20"/>
                <w:szCs w:val="20"/>
                <w:color w:val="auto"/>
              </w:rPr>
            </w:pPr>
            <w:r>
              <w:rPr>
                <w:rFonts w:ascii="Times New Roman" w:cs="Times New Roman" w:eastAsia="Times New Roman" w:hAnsi="Times New Roman"/>
                <w:sz w:val="18"/>
                <w:szCs w:val="18"/>
                <w:color w:val="auto"/>
              </w:rPr>
              <w:t>December 15</w:t>
            </w:r>
          </w:p>
        </w:tc>
        <w:tc>
          <w:tcPr>
            <w:tcW w:w="120" w:type="dxa"/>
            <w:vAlign w:val="bottom"/>
            <w:shd w:val="clear" w:color="auto" w:fill="CFF0FC"/>
          </w:tcPr>
          <w:p>
            <w:pPr>
              <w:spacing w:after="0"/>
              <w:rPr>
                <w:sz w:val="20"/>
                <w:szCs w:val="20"/>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w:t>
            </w:r>
          </w:p>
        </w:tc>
        <w:tc>
          <w:tcPr>
            <w:tcW w:w="300" w:type="dxa"/>
            <w:vAlign w:val="bottom"/>
            <w:shd w:val="clear" w:color="auto" w:fill="CFF0FC"/>
          </w:tcPr>
          <w:p>
            <w:pPr>
              <w:spacing w:after="0"/>
              <w:rPr>
                <w:sz w:val="20"/>
                <w:szCs w:val="20"/>
                <w:color w:val="auto"/>
              </w:rPr>
            </w:pPr>
          </w:p>
        </w:tc>
        <w:tc>
          <w:tcPr>
            <w:tcW w:w="1360" w:type="dxa"/>
            <w:vAlign w:val="bottom"/>
            <w:gridSpan w:val="3"/>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September 15</w:t>
            </w:r>
          </w:p>
        </w:tc>
        <w:tc>
          <w:tcPr>
            <w:tcW w:w="100" w:type="dxa"/>
            <w:vAlign w:val="bottom"/>
            <w:shd w:val="clear" w:color="auto" w:fill="CFF0FC"/>
          </w:tcPr>
          <w:p>
            <w:pPr>
              <w:spacing w:after="0"/>
              <w:rPr>
                <w:sz w:val="20"/>
                <w:szCs w:val="20"/>
                <w:color w:val="auto"/>
              </w:rPr>
            </w:pPr>
          </w:p>
        </w:tc>
        <w:tc>
          <w:tcPr>
            <w:tcW w:w="1240" w:type="dxa"/>
            <w:vAlign w:val="bottom"/>
            <w:gridSpan w:val="2"/>
            <w:shd w:val="clear" w:color="auto" w:fill="CFF0FC"/>
          </w:tcPr>
          <w:p>
            <w:pPr>
              <w:jc w:val="right"/>
              <w:ind w:right="320"/>
              <w:spacing w:after="0"/>
              <w:rPr>
                <w:sz w:val="20"/>
                <w:szCs w:val="20"/>
                <w:color w:val="auto"/>
              </w:rPr>
            </w:pPr>
            <w:r>
              <w:rPr>
                <w:rFonts w:ascii="Times New Roman" w:cs="Times New Roman" w:eastAsia="Times New Roman" w:hAnsi="Times New Roman"/>
                <w:sz w:val="18"/>
                <w:szCs w:val="18"/>
                <w:color w:val="auto"/>
              </w:rPr>
              <w:t>December 1</w:t>
            </w:r>
          </w:p>
        </w:tc>
        <w:tc>
          <w:tcPr>
            <w:tcW w:w="1360" w:type="dxa"/>
            <w:vAlign w:val="bottom"/>
            <w:gridSpan w:val="3"/>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September 15</w:t>
            </w:r>
          </w:p>
        </w:tc>
        <w:tc>
          <w:tcPr>
            <w:tcW w:w="1340" w:type="dxa"/>
            <w:vAlign w:val="bottom"/>
            <w:gridSpan w:val="3"/>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September 15</w:t>
            </w:r>
          </w:p>
        </w:tc>
        <w:tc>
          <w:tcPr>
            <w:tcW w:w="1260" w:type="dxa"/>
            <w:vAlign w:val="bottom"/>
            <w:gridSpan w:val="3"/>
            <w:shd w:val="clear" w:color="auto" w:fill="CFF0FC"/>
          </w:tcPr>
          <w:p>
            <w:pPr>
              <w:jc w:val="right"/>
              <w:ind w:right="220"/>
              <w:spacing w:after="0"/>
              <w:rPr>
                <w:sz w:val="20"/>
                <w:szCs w:val="20"/>
                <w:color w:val="auto"/>
              </w:rPr>
            </w:pPr>
            <w:r>
              <w:rPr>
                <w:rFonts w:ascii="Times New Roman" w:cs="Times New Roman" w:eastAsia="Times New Roman" w:hAnsi="Times New Roman"/>
                <w:sz w:val="18"/>
                <w:szCs w:val="18"/>
                <w:color w:val="auto"/>
              </w:rPr>
              <w:t>December 15</w:t>
            </w:r>
          </w:p>
        </w:tc>
      </w:tr>
      <w:tr>
        <w:trPr>
          <w:trHeight w:val="216"/>
        </w:trPr>
        <w:tc>
          <w:tcPr>
            <w:tcW w:w="18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Net Proceeds</w:t>
            </w:r>
          </w:p>
        </w:tc>
        <w:tc>
          <w:tcPr>
            <w:tcW w:w="120" w:type="dxa"/>
            <w:vAlign w:val="bottom"/>
          </w:tcPr>
          <w:p>
            <w:pPr>
              <w:ind w:left="20"/>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634,749</w:t>
            </w:r>
          </w:p>
        </w:tc>
        <w:tc>
          <w:tcPr>
            <w:tcW w:w="300" w:type="dxa"/>
            <w:vAlign w:val="bottom"/>
          </w:tcPr>
          <w:p>
            <w:pPr>
              <w:spacing w:after="0"/>
              <w:rPr>
                <w:sz w:val="18"/>
                <w:szCs w:val="18"/>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1,025,830</w:t>
            </w:r>
          </w:p>
        </w:tc>
        <w:tc>
          <w:tcPr>
            <w:tcW w:w="300" w:type="dxa"/>
            <w:vAlign w:val="bottom"/>
          </w:tcPr>
          <w:p>
            <w:pPr>
              <w:spacing w:after="0"/>
              <w:rPr>
                <w:sz w:val="18"/>
                <w:szCs w:val="18"/>
                <w:color w:val="auto"/>
              </w:rPr>
            </w:pPr>
          </w:p>
        </w:tc>
        <w:tc>
          <w:tcPr>
            <w:tcW w:w="100" w:type="dxa"/>
            <w:vAlign w:val="bottom"/>
          </w:tcPr>
          <w:p>
            <w:pPr>
              <w:ind w:left="20"/>
              <w:spacing w:after="0"/>
              <w:rPr>
                <w:sz w:val="20"/>
                <w:szCs w:val="20"/>
                <w:color w:val="auto"/>
              </w:rPr>
            </w:pPr>
            <w:r>
              <w:rPr>
                <w:rFonts w:ascii="Times New Roman" w:cs="Times New Roman" w:eastAsia="Times New Roman" w:hAnsi="Times New Roman"/>
                <w:sz w:val="17"/>
                <w:szCs w:val="17"/>
                <w:color w:val="auto"/>
                <w:w w:val="70"/>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997,375</w:t>
            </w:r>
          </w:p>
        </w:tc>
        <w:tc>
          <w:tcPr>
            <w:tcW w:w="300" w:type="dxa"/>
            <w:vAlign w:val="bottom"/>
          </w:tcPr>
          <w:p>
            <w:pPr>
              <w:spacing w:after="0"/>
              <w:rPr>
                <w:sz w:val="18"/>
                <w:szCs w:val="18"/>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2,974,250</w:t>
            </w:r>
          </w:p>
        </w:tc>
        <w:tc>
          <w:tcPr>
            <w:tcW w:w="300" w:type="dxa"/>
            <w:vAlign w:val="bottom"/>
          </w:tcPr>
          <w:p>
            <w:pPr>
              <w:spacing w:after="0"/>
              <w:rPr>
                <w:sz w:val="18"/>
                <w:szCs w:val="18"/>
                <w:color w:val="auto"/>
              </w:rPr>
            </w:pPr>
          </w:p>
        </w:tc>
        <w:tc>
          <w:tcPr>
            <w:tcW w:w="100" w:type="dxa"/>
            <w:vAlign w:val="bottom"/>
          </w:tcPr>
          <w:p>
            <w:pPr>
              <w:ind w:left="20"/>
              <w:spacing w:after="0"/>
              <w:rPr>
                <w:sz w:val="20"/>
                <w:szCs w:val="20"/>
                <w:color w:val="auto"/>
              </w:rPr>
            </w:pPr>
            <w:r>
              <w:rPr>
                <w:rFonts w:ascii="Times New Roman" w:cs="Times New Roman" w:eastAsia="Times New Roman" w:hAnsi="Times New Roman"/>
                <w:sz w:val="17"/>
                <w:szCs w:val="17"/>
                <w:color w:val="auto"/>
                <w:w w:val="70"/>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782,000</w:t>
            </w:r>
          </w:p>
        </w:tc>
        <w:tc>
          <w:tcPr>
            <w:tcW w:w="300" w:type="dxa"/>
            <w:vAlign w:val="bottom"/>
          </w:tcPr>
          <w:p>
            <w:pPr>
              <w:spacing w:after="0"/>
              <w:rPr>
                <w:sz w:val="18"/>
                <w:szCs w:val="18"/>
                <w:color w:val="auto"/>
              </w:rPr>
            </w:pPr>
          </w:p>
        </w:tc>
        <w:tc>
          <w:tcPr>
            <w:tcW w:w="100" w:type="dxa"/>
            <w:vAlign w:val="bottom"/>
          </w:tcPr>
          <w:p>
            <w:pPr>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592,567</w:t>
            </w:r>
          </w:p>
        </w:tc>
        <w:tc>
          <w:tcPr>
            <w:tcW w:w="300" w:type="dxa"/>
            <w:vAlign w:val="bottom"/>
          </w:tcPr>
          <w:p>
            <w:pPr>
              <w:spacing w:after="0"/>
              <w:rPr>
                <w:sz w:val="18"/>
                <w:szCs w:val="18"/>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786,000</w:t>
            </w:r>
          </w:p>
        </w:tc>
        <w:tc>
          <w:tcPr>
            <w:tcW w:w="180" w:type="dxa"/>
            <w:vAlign w:val="bottom"/>
          </w:tcPr>
          <w:p>
            <w:pPr>
              <w:spacing w:after="0"/>
              <w:rPr>
                <w:sz w:val="18"/>
                <w:szCs w:val="18"/>
                <w:color w:val="auto"/>
              </w:rPr>
            </w:pPr>
          </w:p>
        </w:tc>
      </w:tr>
      <w:tr>
        <w:trPr>
          <w:trHeight w:val="216"/>
        </w:trPr>
        <w:tc>
          <w:tcPr>
            <w:tcW w:w="1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Issuance Costs (4)</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15,251</w:t>
            </w:r>
          </w:p>
        </w:tc>
        <w:tc>
          <w:tcPr>
            <w:tcW w:w="300" w:type="dxa"/>
            <w:vAlign w:val="bottom"/>
            <w:shd w:val="clear" w:color="auto" w:fill="CFF0FC"/>
          </w:tcPr>
          <w:p>
            <w:pPr>
              <w:spacing w:after="0"/>
              <w:rPr>
                <w:sz w:val="18"/>
                <w:szCs w:val="18"/>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24,170</w:t>
            </w:r>
          </w:p>
        </w:tc>
        <w:tc>
          <w:tcPr>
            <w:tcW w:w="300" w:type="dxa"/>
            <w:vAlign w:val="bottom"/>
            <w:shd w:val="clear" w:color="auto" w:fill="CFF0FC"/>
          </w:tcPr>
          <w:p>
            <w:pPr>
              <w:spacing w:after="0"/>
              <w:rPr>
                <w:sz w:val="18"/>
                <w:szCs w:val="18"/>
                <w:color w:val="auto"/>
              </w:rPr>
            </w:pP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7"/>
                <w:szCs w:val="17"/>
                <w:color w:val="auto"/>
                <w:w w:val="70"/>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12,625</w:t>
            </w:r>
          </w:p>
        </w:tc>
        <w:tc>
          <w:tcPr>
            <w:tcW w:w="300" w:type="dxa"/>
            <w:vAlign w:val="bottom"/>
            <w:shd w:val="clear" w:color="auto" w:fill="CFF0FC"/>
          </w:tcPr>
          <w:p>
            <w:pPr>
              <w:spacing w:after="0"/>
              <w:rPr>
                <w:sz w:val="18"/>
                <w:szCs w:val="18"/>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25,750</w:t>
            </w:r>
          </w:p>
        </w:tc>
        <w:tc>
          <w:tcPr>
            <w:tcW w:w="300" w:type="dxa"/>
            <w:vAlign w:val="bottom"/>
            <w:shd w:val="clear" w:color="auto" w:fill="CFF0FC"/>
          </w:tcPr>
          <w:p>
            <w:pPr>
              <w:spacing w:after="0"/>
              <w:rPr>
                <w:sz w:val="18"/>
                <w:szCs w:val="18"/>
                <w:color w:val="auto"/>
              </w:rPr>
            </w:pP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7"/>
                <w:szCs w:val="17"/>
                <w:color w:val="auto"/>
                <w:w w:val="70"/>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18,000</w:t>
            </w:r>
          </w:p>
        </w:tc>
        <w:tc>
          <w:tcPr>
            <w:tcW w:w="3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11,183</w:t>
            </w:r>
          </w:p>
        </w:tc>
        <w:tc>
          <w:tcPr>
            <w:tcW w:w="300" w:type="dxa"/>
            <w:vAlign w:val="bottom"/>
            <w:shd w:val="clear" w:color="auto" w:fill="CFF0FC"/>
          </w:tcPr>
          <w:p>
            <w:pPr>
              <w:spacing w:after="0"/>
              <w:rPr>
                <w:sz w:val="18"/>
                <w:szCs w:val="18"/>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14,000</w:t>
            </w:r>
          </w:p>
        </w:tc>
        <w:tc>
          <w:tcPr>
            <w:tcW w:w="180" w:type="dxa"/>
            <w:vAlign w:val="bottom"/>
            <w:shd w:val="clear" w:color="auto" w:fill="CFF0FC"/>
          </w:tcPr>
          <w:p>
            <w:pPr>
              <w:spacing w:after="0"/>
              <w:rPr>
                <w:sz w:val="18"/>
                <w:szCs w:val="18"/>
                <w:color w:val="auto"/>
              </w:rPr>
            </w:pPr>
          </w:p>
        </w:tc>
      </w:tr>
      <w:tr>
        <w:trPr>
          <w:trHeight w:val="198"/>
        </w:trPr>
        <w:tc>
          <w:tcPr>
            <w:tcW w:w="1880" w:type="dxa"/>
            <w:vAlign w:val="bottom"/>
          </w:tcPr>
          <w:p>
            <w:pPr>
              <w:ind w:left="20"/>
              <w:spacing w:after="0" w:line="198" w:lineRule="exact"/>
              <w:rPr>
                <w:sz w:val="20"/>
                <w:szCs w:val="20"/>
                <w:color w:val="auto"/>
              </w:rPr>
            </w:pPr>
            <w:r>
              <w:rPr>
                <w:rFonts w:ascii="Times New Roman" w:cs="Times New Roman" w:eastAsia="Times New Roman" w:hAnsi="Times New Roman"/>
                <w:sz w:val="18"/>
                <w:szCs w:val="18"/>
                <w:color w:val="auto"/>
              </w:rPr>
              <w:t>Effective Interest Rate</w:t>
            </w:r>
          </w:p>
        </w:tc>
        <w:tc>
          <w:tcPr>
            <w:tcW w:w="12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92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180" w:type="dxa"/>
            <w:vAlign w:val="bottom"/>
          </w:tcPr>
          <w:p>
            <w:pPr>
              <w:spacing w:after="0"/>
              <w:rPr>
                <w:sz w:val="17"/>
                <w:szCs w:val="17"/>
                <w:color w:val="auto"/>
              </w:rPr>
            </w:pPr>
          </w:p>
        </w:tc>
      </w:tr>
      <w:tr>
        <w:trPr>
          <w:trHeight w:val="234"/>
        </w:trPr>
        <w:tc>
          <w:tcPr>
            <w:tcW w:w="18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w:t>
            </w:r>
          </w:p>
        </w:tc>
        <w:tc>
          <w:tcPr>
            <w:tcW w:w="120" w:type="dxa"/>
            <w:vAlign w:val="bottom"/>
          </w:tcPr>
          <w:p>
            <w:pPr>
              <w:spacing w:after="0"/>
              <w:rPr>
                <w:sz w:val="20"/>
                <w:szCs w:val="20"/>
                <w:color w:val="auto"/>
              </w:rPr>
            </w:pPr>
          </w:p>
        </w:tc>
        <w:tc>
          <w:tcPr>
            <w:tcW w:w="12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1.23 %</w:t>
            </w:r>
          </w:p>
        </w:tc>
        <w:tc>
          <w:tcPr>
            <w:tcW w:w="120" w:type="dxa"/>
            <w:vAlign w:val="bottom"/>
          </w:tcPr>
          <w:p>
            <w:pPr>
              <w:spacing w:after="0"/>
              <w:rPr>
                <w:sz w:val="20"/>
                <w:szCs w:val="20"/>
                <w:color w:val="auto"/>
              </w:rPr>
            </w:pPr>
          </w:p>
        </w:tc>
        <w:tc>
          <w:tcPr>
            <w:tcW w:w="122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0.39 %</w:t>
            </w:r>
          </w:p>
        </w:tc>
        <w:tc>
          <w:tcPr>
            <w:tcW w:w="100" w:type="dxa"/>
            <w:vAlign w:val="bottom"/>
          </w:tcPr>
          <w:p>
            <w:pPr>
              <w:spacing w:after="0"/>
              <w:rPr>
                <w:sz w:val="20"/>
                <w:szCs w:val="20"/>
                <w:color w:val="auto"/>
              </w:rPr>
            </w:pPr>
          </w:p>
        </w:tc>
        <w:tc>
          <w:tcPr>
            <w:tcW w:w="12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1.05 %</w:t>
            </w:r>
          </w:p>
        </w:tc>
        <w:tc>
          <w:tcPr>
            <w:tcW w:w="100" w:type="dxa"/>
            <w:vAlign w:val="bottom"/>
          </w:tcPr>
          <w:p>
            <w:pPr>
              <w:spacing w:after="0"/>
              <w:rPr>
                <w:sz w:val="20"/>
                <w:szCs w:val="20"/>
                <w:color w:val="auto"/>
              </w:rPr>
            </w:pPr>
          </w:p>
        </w:tc>
        <w:tc>
          <w:tcPr>
            <w:tcW w:w="124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0.24 %</w:t>
            </w:r>
          </w:p>
        </w:tc>
        <w:tc>
          <w:tcPr>
            <w:tcW w:w="100" w:type="dxa"/>
            <w:vAlign w:val="bottom"/>
          </w:tcPr>
          <w:p>
            <w:pPr>
              <w:spacing w:after="0"/>
              <w:rPr>
                <w:sz w:val="20"/>
                <w:szCs w:val="20"/>
                <w:color w:val="auto"/>
              </w:rPr>
            </w:pPr>
          </w:p>
        </w:tc>
        <w:tc>
          <w:tcPr>
            <w:tcW w:w="12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1.14 %</w:t>
            </w:r>
          </w:p>
        </w:tc>
        <w:tc>
          <w:tcPr>
            <w:tcW w:w="100" w:type="dxa"/>
            <w:vAlign w:val="bottom"/>
          </w:tcPr>
          <w:p>
            <w:pPr>
              <w:spacing w:after="0"/>
              <w:rPr>
                <w:sz w:val="20"/>
                <w:szCs w:val="20"/>
                <w:color w:val="auto"/>
              </w:rPr>
            </w:pPr>
          </w:p>
        </w:tc>
        <w:tc>
          <w:tcPr>
            <w:tcW w:w="124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1.30 %</w:t>
            </w:r>
          </w:p>
        </w:tc>
        <w:tc>
          <w:tcPr>
            <w:tcW w:w="120" w:type="dxa"/>
            <w:vAlign w:val="bottom"/>
          </w:tcPr>
          <w:p>
            <w:pPr>
              <w:spacing w:after="0"/>
              <w:rPr>
                <w:sz w:val="20"/>
                <w:szCs w:val="20"/>
                <w:color w:val="auto"/>
              </w:rPr>
            </w:pPr>
          </w:p>
        </w:tc>
        <w:tc>
          <w:tcPr>
            <w:tcW w:w="114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2.63 %</w:t>
            </w:r>
          </w:p>
        </w:tc>
      </w:tr>
      <w:tr>
        <w:trPr>
          <w:trHeight w:val="198"/>
        </w:trPr>
        <w:tc>
          <w:tcPr>
            <w:tcW w:w="1880" w:type="dxa"/>
            <w:vAlign w:val="bottom"/>
            <w:shd w:val="clear" w:color="auto" w:fill="CFF0FC"/>
          </w:tcPr>
          <w:p>
            <w:pPr>
              <w:ind w:left="20"/>
              <w:spacing w:after="0" w:line="198" w:lineRule="exact"/>
              <w:rPr>
                <w:sz w:val="20"/>
                <w:szCs w:val="20"/>
                <w:color w:val="auto"/>
              </w:rPr>
            </w:pPr>
            <w:r>
              <w:rPr>
                <w:rFonts w:ascii="Times New Roman" w:cs="Times New Roman" w:eastAsia="Times New Roman" w:hAnsi="Times New Roman"/>
                <w:sz w:val="18"/>
                <w:szCs w:val="18"/>
                <w:color w:val="auto"/>
              </w:rPr>
              <w:t>Date of Holder Put</w:t>
            </w:r>
          </w:p>
        </w:tc>
        <w:tc>
          <w:tcPr>
            <w:tcW w:w="12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92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1260" w:type="dxa"/>
            <w:vAlign w:val="bottom"/>
            <w:gridSpan w:val="2"/>
            <w:shd w:val="clear" w:color="auto" w:fill="CFF0FC"/>
          </w:tcPr>
          <w:p>
            <w:pPr>
              <w:jc w:val="right"/>
              <w:ind w:right="380"/>
              <w:spacing w:after="0" w:line="198" w:lineRule="exact"/>
              <w:rPr>
                <w:sz w:val="20"/>
                <w:szCs w:val="20"/>
                <w:color w:val="auto"/>
              </w:rPr>
            </w:pPr>
            <w:r>
              <w:rPr>
                <w:rFonts w:ascii="Times New Roman" w:cs="Times New Roman" w:eastAsia="Times New Roman" w:hAnsi="Times New Roman"/>
                <w:sz w:val="18"/>
                <w:szCs w:val="18"/>
                <w:color w:val="auto"/>
              </w:rPr>
              <w:t>September</w:t>
            </w:r>
          </w:p>
        </w:tc>
        <w:tc>
          <w:tcPr>
            <w:tcW w:w="10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1260" w:type="dxa"/>
            <w:vAlign w:val="bottom"/>
            <w:gridSpan w:val="2"/>
            <w:shd w:val="clear" w:color="auto" w:fill="CFF0FC"/>
          </w:tcPr>
          <w:p>
            <w:pPr>
              <w:jc w:val="right"/>
              <w:ind w:right="380"/>
              <w:spacing w:after="0" w:line="198" w:lineRule="exact"/>
              <w:rPr>
                <w:sz w:val="20"/>
                <w:szCs w:val="20"/>
                <w:color w:val="auto"/>
              </w:rPr>
            </w:pPr>
            <w:r>
              <w:rPr>
                <w:rFonts w:ascii="Times New Roman" w:cs="Times New Roman" w:eastAsia="Times New Roman" w:hAnsi="Times New Roman"/>
                <w:sz w:val="18"/>
                <w:szCs w:val="18"/>
                <w:color w:val="auto"/>
              </w:rPr>
              <w:t>September</w:t>
            </w:r>
          </w:p>
        </w:tc>
        <w:tc>
          <w:tcPr>
            <w:tcW w:w="100" w:type="dxa"/>
            <w:vAlign w:val="bottom"/>
            <w:shd w:val="clear" w:color="auto" w:fill="CFF0FC"/>
          </w:tcPr>
          <w:p>
            <w:pPr>
              <w:spacing w:after="0"/>
              <w:rPr>
                <w:sz w:val="17"/>
                <w:szCs w:val="17"/>
                <w:color w:val="auto"/>
              </w:rPr>
            </w:pPr>
          </w:p>
        </w:tc>
        <w:tc>
          <w:tcPr>
            <w:tcW w:w="1240" w:type="dxa"/>
            <w:vAlign w:val="bottom"/>
            <w:gridSpan w:val="2"/>
            <w:shd w:val="clear" w:color="auto" w:fill="CFF0FC"/>
          </w:tcPr>
          <w:p>
            <w:pPr>
              <w:jc w:val="right"/>
              <w:ind w:right="360"/>
              <w:spacing w:after="0" w:line="198" w:lineRule="exact"/>
              <w:rPr>
                <w:sz w:val="20"/>
                <w:szCs w:val="20"/>
                <w:color w:val="auto"/>
              </w:rPr>
            </w:pPr>
            <w:r>
              <w:rPr>
                <w:rFonts w:ascii="Times New Roman" w:cs="Times New Roman" w:eastAsia="Times New Roman" w:hAnsi="Times New Roman"/>
                <w:sz w:val="18"/>
                <w:szCs w:val="18"/>
                <w:color w:val="auto"/>
              </w:rPr>
              <w:t>September</w:t>
            </w:r>
          </w:p>
        </w:tc>
        <w:tc>
          <w:tcPr>
            <w:tcW w:w="12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r>
      <w:tr>
        <w:trPr>
          <w:trHeight w:val="234"/>
        </w:trPr>
        <w:tc>
          <w:tcPr>
            <w:tcW w:w="1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Option (5)</w:t>
            </w:r>
          </w:p>
        </w:tc>
        <w:tc>
          <w:tcPr>
            <w:tcW w:w="120" w:type="dxa"/>
            <w:vAlign w:val="bottom"/>
            <w:shd w:val="clear" w:color="auto" w:fill="CFF0FC"/>
          </w:tcPr>
          <w:p>
            <w:pPr>
              <w:spacing w:after="0"/>
              <w:rPr>
                <w:sz w:val="20"/>
                <w:szCs w:val="20"/>
                <w:color w:val="auto"/>
              </w:rPr>
            </w:pPr>
          </w:p>
        </w:tc>
        <w:tc>
          <w:tcPr>
            <w:tcW w:w="1240" w:type="dxa"/>
            <w:vAlign w:val="bottom"/>
            <w:gridSpan w:val="2"/>
            <w:shd w:val="clear" w:color="auto" w:fill="CFF0FC"/>
          </w:tcPr>
          <w:p>
            <w:pPr>
              <w:jc w:val="right"/>
              <w:ind w:right="320"/>
              <w:spacing w:after="0"/>
              <w:rPr>
                <w:sz w:val="20"/>
                <w:szCs w:val="20"/>
                <w:color w:val="auto"/>
              </w:rPr>
            </w:pPr>
            <w:r>
              <w:rPr>
                <w:rFonts w:ascii="Times New Roman" w:cs="Times New Roman" w:eastAsia="Times New Roman" w:hAnsi="Times New Roman"/>
                <w:sz w:val="18"/>
                <w:szCs w:val="18"/>
                <w:color w:val="auto"/>
              </w:rPr>
              <w:t>n/a</w:t>
            </w:r>
          </w:p>
        </w:tc>
        <w:tc>
          <w:tcPr>
            <w:tcW w:w="120" w:type="dxa"/>
            <w:vAlign w:val="bottom"/>
            <w:shd w:val="clear" w:color="auto" w:fill="CFF0FC"/>
          </w:tcPr>
          <w:p>
            <w:pPr>
              <w:spacing w:after="0"/>
              <w:rPr>
                <w:sz w:val="20"/>
                <w:szCs w:val="20"/>
                <w:color w:val="auto"/>
              </w:rPr>
            </w:pPr>
          </w:p>
        </w:tc>
        <w:tc>
          <w:tcPr>
            <w:tcW w:w="1220" w:type="dxa"/>
            <w:vAlign w:val="bottom"/>
            <w:gridSpan w:val="2"/>
            <w:shd w:val="clear" w:color="auto" w:fill="CFF0FC"/>
          </w:tcPr>
          <w:p>
            <w:pPr>
              <w:jc w:val="right"/>
              <w:ind w:right="320"/>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shd w:val="clear" w:color="auto" w:fill="CFF0FC"/>
          </w:tcPr>
          <w:p>
            <w:pPr>
              <w:spacing w:after="0"/>
              <w:rPr>
                <w:sz w:val="20"/>
                <w:szCs w:val="20"/>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15, 2027</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1240" w:type="dxa"/>
            <w:vAlign w:val="bottom"/>
            <w:gridSpan w:val="2"/>
            <w:shd w:val="clear" w:color="auto" w:fill="CFF0FC"/>
          </w:tcPr>
          <w:p>
            <w:pPr>
              <w:jc w:val="right"/>
              <w:ind w:right="320"/>
              <w:spacing w:after="0"/>
              <w:rPr>
                <w:sz w:val="20"/>
                <w:szCs w:val="20"/>
                <w:color w:val="auto"/>
              </w:rPr>
            </w:pPr>
            <w:r>
              <w:rPr>
                <w:rFonts w:ascii="Times New Roman" w:cs="Times New Roman" w:eastAsia="Times New Roman" w:hAnsi="Times New Roman"/>
                <w:sz w:val="18"/>
                <w:szCs w:val="18"/>
                <w:color w:val="auto"/>
                <w:w w:val="98"/>
              </w:rPr>
              <w:t>June 1, 2028</w:t>
            </w:r>
          </w:p>
        </w:tc>
        <w:tc>
          <w:tcPr>
            <w:tcW w:w="100" w:type="dxa"/>
            <w:vAlign w:val="bottom"/>
            <w:shd w:val="clear" w:color="auto" w:fill="CFF0FC"/>
          </w:tcPr>
          <w:p>
            <w:pPr>
              <w:spacing w:after="0"/>
              <w:rPr>
                <w:sz w:val="20"/>
                <w:szCs w:val="20"/>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15, 2028</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15, 2028</w:t>
            </w:r>
          </w:p>
        </w:tc>
        <w:tc>
          <w:tcPr>
            <w:tcW w:w="300" w:type="dxa"/>
            <w:vAlign w:val="bottom"/>
            <w:shd w:val="clear" w:color="auto" w:fill="CFF0FC"/>
          </w:tcPr>
          <w:p>
            <w:pPr>
              <w:spacing w:after="0"/>
              <w:rPr>
                <w:sz w:val="20"/>
                <w:szCs w:val="20"/>
                <w:color w:val="auto"/>
              </w:rPr>
            </w:pPr>
          </w:p>
        </w:tc>
        <w:tc>
          <w:tcPr>
            <w:tcW w:w="1260" w:type="dxa"/>
            <w:vAlign w:val="bottom"/>
            <w:gridSpan w:val="3"/>
            <w:shd w:val="clear" w:color="auto" w:fill="CFF0FC"/>
          </w:tcPr>
          <w:p>
            <w:pPr>
              <w:jc w:val="right"/>
              <w:ind w:right="220"/>
              <w:spacing w:after="0"/>
              <w:rPr>
                <w:sz w:val="20"/>
                <w:szCs w:val="20"/>
                <w:color w:val="auto"/>
              </w:rPr>
            </w:pPr>
            <w:r>
              <w:rPr>
                <w:rFonts w:ascii="Times New Roman" w:cs="Times New Roman" w:eastAsia="Times New Roman" w:hAnsi="Times New Roman"/>
                <w:sz w:val="18"/>
                <w:szCs w:val="18"/>
                <w:color w:val="auto"/>
              </w:rPr>
              <w:t>June 15, 2029</w:t>
            </w:r>
          </w:p>
        </w:tc>
      </w:tr>
      <w:tr>
        <w:trPr>
          <w:trHeight w:val="198"/>
        </w:trPr>
        <w:tc>
          <w:tcPr>
            <w:tcW w:w="1880" w:type="dxa"/>
            <w:vAlign w:val="bottom"/>
          </w:tcPr>
          <w:p>
            <w:pPr>
              <w:ind w:left="20"/>
              <w:spacing w:after="0" w:line="198" w:lineRule="exact"/>
              <w:rPr>
                <w:sz w:val="20"/>
                <w:szCs w:val="20"/>
                <w:color w:val="auto"/>
              </w:rPr>
            </w:pPr>
            <w:r>
              <w:rPr>
                <w:rFonts w:ascii="Times New Roman" w:cs="Times New Roman" w:eastAsia="Times New Roman" w:hAnsi="Times New Roman"/>
                <w:sz w:val="18"/>
                <w:szCs w:val="18"/>
                <w:color w:val="auto"/>
              </w:rPr>
              <w:t>Initial Conversion Rate</w:t>
            </w:r>
          </w:p>
        </w:tc>
        <w:tc>
          <w:tcPr>
            <w:tcW w:w="12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92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180" w:type="dxa"/>
            <w:vAlign w:val="bottom"/>
          </w:tcPr>
          <w:p>
            <w:pPr>
              <w:spacing w:after="0"/>
              <w:rPr>
                <w:sz w:val="17"/>
                <w:szCs w:val="17"/>
                <w:color w:val="auto"/>
              </w:rPr>
            </w:pPr>
          </w:p>
        </w:tc>
      </w:tr>
      <w:tr>
        <w:trPr>
          <w:trHeight w:val="234"/>
        </w:trPr>
        <w:tc>
          <w:tcPr>
            <w:tcW w:w="18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(6)</w:t>
            </w:r>
          </w:p>
        </w:tc>
        <w:tc>
          <w:tcPr>
            <w:tcW w:w="12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25.126</w:t>
            </w:r>
          </w:p>
        </w:tc>
        <w:tc>
          <w:tcPr>
            <w:tcW w:w="3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6.981</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5.4589</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1.4872</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6.677</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4.297</w:t>
            </w:r>
          </w:p>
        </w:tc>
        <w:tc>
          <w:tcPr>
            <w:tcW w:w="3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4.894</w:t>
            </w:r>
          </w:p>
        </w:tc>
        <w:tc>
          <w:tcPr>
            <w:tcW w:w="180" w:type="dxa"/>
            <w:vAlign w:val="bottom"/>
          </w:tcPr>
          <w:p>
            <w:pPr>
              <w:spacing w:after="0"/>
              <w:rPr>
                <w:sz w:val="20"/>
                <w:szCs w:val="20"/>
                <w:color w:val="auto"/>
              </w:rPr>
            </w:pPr>
          </w:p>
        </w:tc>
      </w:tr>
      <w:tr>
        <w:trPr>
          <w:trHeight w:val="198"/>
        </w:trPr>
        <w:tc>
          <w:tcPr>
            <w:tcW w:w="1880" w:type="dxa"/>
            <w:vAlign w:val="bottom"/>
            <w:shd w:val="clear" w:color="auto" w:fill="CFF0FC"/>
          </w:tcPr>
          <w:p>
            <w:pPr>
              <w:ind w:left="20"/>
              <w:spacing w:after="0" w:line="198" w:lineRule="exact"/>
              <w:rPr>
                <w:sz w:val="20"/>
                <w:szCs w:val="20"/>
                <w:color w:val="auto"/>
              </w:rPr>
            </w:pPr>
            <w:r>
              <w:rPr>
                <w:rFonts w:ascii="Times New Roman" w:cs="Times New Roman" w:eastAsia="Times New Roman" w:hAnsi="Times New Roman"/>
                <w:sz w:val="18"/>
                <w:szCs w:val="18"/>
                <w:color w:val="auto"/>
              </w:rPr>
              <w:t>Initial Conversion Price</w:t>
            </w:r>
          </w:p>
        </w:tc>
        <w:tc>
          <w:tcPr>
            <w:tcW w:w="12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92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r>
      <w:tr>
        <w:trPr>
          <w:trHeight w:val="234"/>
        </w:trPr>
        <w:tc>
          <w:tcPr>
            <w:tcW w:w="1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(7)</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39.80</w:t>
            </w:r>
          </w:p>
        </w:tc>
        <w:tc>
          <w:tcPr>
            <w:tcW w:w="30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143.25</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7"/>
                <w:szCs w:val="17"/>
                <w:color w:val="auto"/>
                <w:w w:val="70"/>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183.19</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672.40</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7"/>
                <w:szCs w:val="17"/>
                <w:color w:val="auto"/>
                <w:w w:val="70"/>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149.77</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232.72</w:t>
            </w:r>
          </w:p>
        </w:tc>
        <w:tc>
          <w:tcPr>
            <w:tcW w:w="30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204.33</w:t>
            </w:r>
          </w:p>
        </w:tc>
        <w:tc>
          <w:tcPr>
            <w:tcW w:w="180" w:type="dxa"/>
            <w:vAlign w:val="bottom"/>
            <w:shd w:val="clear" w:color="auto" w:fill="CFF0FC"/>
          </w:tcPr>
          <w:p>
            <w:pPr>
              <w:spacing w:after="0"/>
              <w:rPr>
                <w:sz w:val="20"/>
                <w:szCs w:val="20"/>
                <w:color w:val="auto"/>
              </w:rPr>
            </w:pPr>
          </w:p>
        </w:tc>
      </w:tr>
      <w:tr>
        <w:trPr>
          <w:trHeight w:val="198"/>
        </w:trPr>
        <w:tc>
          <w:tcPr>
            <w:tcW w:w="1880" w:type="dxa"/>
            <w:vAlign w:val="bottom"/>
          </w:tcPr>
          <w:p>
            <w:pPr>
              <w:ind w:left="20"/>
              <w:spacing w:after="0" w:line="198" w:lineRule="exact"/>
              <w:rPr>
                <w:sz w:val="20"/>
                <w:szCs w:val="20"/>
                <w:color w:val="auto"/>
              </w:rPr>
            </w:pPr>
            <w:r>
              <w:rPr>
                <w:rFonts w:ascii="Times New Roman" w:cs="Times New Roman" w:eastAsia="Times New Roman" w:hAnsi="Times New Roman"/>
                <w:sz w:val="18"/>
                <w:szCs w:val="18"/>
                <w:color w:val="auto"/>
              </w:rPr>
              <w:t>Convertible at any time</w:t>
            </w:r>
          </w:p>
        </w:tc>
        <w:tc>
          <w:tcPr>
            <w:tcW w:w="12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92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180" w:type="dxa"/>
            <w:vAlign w:val="bottom"/>
          </w:tcPr>
          <w:p>
            <w:pPr>
              <w:spacing w:after="0"/>
              <w:rPr>
                <w:sz w:val="17"/>
                <w:szCs w:val="17"/>
                <w:color w:val="auto"/>
              </w:rPr>
            </w:pPr>
          </w:p>
        </w:tc>
      </w:tr>
      <w:tr>
        <w:trPr>
          <w:trHeight w:val="216"/>
        </w:trPr>
        <w:tc>
          <w:tcPr>
            <w:tcW w:w="18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after the following date</w:t>
            </w:r>
          </w:p>
        </w:tc>
        <w:tc>
          <w:tcPr>
            <w:tcW w:w="120" w:type="dxa"/>
            <w:vAlign w:val="bottom"/>
          </w:tcPr>
          <w:p>
            <w:pPr>
              <w:spacing w:after="0"/>
              <w:rPr>
                <w:sz w:val="18"/>
                <w:szCs w:val="18"/>
                <w:color w:val="auto"/>
              </w:rPr>
            </w:pPr>
          </w:p>
        </w:tc>
        <w:tc>
          <w:tcPr>
            <w:tcW w:w="94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122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January 24,</w:t>
            </w:r>
          </w:p>
        </w:tc>
        <w:tc>
          <w:tcPr>
            <w:tcW w:w="100" w:type="dxa"/>
            <w:vAlign w:val="bottom"/>
          </w:tcPr>
          <w:p>
            <w:pPr>
              <w:spacing w:after="0"/>
              <w:rPr>
                <w:sz w:val="18"/>
                <w:szCs w:val="18"/>
                <w:color w:val="auto"/>
              </w:rPr>
            </w:pPr>
          </w:p>
        </w:tc>
        <w:tc>
          <w:tcPr>
            <w:tcW w:w="1260" w:type="dxa"/>
            <w:vAlign w:val="bottom"/>
            <w:gridSpan w:val="2"/>
          </w:tcPr>
          <w:p>
            <w:pPr>
              <w:jc w:val="right"/>
              <w:ind w:right="380"/>
              <w:spacing w:after="0"/>
              <w:rPr>
                <w:sz w:val="20"/>
                <w:szCs w:val="20"/>
                <w:color w:val="auto"/>
              </w:rPr>
            </w:pPr>
            <w:r>
              <w:rPr>
                <w:rFonts w:ascii="Times New Roman" w:cs="Times New Roman" w:eastAsia="Times New Roman" w:hAnsi="Times New Roman"/>
                <w:sz w:val="18"/>
                <w:szCs w:val="18"/>
                <w:color w:val="auto"/>
              </w:rPr>
              <w:t>March 15,</w:t>
            </w:r>
          </w:p>
        </w:tc>
        <w:tc>
          <w:tcPr>
            <w:tcW w:w="100" w:type="dxa"/>
            <w:vAlign w:val="bottom"/>
          </w:tcPr>
          <w:p>
            <w:pPr>
              <w:spacing w:after="0"/>
              <w:rPr>
                <w:sz w:val="18"/>
                <w:szCs w:val="18"/>
                <w:color w:val="auto"/>
              </w:rPr>
            </w:pPr>
          </w:p>
        </w:tc>
        <w:tc>
          <w:tcPr>
            <w:tcW w:w="94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260" w:type="dxa"/>
            <w:vAlign w:val="bottom"/>
            <w:gridSpan w:val="2"/>
          </w:tcPr>
          <w:p>
            <w:pPr>
              <w:jc w:val="right"/>
              <w:ind w:right="380"/>
              <w:spacing w:after="0"/>
              <w:rPr>
                <w:sz w:val="20"/>
                <w:szCs w:val="20"/>
                <w:color w:val="auto"/>
              </w:rPr>
            </w:pPr>
            <w:r>
              <w:rPr>
                <w:rFonts w:ascii="Times New Roman" w:cs="Times New Roman" w:eastAsia="Times New Roman" w:hAnsi="Times New Roman"/>
                <w:sz w:val="18"/>
                <w:szCs w:val="18"/>
                <w:color w:val="auto"/>
              </w:rPr>
              <w:t>September</w:t>
            </w:r>
          </w:p>
        </w:tc>
        <w:tc>
          <w:tcPr>
            <w:tcW w:w="100" w:type="dxa"/>
            <w:vAlign w:val="bottom"/>
          </w:tcPr>
          <w:p>
            <w:pPr>
              <w:spacing w:after="0"/>
              <w:rPr>
                <w:sz w:val="18"/>
                <w:szCs w:val="18"/>
                <w:color w:val="auto"/>
              </w:rPr>
            </w:pPr>
          </w:p>
        </w:tc>
        <w:tc>
          <w:tcPr>
            <w:tcW w:w="1240" w:type="dxa"/>
            <w:vAlign w:val="bottom"/>
            <w:gridSpan w:val="2"/>
          </w:tcPr>
          <w:p>
            <w:pPr>
              <w:jc w:val="right"/>
              <w:ind w:right="360"/>
              <w:spacing w:after="0"/>
              <w:rPr>
                <w:sz w:val="20"/>
                <w:szCs w:val="20"/>
                <w:color w:val="auto"/>
              </w:rPr>
            </w:pPr>
            <w:r>
              <w:rPr>
                <w:rFonts w:ascii="Times New Roman" w:cs="Times New Roman" w:eastAsia="Times New Roman" w:hAnsi="Times New Roman"/>
                <w:sz w:val="18"/>
                <w:szCs w:val="18"/>
                <w:color w:val="auto"/>
              </w:rPr>
              <w:t>September</w:t>
            </w:r>
          </w:p>
        </w:tc>
        <w:tc>
          <w:tcPr>
            <w:tcW w:w="1260" w:type="dxa"/>
            <w:vAlign w:val="bottom"/>
            <w:gridSpan w:val="3"/>
          </w:tcPr>
          <w:p>
            <w:pPr>
              <w:jc w:val="right"/>
              <w:ind w:right="240"/>
              <w:spacing w:after="0"/>
              <w:rPr>
                <w:sz w:val="20"/>
                <w:szCs w:val="20"/>
                <w:color w:val="auto"/>
              </w:rPr>
            </w:pPr>
            <w:r>
              <w:rPr>
                <w:rFonts w:ascii="Times New Roman" w:cs="Times New Roman" w:eastAsia="Times New Roman" w:hAnsi="Times New Roman"/>
                <w:sz w:val="18"/>
                <w:szCs w:val="18"/>
                <w:color w:val="auto"/>
                <w:w w:val="98"/>
              </w:rPr>
              <w:t>December 15,</w:t>
            </w:r>
          </w:p>
        </w:tc>
      </w:tr>
      <w:tr>
        <w:trPr>
          <w:trHeight w:val="234"/>
        </w:trPr>
        <w:tc>
          <w:tcPr>
            <w:tcW w:w="18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(8) (9)</w:t>
            </w:r>
          </w:p>
        </w:tc>
        <w:tc>
          <w:tcPr>
            <w:tcW w:w="1360" w:type="dxa"/>
            <w:vAlign w:val="bottom"/>
            <w:gridSpan w:val="3"/>
          </w:tcPr>
          <w:p>
            <w:pPr>
              <w:ind w:left="20"/>
              <w:spacing w:after="0"/>
              <w:rPr>
                <w:sz w:val="20"/>
                <w:szCs w:val="20"/>
                <w:color w:val="auto"/>
              </w:rPr>
            </w:pPr>
            <w:r>
              <w:rPr>
                <w:rFonts w:ascii="Times New Roman" w:cs="Times New Roman" w:eastAsia="Times New Roman" w:hAnsi="Times New Roman"/>
                <w:sz w:val="18"/>
                <w:szCs w:val="18"/>
                <w:color w:val="auto"/>
              </w:rPr>
              <w:t>June 13, 2024</w:t>
            </w:r>
          </w:p>
        </w:tc>
        <w:tc>
          <w:tcPr>
            <w:tcW w:w="12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2025</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2028</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40" w:type="dxa"/>
            <w:vAlign w:val="bottom"/>
            <w:gridSpan w:val="2"/>
          </w:tcPr>
          <w:p>
            <w:pPr>
              <w:jc w:val="right"/>
              <w:ind w:right="320"/>
              <w:spacing w:after="0"/>
              <w:rPr>
                <w:sz w:val="20"/>
                <w:szCs w:val="20"/>
                <w:color w:val="auto"/>
              </w:rPr>
            </w:pPr>
            <w:r>
              <w:rPr>
                <w:rFonts w:ascii="Times New Roman" w:cs="Times New Roman" w:eastAsia="Times New Roman" w:hAnsi="Times New Roman"/>
                <w:sz w:val="18"/>
                <w:szCs w:val="18"/>
                <w:color w:val="auto"/>
                <w:w w:val="98"/>
              </w:rPr>
              <w:t>June 1, 2029</w:t>
            </w:r>
          </w:p>
        </w:tc>
        <w:tc>
          <w:tcPr>
            <w:tcW w:w="10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15, 2029</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15, 2030</w:t>
            </w:r>
          </w:p>
        </w:tc>
        <w:tc>
          <w:tcPr>
            <w:tcW w:w="3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2031</w:t>
            </w:r>
          </w:p>
        </w:tc>
        <w:tc>
          <w:tcPr>
            <w:tcW w:w="180" w:type="dxa"/>
            <w:vAlign w:val="bottom"/>
          </w:tcPr>
          <w:p>
            <w:pPr>
              <w:spacing w:after="0"/>
              <w:rPr>
                <w:sz w:val="20"/>
                <w:szCs w:val="20"/>
                <w:color w:val="auto"/>
              </w:rPr>
            </w:pPr>
          </w:p>
        </w:tc>
      </w:tr>
      <w:tr>
        <w:trPr>
          <w:trHeight w:val="198"/>
        </w:trPr>
        <w:tc>
          <w:tcPr>
            <w:tcW w:w="1880" w:type="dxa"/>
            <w:vAlign w:val="bottom"/>
            <w:shd w:val="clear" w:color="auto" w:fill="CFF0FC"/>
          </w:tcPr>
          <w:p>
            <w:pPr>
              <w:ind w:left="20"/>
              <w:spacing w:after="0" w:line="198" w:lineRule="exact"/>
              <w:rPr>
                <w:sz w:val="20"/>
                <w:szCs w:val="20"/>
                <w:color w:val="auto"/>
              </w:rPr>
            </w:pPr>
            <w:r>
              <w:rPr>
                <w:rFonts w:ascii="Times New Roman" w:cs="Times New Roman" w:eastAsia="Times New Roman" w:hAnsi="Times New Roman"/>
                <w:sz w:val="18"/>
                <w:szCs w:val="18"/>
                <w:color w:val="auto"/>
              </w:rPr>
              <w:t>Not redeemable by the</w:t>
            </w:r>
          </w:p>
        </w:tc>
        <w:tc>
          <w:tcPr>
            <w:tcW w:w="12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92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r>
      <w:tr>
        <w:trPr>
          <w:trHeight w:val="216"/>
        </w:trPr>
        <w:tc>
          <w:tcPr>
            <w:tcW w:w="1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Company prior to the</w:t>
            </w:r>
          </w:p>
        </w:tc>
        <w:tc>
          <w:tcPr>
            <w:tcW w:w="1360" w:type="dxa"/>
            <w:vAlign w:val="bottom"/>
            <w:gridSpan w:val="3"/>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December 20,</w:t>
            </w:r>
          </w:p>
        </w:tc>
        <w:tc>
          <w:tcPr>
            <w:tcW w:w="1340" w:type="dxa"/>
            <w:vAlign w:val="bottom"/>
            <w:gridSpan w:val="3"/>
            <w:shd w:val="clear" w:color="auto" w:fill="CFF0FC"/>
          </w:tcPr>
          <w:p>
            <w:pPr>
              <w:jc w:val="right"/>
              <w:ind w:right="360"/>
              <w:spacing w:after="0"/>
              <w:rPr>
                <w:sz w:val="20"/>
                <w:szCs w:val="20"/>
                <w:color w:val="auto"/>
              </w:rPr>
            </w:pPr>
            <w:r>
              <w:rPr>
                <w:rFonts w:ascii="Times New Roman" w:cs="Times New Roman" w:eastAsia="Times New Roman" w:hAnsi="Times New Roman"/>
                <w:sz w:val="18"/>
                <w:szCs w:val="18"/>
                <w:color w:val="auto"/>
              </w:rPr>
              <w:t>February 20,</w:t>
            </w:r>
          </w:p>
        </w:tc>
        <w:tc>
          <w:tcPr>
            <w:tcW w:w="1360" w:type="dxa"/>
            <w:vAlign w:val="bottom"/>
            <w:gridSpan w:val="3"/>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December 20,</w:t>
            </w:r>
          </w:p>
        </w:tc>
        <w:tc>
          <w:tcPr>
            <w:tcW w:w="1340" w:type="dxa"/>
            <w:vAlign w:val="bottom"/>
            <w:gridSpan w:val="3"/>
            <w:shd w:val="clear" w:color="auto" w:fill="CFF0FC"/>
          </w:tcPr>
          <w:p>
            <w:pPr>
              <w:jc w:val="center"/>
              <w:ind w:right="300"/>
              <w:spacing w:after="0"/>
              <w:rPr>
                <w:sz w:val="20"/>
                <w:szCs w:val="20"/>
                <w:color w:val="auto"/>
              </w:rPr>
            </w:pPr>
            <w:r>
              <w:rPr>
                <w:rFonts w:ascii="Times New Roman" w:cs="Times New Roman" w:eastAsia="Times New Roman" w:hAnsi="Times New Roman"/>
                <w:sz w:val="18"/>
                <w:szCs w:val="18"/>
                <w:color w:val="auto"/>
                <w:w w:val="99"/>
              </w:rPr>
              <w:t>December 4,</w:t>
            </w:r>
          </w:p>
        </w:tc>
        <w:tc>
          <w:tcPr>
            <w:tcW w:w="100" w:type="dxa"/>
            <w:vAlign w:val="bottom"/>
            <w:shd w:val="clear" w:color="auto" w:fill="CFF0FC"/>
          </w:tcPr>
          <w:p>
            <w:pPr>
              <w:spacing w:after="0"/>
              <w:rPr>
                <w:sz w:val="18"/>
                <w:szCs w:val="18"/>
                <w:color w:val="auto"/>
              </w:rPr>
            </w:pPr>
          </w:p>
        </w:tc>
        <w:tc>
          <w:tcPr>
            <w:tcW w:w="1260" w:type="dxa"/>
            <w:vAlign w:val="bottom"/>
            <w:gridSpan w:val="2"/>
            <w:shd w:val="clear" w:color="auto" w:fill="CFF0FC"/>
          </w:tcPr>
          <w:p>
            <w:pPr>
              <w:jc w:val="right"/>
              <w:ind w:right="380"/>
              <w:spacing w:after="0"/>
              <w:rPr>
                <w:sz w:val="20"/>
                <w:szCs w:val="20"/>
                <w:color w:val="auto"/>
              </w:rPr>
            </w:pPr>
            <w:r>
              <w:rPr>
                <w:rFonts w:ascii="Times New Roman" w:cs="Times New Roman" w:eastAsia="Times New Roman" w:hAnsi="Times New Roman"/>
                <w:sz w:val="18"/>
                <w:szCs w:val="18"/>
                <w:color w:val="auto"/>
              </w:rPr>
              <w:t>March 22,</w:t>
            </w:r>
          </w:p>
        </w:tc>
        <w:tc>
          <w:tcPr>
            <w:tcW w:w="100" w:type="dxa"/>
            <w:vAlign w:val="bottom"/>
            <w:shd w:val="clear" w:color="auto" w:fill="CFF0FC"/>
          </w:tcPr>
          <w:p>
            <w:pPr>
              <w:spacing w:after="0"/>
              <w:rPr>
                <w:sz w:val="18"/>
                <w:szCs w:val="18"/>
                <w:color w:val="auto"/>
              </w:rPr>
            </w:pPr>
          </w:p>
        </w:tc>
        <w:tc>
          <w:tcPr>
            <w:tcW w:w="1240" w:type="dxa"/>
            <w:vAlign w:val="bottom"/>
            <w:gridSpan w:val="2"/>
            <w:shd w:val="clear" w:color="auto" w:fill="CFF0FC"/>
          </w:tcPr>
          <w:p>
            <w:pPr>
              <w:jc w:val="right"/>
              <w:ind w:right="360"/>
              <w:spacing w:after="0"/>
              <w:rPr>
                <w:sz w:val="20"/>
                <w:szCs w:val="20"/>
                <w:color w:val="auto"/>
              </w:rPr>
            </w:pPr>
            <w:r>
              <w:rPr>
                <w:rFonts w:ascii="Times New Roman" w:cs="Times New Roman" w:eastAsia="Times New Roman" w:hAnsi="Times New Roman"/>
                <w:sz w:val="18"/>
                <w:szCs w:val="18"/>
                <w:color w:val="auto"/>
              </w:rPr>
              <w:t>March 22,</w:t>
            </w:r>
          </w:p>
        </w:tc>
        <w:tc>
          <w:tcPr>
            <w:tcW w:w="120" w:type="dxa"/>
            <w:vAlign w:val="bottom"/>
            <w:shd w:val="clear" w:color="auto" w:fill="CFF0FC"/>
          </w:tcPr>
          <w:p>
            <w:pPr>
              <w:spacing w:after="0"/>
              <w:rPr>
                <w:sz w:val="18"/>
                <w:szCs w:val="18"/>
                <w:color w:val="auto"/>
              </w:rPr>
            </w:pPr>
          </w:p>
        </w:tc>
        <w:tc>
          <w:tcPr>
            <w:tcW w:w="96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r>
      <w:tr>
        <w:trPr>
          <w:trHeight w:val="234"/>
        </w:trPr>
        <w:tc>
          <w:tcPr>
            <w:tcW w:w="1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following date (10)</w:t>
            </w:r>
          </w:p>
        </w:tc>
        <w:tc>
          <w:tcPr>
            <w:tcW w:w="120" w:type="dxa"/>
            <w:vAlign w:val="bottom"/>
            <w:shd w:val="clear" w:color="auto" w:fill="CFF0FC"/>
          </w:tcPr>
          <w:p>
            <w:pPr>
              <w:spacing w:after="0"/>
              <w:rPr>
                <w:sz w:val="20"/>
                <w:szCs w:val="20"/>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2023</w:t>
            </w:r>
          </w:p>
        </w:tc>
        <w:tc>
          <w:tcPr>
            <w:tcW w:w="30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2024</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2027</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2026</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2027</w:t>
            </w:r>
          </w:p>
        </w:tc>
        <w:tc>
          <w:tcPr>
            <w:tcW w:w="30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2028</w:t>
            </w:r>
          </w:p>
        </w:tc>
        <w:tc>
          <w:tcPr>
            <w:tcW w:w="300" w:type="dxa"/>
            <w:vAlign w:val="bottom"/>
            <w:shd w:val="clear" w:color="auto" w:fill="CFF0FC"/>
          </w:tcPr>
          <w:p>
            <w:pPr>
              <w:spacing w:after="0"/>
              <w:rPr>
                <w:sz w:val="20"/>
                <w:szCs w:val="20"/>
                <w:color w:val="auto"/>
              </w:rPr>
            </w:pPr>
          </w:p>
        </w:tc>
        <w:tc>
          <w:tcPr>
            <w:tcW w:w="1260" w:type="dxa"/>
            <w:vAlign w:val="bottom"/>
            <w:gridSpan w:val="3"/>
            <w:shd w:val="clear" w:color="auto" w:fill="CFF0FC"/>
          </w:tcPr>
          <w:p>
            <w:pPr>
              <w:jc w:val="right"/>
              <w:ind w:right="220"/>
              <w:spacing w:after="0"/>
              <w:rPr>
                <w:sz w:val="20"/>
                <w:szCs w:val="20"/>
                <w:color w:val="auto"/>
              </w:rPr>
            </w:pPr>
            <w:r>
              <w:rPr>
                <w:rFonts w:ascii="Times New Roman" w:cs="Times New Roman" w:eastAsia="Times New Roman" w:hAnsi="Times New Roman"/>
                <w:sz w:val="18"/>
                <w:szCs w:val="18"/>
                <w:color w:val="auto"/>
              </w:rPr>
              <w:t>June 20, 2029</w:t>
            </w:r>
          </w:p>
        </w:tc>
      </w:tr>
      <w:tr>
        <w:trPr>
          <w:trHeight w:val="198"/>
        </w:trPr>
        <w:tc>
          <w:tcPr>
            <w:tcW w:w="188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340" w:type="dxa"/>
            <w:vAlign w:val="bottom"/>
            <w:gridSpan w:val="3"/>
          </w:tcPr>
          <w:p>
            <w:pPr>
              <w:jc w:val="right"/>
              <w:ind w:right="360"/>
              <w:spacing w:after="0" w:line="198" w:lineRule="exact"/>
              <w:rPr>
                <w:sz w:val="20"/>
                <w:szCs w:val="20"/>
                <w:color w:val="auto"/>
              </w:rPr>
            </w:pPr>
            <w:r>
              <w:rPr>
                <w:rFonts w:ascii="Times New Roman" w:cs="Times New Roman" w:eastAsia="Times New Roman" w:hAnsi="Times New Roman"/>
                <w:sz w:val="18"/>
                <w:szCs w:val="18"/>
                <w:color w:val="auto"/>
              </w:rPr>
              <w:t>February 24,</w:t>
            </w:r>
          </w:p>
        </w:tc>
        <w:tc>
          <w:tcPr>
            <w:tcW w:w="10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180" w:type="dxa"/>
            <w:vAlign w:val="bottom"/>
          </w:tcPr>
          <w:p>
            <w:pPr>
              <w:spacing w:after="0"/>
              <w:rPr>
                <w:sz w:val="17"/>
                <w:szCs w:val="17"/>
                <w:color w:val="auto"/>
              </w:rPr>
            </w:pPr>
          </w:p>
        </w:tc>
      </w:tr>
      <w:tr>
        <w:trPr>
          <w:trHeight w:val="234"/>
        </w:trPr>
        <w:tc>
          <w:tcPr>
            <w:tcW w:w="18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Redemption Date (11)</w:t>
            </w:r>
          </w:p>
        </w:tc>
        <w:tc>
          <w:tcPr>
            <w:tcW w:w="1360" w:type="dxa"/>
            <w:vAlign w:val="bottom"/>
            <w:gridSpan w:val="3"/>
          </w:tcPr>
          <w:p>
            <w:pPr>
              <w:jc w:val="right"/>
              <w:ind w:right="320"/>
              <w:spacing w:after="0"/>
              <w:rPr>
                <w:sz w:val="20"/>
                <w:szCs w:val="20"/>
                <w:color w:val="auto"/>
              </w:rPr>
            </w:pPr>
            <w:r>
              <w:rPr>
                <w:rFonts w:ascii="Times New Roman" w:cs="Times New Roman" w:eastAsia="Times New Roman" w:hAnsi="Times New Roman"/>
                <w:sz w:val="18"/>
                <w:szCs w:val="18"/>
                <w:color w:val="auto"/>
              </w:rPr>
              <w:t>July 15, 2024</w:t>
            </w:r>
          </w:p>
        </w:tc>
        <w:tc>
          <w:tcPr>
            <w:tcW w:w="12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2025</w:t>
            </w:r>
          </w:p>
        </w:tc>
        <w:tc>
          <w:tcPr>
            <w:tcW w:w="30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60" w:type="dxa"/>
            <w:vAlign w:val="bottom"/>
            <w:gridSpan w:val="2"/>
          </w:tcPr>
          <w:p>
            <w:pPr>
              <w:jc w:val="right"/>
              <w:ind w:right="320"/>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tcPr>
          <w:p>
            <w:pPr>
              <w:spacing w:after="0"/>
              <w:rPr>
                <w:sz w:val="20"/>
                <w:szCs w:val="20"/>
                <w:color w:val="auto"/>
              </w:rPr>
            </w:pPr>
          </w:p>
        </w:tc>
        <w:tc>
          <w:tcPr>
            <w:tcW w:w="1240" w:type="dxa"/>
            <w:vAlign w:val="bottom"/>
            <w:gridSpan w:val="2"/>
          </w:tcPr>
          <w:p>
            <w:pPr>
              <w:jc w:val="right"/>
              <w:ind w:right="320"/>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tcPr>
          <w:p>
            <w:pPr>
              <w:spacing w:after="0"/>
              <w:rPr>
                <w:sz w:val="20"/>
                <w:szCs w:val="20"/>
                <w:color w:val="auto"/>
              </w:rPr>
            </w:pPr>
          </w:p>
        </w:tc>
        <w:tc>
          <w:tcPr>
            <w:tcW w:w="1260" w:type="dxa"/>
            <w:vAlign w:val="bottom"/>
            <w:gridSpan w:val="2"/>
          </w:tcPr>
          <w:p>
            <w:pPr>
              <w:jc w:val="right"/>
              <w:ind w:right="320"/>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tcPr>
          <w:p>
            <w:pPr>
              <w:spacing w:after="0"/>
              <w:rPr>
                <w:sz w:val="20"/>
                <w:szCs w:val="20"/>
                <w:color w:val="auto"/>
              </w:rPr>
            </w:pPr>
          </w:p>
        </w:tc>
        <w:tc>
          <w:tcPr>
            <w:tcW w:w="1240" w:type="dxa"/>
            <w:vAlign w:val="bottom"/>
            <w:gridSpan w:val="2"/>
          </w:tcPr>
          <w:p>
            <w:pPr>
              <w:jc w:val="right"/>
              <w:ind w:right="320"/>
              <w:spacing w:after="0"/>
              <w:rPr>
                <w:sz w:val="20"/>
                <w:szCs w:val="20"/>
                <w:color w:val="auto"/>
              </w:rPr>
            </w:pPr>
            <w:r>
              <w:rPr>
                <w:rFonts w:ascii="Times New Roman" w:cs="Times New Roman" w:eastAsia="Times New Roman" w:hAnsi="Times New Roman"/>
                <w:sz w:val="18"/>
                <w:szCs w:val="18"/>
                <w:color w:val="auto"/>
              </w:rPr>
              <w:t>n/a</w:t>
            </w:r>
          </w:p>
        </w:tc>
        <w:tc>
          <w:tcPr>
            <w:tcW w:w="120" w:type="dxa"/>
            <w:vAlign w:val="bottom"/>
          </w:tcPr>
          <w:p>
            <w:pPr>
              <w:spacing w:after="0"/>
              <w:rPr>
                <w:sz w:val="20"/>
                <w:szCs w:val="20"/>
                <w:color w:val="auto"/>
              </w:rPr>
            </w:pPr>
          </w:p>
        </w:tc>
        <w:tc>
          <w:tcPr>
            <w:tcW w:w="1140" w:type="dxa"/>
            <w:vAlign w:val="bottom"/>
            <w:gridSpan w:val="2"/>
          </w:tcPr>
          <w:p>
            <w:pPr>
              <w:jc w:val="right"/>
              <w:ind w:right="220"/>
              <w:spacing w:after="0"/>
              <w:rPr>
                <w:sz w:val="20"/>
                <w:szCs w:val="20"/>
                <w:color w:val="auto"/>
              </w:rPr>
            </w:pPr>
            <w:r>
              <w:rPr>
                <w:rFonts w:ascii="Times New Roman" w:cs="Times New Roman" w:eastAsia="Times New Roman" w:hAnsi="Times New Roman"/>
                <w:sz w:val="18"/>
                <w:szCs w:val="18"/>
                <w:color w:val="auto"/>
              </w:rPr>
              <w:t>n/a</w:t>
            </w:r>
          </w:p>
        </w:tc>
      </w:tr>
    </w:tbl>
    <w:p>
      <w:pPr>
        <w:spacing w:after="0" w:line="200" w:lineRule="exact"/>
        <w:rPr>
          <w:sz w:val="20"/>
          <w:szCs w:val="20"/>
          <w:color w:val="auto"/>
        </w:rPr>
      </w:pPr>
    </w:p>
    <w:p>
      <w:pPr>
        <w:spacing w:after="0" w:line="218" w:lineRule="exact"/>
        <w:rPr>
          <w:sz w:val="20"/>
          <w:szCs w:val="20"/>
          <w:color w:val="auto"/>
        </w:rPr>
      </w:pPr>
    </w:p>
    <w:p>
      <w:pPr>
        <w:ind w:left="1020" w:right="400" w:hanging="503"/>
        <w:spacing w:after="0" w:line="298" w:lineRule="auto"/>
        <w:tabs>
          <w:tab w:leader="none" w:pos="1020" w:val="left"/>
        </w:tabs>
        <w:numPr>
          <w:ilvl w:val="0"/>
          <w:numId w:val="45"/>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“Maturity Date” is the stated maturity date under each applicable indenture governing such notes, unless earlier converted, redeemed, or repurchased in accordance with their terms.</w:t>
      </w:r>
    </w:p>
    <w:p>
      <w:pPr>
        <w:spacing w:after="0" w:line="56" w:lineRule="exact"/>
        <w:rPr>
          <w:rFonts w:ascii="Times New Roman" w:cs="Times New Roman" w:eastAsia="Times New Roman" w:hAnsi="Times New Roman"/>
          <w:sz w:val="16"/>
          <w:szCs w:val="16"/>
          <w:color w:val="auto"/>
        </w:rPr>
      </w:pPr>
    </w:p>
    <w:p>
      <w:pPr>
        <w:ind w:left="1020" w:right="20" w:hanging="503"/>
        <w:spacing w:after="0" w:line="269" w:lineRule="auto"/>
        <w:tabs>
          <w:tab w:leader="none" w:pos="1020" w:val="left"/>
        </w:tabs>
        <w:numPr>
          <w:ilvl w:val="0"/>
          <w:numId w:val="45"/>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Holders may receive additional or special interest under specified circumstances as outlined under each applicable indenture governing the Convertible Notes.</w:t>
      </w:r>
    </w:p>
    <w:p>
      <w:pPr>
        <w:spacing w:after="0" w:line="306" w:lineRule="exact"/>
        <w:rPr>
          <w:rFonts w:ascii="Times New Roman" w:cs="Times New Roman" w:eastAsia="Times New Roman" w:hAnsi="Times New Roman"/>
          <w:sz w:val="16"/>
          <w:szCs w:val="16"/>
          <w:color w:val="auto"/>
        </w:rPr>
      </w:pPr>
    </w:p>
    <w:p>
      <w:pPr>
        <w:jc w:val="both"/>
        <w:ind w:left="1020" w:hanging="503"/>
        <w:spacing w:after="0" w:line="281" w:lineRule="auto"/>
        <w:tabs>
          <w:tab w:leader="none" w:pos="1020" w:val="left"/>
        </w:tabs>
        <w:numPr>
          <w:ilvl w:val="0"/>
          <w:numId w:val="45"/>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For the Convertible Notes issued in 2024, interest payments begin on (a) September 15, 2024 for each of the 2030 Convertible Notes and the 2031 Convertible Notes, (b) December 15, 2024 for the 2032 Convertible Notes, (c) March 15, 2025 for the 2028 Convertible Notes, and (d) June 1, 2025 (special interest only, if any) for the 2029 Convertible Notes.</w:t>
      </w:r>
    </w:p>
    <w:p>
      <w:pPr>
        <w:spacing w:after="0" w:line="69" w:lineRule="exact"/>
        <w:rPr>
          <w:rFonts w:ascii="Times New Roman" w:cs="Times New Roman" w:eastAsia="Times New Roman" w:hAnsi="Times New Roman"/>
          <w:sz w:val="16"/>
          <w:szCs w:val="16"/>
          <w:color w:val="auto"/>
        </w:rPr>
      </w:pPr>
    </w:p>
    <w:p>
      <w:pPr>
        <w:jc w:val="both"/>
        <w:ind w:left="1020" w:hanging="503"/>
        <w:spacing w:after="0" w:line="281" w:lineRule="auto"/>
        <w:tabs>
          <w:tab w:leader="none" w:pos="1020" w:val="left"/>
        </w:tabs>
        <w:numPr>
          <w:ilvl w:val="0"/>
          <w:numId w:val="45"/>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“Issuance Costs” reflect the customary offering expenses associated with each of the Convertible Notes. The Company accounts for these issuance costs as a reduction to the principal amount of the respective Convertible Notes and amortizes the issuance costs to interest expense from the respective debt issuance dates through the earlier of the “Maturity Date” or the “Date of Holder Put Option,” if applicable, at the “Effective Interest Rates” stated in the table.</w:t>
      </w:r>
    </w:p>
    <w:p>
      <w:pPr>
        <w:spacing w:after="0" w:line="69" w:lineRule="exact"/>
        <w:rPr>
          <w:rFonts w:ascii="Times New Roman" w:cs="Times New Roman" w:eastAsia="Times New Roman" w:hAnsi="Times New Roman"/>
          <w:sz w:val="16"/>
          <w:szCs w:val="16"/>
          <w:color w:val="auto"/>
        </w:rPr>
      </w:pPr>
    </w:p>
    <w:p>
      <w:pPr>
        <w:ind w:left="1020" w:right="20" w:hanging="503"/>
        <w:spacing w:after="0" w:line="298" w:lineRule="auto"/>
        <w:tabs>
          <w:tab w:leader="none" w:pos="1020" w:val="left"/>
        </w:tabs>
        <w:numPr>
          <w:ilvl w:val="0"/>
          <w:numId w:val="45"/>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“Date of Holder Put Option” represents the respective dates upon which holders of the 2028 Convertible Notes, 2029 Convertible Notes, 2030 Convertible Notes, 2031 Convertible Notes, and 2032 Convertible Notes each have a noncontingent right to require the Company</w:t>
      </w:r>
    </w:p>
    <w:p>
      <w:pPr>
        <w:spacing w:after="0" w:line="16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3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28" w:right="339" w:bottom="1440" w:gutter="0" w:footer="0" w:header="0"/>
        </w:sectPr>
      </w:pPr>
    </w:p>
    <w:bookmarkStart w:id="92" w:name="page93"/>
    <w:bookmarkEnd w:id="92"/>
    <w:p>
      <w:pPr>
        <w:ind w:left="1020"/>
        <w:spacing w:after="0" w:line="298" w:lineRule="auto"/>
        <w:rPr>
          <w:sz w:val="20"/>
          <w:szCs w:val="20"/>
          <w:color w:val="auto"/>
        </w:rPr>
      </w:pPr>
      <w:r>
        <w:rPr>
          <w:rFonts w:ascii="Times New Roman" w:cs="Times New Roman" w:eastAsia="Times New Roman" w:hAnsi="Times New Roman"/>
          <w:sz w:val="16"/>
          <w:szCs w:val="16"/>
          <w:color w:val="auto"/>
        </w:rPr>
        <w:t>to repurchase for cash all or any portion of their respective notes at a repurchase price equal to 100% of the principal amount of such notes to be repurchased, plus any accrued and unpaid interest to, but excluding the repurchase date.</w:t>
      </w:r>
    </w:p>
    <w:p>
      <w:pPr>
        <w:spacing w:after="0" w:line="56" w:lineRule="exact"/>
        <w:rPr>
          <w:sz w:val="20"/>
          <w:szCs w:val="20"/>
          <w:color w:val="auto"/>
        </w:rPr>
      </w:pPr>
    </w:p>
    <w:p>
      <w:pPr>
        <w:jc w:val="both"/>
        <w:ind w:left="1020" w:hanging="503"/>
        <w:spacing w:after="0" w:line="272" w:lineRule="auto"/>
        <w:tabs>
          <w:tab w:leader="none" w:pos="1020" w:val="left"/>
        </w:tabs>
        <w:numPr>
          <w:ilvl w:val="0"/>
          <w:numId w:val="4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“Initial Conversion Rate” is stated in shares of the Company’s class A common stock per $1,000 principal amount. The conversion rates are subject to customary anti-dilution adjustments. In addition, following certain events that may occur prior to the respective maturity dates or if the Company delivers a notice of redemption, the Company will increase the conversion rate for a holder who elects to convert its respective Convertible Notes in connection with such corporate event or notice of redemption, as the case may be, in certain circumstances as provided in each indenture governing the respective Convertible Notes.</w:t>
      </w:r>
    </w:p>
    <w:p>
      <w:pPr>
        <w:spacing w:after="0" w:line="77" w:lineRule="exact"/>
        <w:rPr>
          <w:rFonts w:ascii="Times New Roman" w:cs="Times New Roman" w:eastAsia="Times New Roman" w:hAnsi="Times New Roman"/>
          <w:sz w:val="16"/>
          <w:szCs w:val="16"/>
          <w:color w:val="auto"/>
        </w:rPr>
      </w:pPr>
    </w:p>
    <w:p>
      <w:pPr>
        <w:ind w:left="1020" w:hanging="503"/>
        <w:spacing w:after="0"/>
        <w:tabs>
          <w:tab w:leader="none" w:pos="1020" w:val="left"/>
        </w:tabs>
        <w:numPr>
          <w:ilvl w:val="0"/>
          <w:numId w:val="4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“Initial Conversion Price” is stated in dollars per share of the Company’s class A common stock.</w:t>
      </w:r>
    </w:p>
    <w:p>
      <w:pPr>
        <w:spacing w:after="0" w:line="126" w:lineRule="exact"/>
        <w:rPr>
          <w:rFonts w:ascii="Times New Roman" w:cs="Times New Roman" w:eastAsia="Times New Roman" w:hAnsi="Times New Roman"/>
          <w:sz w:val="16"/>
          <w:szCs w:val="16"/>
          <w:color w:val="auto"/>
        </w:rPr>
      </w:pPr>
    </w:p>
    <w:p>
      <w:pPr>
        <w:jc w:val="both"/>
        <w:ind w:left="1020" w:hanging="503"/>
        <w:spacing w:after="0" w:line="269" w:lineRule="auto"/>
        <w:tabs>
          <w:tab w:leader="none" w:pos="1020" w:val="left"/>
        </w:tabs>
        <w:numPr>
          <w:ilvl w:val="0"/>
          <w:numId w:val="4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On or after the stated dates until the close of business on the second scheduled trading day immediately preceding the respective maturity dates, holders may convert the Convertible Notes at any time. Upon conversion of the Convertible Notes, the Company will pay or deliver, as the case may be, cash, shares of the Company’s class A common stock, or a combination of cash and shares of class A common stock, at the Company’s election. For the 2025 Convertible Notes, the date presented is the date on which the Company delivered its notice of full redemption of the 2025 Convertible Notes, which resulted in the 2025 Convertible Notes being convertible at any time thereafter until 5:00 p.m., New York City time, on July 11, 2024. See below under “Conversions and Redemption of 2025 Convertible Notes” for further information. For the 2027 Convertible Notes, the date presented is the date on which the Company delivered its notice of full redemption of the 2027 Convertible Notes, which resulted in the 2027 Convertible Notes being convertible at any time thereafter until 5:00pm New York City time, on February 20, 2025. See Note 18, Subsequent Events, to the Consolidated Financial Statements for further information.</w:t>
      </w:r>
    </w:p>
    <w:p>
      <w:pPr>
        <w:spacing w:after="0" w:line="78" w:lineRule="exact"/>
        <w:rPr>
          <w:rFonts w:ascii="Times New Roman" w:cs="Times New Roman" w:eastAsia="Times New Roman" w:hAnsi="Times New Roman"/>
          <w:sz w:val="16"/>
          <w:szCs w:val="16"/>
          <w:color w:val="auto"/>
        </w:rPr>
      </w:pPr>
    </w:p>
    <w:p>
      <w:pPr>
        <w:jc w:val="both"/>
        <w:ind w:left="1020" w:hanging="503"/>
        <w:spacing w:after="0" w:line="267" w:lineRule="auto"/>
        <w:tabs>
          <w:tab w:leader="none" w:pos="1020" w:val="left"/>
        </w:tabs>
        <w:numPr>
          <w:ilvl w:val="0"/>
          <w:numId w:val="4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Prior to the respective dates, the Convertible Notes are convertible only under the following circumstances: (a) during any calendar quarter commencing after the calendar quarter ending on March 31, 2021 for the 2025 Convertible Notes (of which all then outstanding notes were redeemed on July 15, 2024), on June 30, 2021 for the 2027 Convertible Notes, on June 30, 2024 for the 2030 Convertible Notes and 2031 Convertible Notes, on September 30, 2024 for the 2032 Convertible Notes, on December 31, 2024 for the 2028 Convertible Notes, or on March 31, 2025 for the 2029 Convertible Notes (and only during such calendar quarter), if the last reported sale price of the Company’s class A common stock for at least 20 trading days (whether or not consecutive) during the period of 30 consecutive trading days ending on, and including, the last trading day of the immediately preceding calendar quarter is greater than or equal to 130% of the conversion price of the respective Convertible Notes on each applicable trading day; (b) during the five business day period after any five consecutive trading day period (the “measurement period”) in which the “trading price” (as defined under each applicable indenture governing the respective Convertible Notes) per $1,000 principal amount of the respective Convertible Notes for each trading day of the measurement period was less than 98% of the product of the last reported sale price of the Company’s class A common stock and the applicable conversion rate on each such trading day; (c) if the Company calls any or all of the respective Convertible Notes for redemption, at any time prior to the close of business on the second scheduled trading day immediately preceding the redemption date; and (d) upon occurrence of specified corporate events as described in each applicable indenture governing the respective Convertible Notes.</w:t>
      </w:r>
    </w:p>
    <w:p>
      <w:pPr>
        <w:spacing w:after="0" w:line="79" w:lineRule="exact"/>
        <w:rPr>
          <w:rFonts w:ascii="Times New Roman" w:cs="Times New Roman" w:eastAsia="Times New Roman" w:hAnsi="Times New Roman"/>
          <w:sz w:val="16"/>
          <w:szCs w:val="16"/>
          <w:color w:val="auto"/>
        </w:rPr>
      </w:pPr>
    </w:p>
    <w:p>
      <w:pPr>
        <w:jc w:val="both"/>
        <w:ind w:left="1020" w:hanging="503"/>
        <w:spacing w:after="0" w:line="269" w:lineRule="auto"/>
        <w:tabs>
          <w:tab w:leader="none" w:pos="1020" w:val="left"/>
        </w:tabs>
        <w:numPr>
          <w:ilvl w:val="0"/>
          <w:numId w:val="4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Company may redeem for cash all or a portion of the Convertible Notes at its option, on or after the stated dates, if the last reported sale price of the Company’s class A common stock has been at least 130% of the conversion price of the respective Convertible Notes then in effect for at least 20 trading days (whether or not consecutive), including the trading day immediately preceding the date on which the Company provides a notice of redemption, during any 30 consecutive trading day period ending on, and including, the trading day immediately preceding the date on which the Company provides notice of redemption. The redemption price will be equal to 100% of the principal amount of the Convertible Notes to be redeemed, plus accrued and unpaid interest to, but excluding, the redemption date. See below “Conversions and Redemption of 2025 Convertible Notes” subsection for information regarding the Company’s notice of redemption of the 2025 Convertible Notes.</w:t>
      </w:r>
    </w:p>
    <w:p>
      <w:pPr>
        <w:spacing w:after="0" w:line="81" w:lineRule="exact"/>
        <w:rPr>
          <w:rFonts w:ascii="Times New Roman" w:cs="Times New Roman" w:eastAsia="Times New Roman" w:hAnsi="Times New Roman"/>
          <w:sz w:val="16"/>
          <w:szCs w:val="16"/>
          <w:color w:val="auto"/>
        </w:rPr>
      </w:pPr>
    </w:p>
    <w:p>
      <w:pPr>
        <w:jc w:val="both"/>
        <w:ind w:left="1020" w:hanging="503"/>
        <w:spacing w:after="0" w:line="275" w:lineRule="auto"/>
        <w:tabs>
          <w:tab w:leader="none" w:pos="1020" w:val="left"/>
        </w:tabs>
        <w:numPr>
          <w:ilvl w:val="0"/>
          <w:numId w:val="4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“Redemption Date” for the 2025 Convertible Notes is the date on which the Company redeemed all outstanding 2025 Convertible Notes. See discussion further below under “Conversions and Redemption of 2025 Convertible Notes” pertaining to redemption of the 2025 Convertible Notes. “Redemption Date” for the 2027 Convertible Notes is the date on which the Company will redeem all outstanding 2027 Convertible Notes, as discussed under Note 18, Subsequent Events, to the Consolidated Financial Statements.</w:t>
      </w:r>
    </w:p>
    <w:p>
      <w:pPr>
        <w:spacing w:after="0" w:line="17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If the Company undergoes a “fundamental change,” as defined in the respective indentures governing the Convertible Notes prior to maturity, subject to certain conditions, holders may require the Company to repurchase for cash all or any portion of their respective Convertible Notes at a fundamental change repurchase price equal to 100% of the principal amount of the respective Convertible Notes to be repurchased, plus any accrued and unpaid interest to, but excluding, the fundamental change repurchase date.</w:t>
      </w:r>
    </w:p>
    <w:p>
      <w:pPr>
        <w:spacing w:after="0" w:line="180"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respective indentures governing the Convertible Notes contain customary terms and covenants, including that upon certain events of default occurring and continuing, either the Trustee or the holders of at least 25% in principal amount outstanding of the respective Convertible Notes may declare 100% of the principal of, and accrued and unpaid interest, if any, on, all the respective Convertible Notes to be due and payable.</w:t>
      </w:r>
    </w:p>
    <w:p>
      <w:pPr>
        <w:spacing w:after="0" w:line="176"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Although the Convertible Notes contain embedded conversion features, the Company accounts for the Convertible Notes in their entirety as a liability because the conversion features are indexed to the Company’s class A common stock and meet the criteria for classification in stockholders’ equity and therefore do not qualify for separate derivative accounting.</w:t>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Conversions and Redemption of 2025 Convertible Notes</w:t>
      </w:r>
    </w:p>
    <w:p>
      <w:pPr>
        <w:spacing w:after="0" w:line="2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3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5" w:right="339" w:bottom="1440" w:gutter="0" w:footer="0" w:header="0"/>
        </w:sectPr>
      </w:pPr>
    </w:p>
    <w:bookmarkStart w:id="93" w:name="page94"/>
    <w:bookmarkEnd w:id="93"/>
    <w:p>
      <w:pPr>
        <w:jc w:val="both"/>
        <w:spacing w:after="0" w:line="253" w:lineRule="auto"/>
        <w:rPr>
          <w:sz w:val="20"/>
          <w:szCs w:val="20"/>
          <w:color w:val="auto"/>
        </w:rPr>
      </w:pPr>
      <w:r>
        <w:rPr>
          <w:rFonts w:ascii="Times New Roman" w:cs="Times New Roman" w:eastAsia="Times New Roman" w:hAnsi="Times New Roman"/>
          <w:sz w:val="18"/>
          <w:szCs w:val="18"/>
          <w:color w:val="auto"/>
        </w:rPr>
        <w:t>On June 13, 2024, the Company announced that it delivered a notice of redemption (the “Redemption Notice”) to the trustee of the 2025 Convertible Notes for redemption of all $650.0 million in aggregate principal amount of the 2025 Convertible Notes then outstanding on July 15, 2024 (the “Redemption Date”). Due to the Company’s issuance of the Redemption Notice, the 2025 Convertible Notes became convertible at the option of the holders of such notes from the delivery of the Redemption Notice until 5:00 p.m., New York City time, on July 11, 2024. The Company elected to satisfy its conversion obligation with respect to the 2025 Convertible Notes by delivering solely shares of its class A common stock, together with cash in lieu of any fractional shares. Holders of the 2025 Convertible Notes requested to convert $649.7 million in principal amount of the 2025 Convertible Notes prior to the Redemption Date, for which the Company issued 16,323,050 shares of the Company’s class A common stock and paid a nominal amount of cash in lieu of fraction shares upon settlement of such conversion requests, in accordance with the terms and provisions of the indenture governing the 2025 Convertible Notes. On the Redemption Date, the Company redeemed $0.3 million aggregate principal amount of 2025 Convertible Notes, constituting all of the 2025 Convertible Notes then outstanding, at an aggregate redemption price of $0.3 million in cash, equal to 100% of the principal amount of the 2025 Convertible Notes redeemed, plus accrued and unpaid interest, to but excluding the Redemption Date.</w:t>
      </w:r>
    </w:p>
    <w:p>
      <w:pPr>
        <w:spacing w:after="0" w:line="1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Collective Convertible Notes Disclosures</w:t>
      </w:r>
    </w:p>
    <w:p>
      <w:pPr>
        <w:spacing w:after="0" w:line="11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of December 31, 2024, the maximum number of shares into which the Convertible Notes could have been potentially converted if the conversion features were triggered at the conversion rates then in effect based on the Convertible Notes then outstanding on such date was 7,330,050 shares, 5,513,489 shares, 4,461,600 shares, 5,341,600 shares, 2,594,314 shares, and 3,915,200 shares for the 2027 Convertible Notes, 2028 Convertible Notes, 2029 Convertible Notes, 2030 Convertible Notes, 2031 Convertible Notes, and 2032 Convertible Notes, respectively.</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Other than the 2025 Convertible Notes (which were convertible during the first quarter of 2022, the first and second quarters of 2024, and upon the Company’s issuance of the Redemption Notice in June 2024 as discussed above under the “Conversions and Redemption of 2025 Convertible Notes” subsection), the Convertible Notes were not convertible at the option of the holders during the years ended December 31, 2024, 2023, and 2022. The Convertible Notes may be convertible in future periods if one or more of the conversion conditions is satisfied during future measurement periods. As of December 31, 2024, the last reported sale price of the Company’s class A common stock for at least 20 trading days during the 30 consecutive trading days ending on, and including, December 31, 2024 was greater than or equal to 130% of the conversion price of each of the 2027 Convertible Notes, 2028 Convertible Notes, 2030 Convertible Notes, 2031 Convertible Notes, and 2032 Convertible Notes on each applicable trading day. Therefore, the 2027 Convertible Notes, 2028 Convertible Notes, 2030 Convertible Notes, 2031 Convertible Notes, and 2032 Convertible Notes are convertible at the option of the holders of the respective Convertible Notes during the first quarter of 2025. As a result of the notice of redemption delivered January 24, 2025 to holders of the 2027 Convertible Notes, the 2027 Convertible Notes are convertible at any time thereafter until 5:00pm New York City time, on February 20, 2025. See Note 18, Subsequent Events, to the Consolidated Financial Statements for further information.</w:t>
      </w:r>
    </w:p>
    <w:p>
      <w:pPr>
        <w:spacing w:after="0" w:line="19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No conversions of the Convertible Notes occurred during the years ended December 31, 2024, 2023, and 2022, except for the 2025 Convertible Notes as discussed above under the “Conversions and Redemption of 2025 Convertible Notes” subsection.</w:t>
      </w:r>
    </w:p>
    <w:p>
      <w:pPr>
        <w:spacing w:after="0" w:line="54"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Other than the Company’s redemption of the 2025 Convertible Notes, the Company had not redeemed any of the Convertible Notes as of December 31, 2024.</w:t>
      </w:r>
    </w:p>
    <w:p>
      <w:pPr>
        <w:spacing w:after="0" w:line="54"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As of December 31, 2024 and 2023, the net carrying value of the Convertible Notes was classified as a long-term liability in the “Long-term debt, net” line item in the Company’s Consolidated Balance Sheets.</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is a summary of the Company’s convertible debt instruments as of December 31, 2024 (in thousands):</w:t>
      </w:r>
    </w:p>
    <w:p>
      <w:pPr>
        <w:spacing w:after="0" w:line="273"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368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1240" w:type="dxa"/>
            <w:vAlign w:val="bottom"/>
            <w:tcBorders>
              <w:bottom w:val="single" w:sz="8" w:color="auto"/>
            </w:tcBorders>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1160" w:type="dxa"/>
            <w:vAlign w:val="bottom"/>
            <w:tcBorders>
              <w:bottom w:val="single" w:sz="8" w:color="auto"/>
            </w:tcBorders>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1520" w:type="dxa"/>
            <w:vAlign w:val="bottom"/>
            <w:tcBorders>
              <w:bottom w:val="single" w:sz="8" w:color="auto"/>
            </w:tcBorders>
            <w:gridSpan w:val="3"/>
          </w:tcPr>
          <w:p>
            <w:pPr>
              <w:ind w:left="100"/>
              <w:spacing w:after="0"/>
              <w:rPr>
                <w:sz w:val="20"/>
                <w:szCs w:val="20"/>
                <w:color w:val="auto"/>
              </w:rPr>
            </w:pPr>
            <w:r>
              <w:rPr>
                <w:rFonts w:ascii="Times New Roman" w:cs="Times New Roman" w:eastAsia="Times New Roman" w:hAnsi="Times New Roman"/>
                <w:sz w:val="14"/>
                <w:szCs w:val="14"/>
                <w:b w:val="1"/>
                <w:bCs w:val="1"/>
                <w:color w:val="auto"/>
              </w:rPr>
              <w:t>December 31, 2024</w:t>
            </w:r>
          </w:p>
        </w:tc>
        <w:tc>
          <w:tcPr>
            <w:tcW w:w="240" w:type="dxa"/>
            <w:vAlign w:val="bottom"/>
            <w:tcBorders>
              <w:bottom w:val="single" w:sz="8" w:color="auto"/>
            </w:tcBorders>
          </w:tcPr>
          <w:p>
            <w:pPr>
              <w:spacing w:after="0"/>
              <w:rPr>
                <w:sz w:val="15"/>
                <w:szCs w:val="15"/>
                <w:color w:val="auto"/>
              </w:rPr>
            </w:pPr>
          </w:p>
        </w:tc>
        <w:tc>
          <w:tcPr>
            <w:tcW w:w="1060" w:type="dxa"/>
            <w:vAlign w:val="bottom"/>
            <w:tcBorders>
              <w:bottom w:val="single" w:sz="8" w:color="auto"/>
            </w:tcBorders>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360" w:type="dxa"/>
            <w:vAlign w:val="bottom"/>
            <w:tcBorders>
              <w:bottom w:val="single" w:sz="8" w:color="auto"/>
            </w:tcBorders>
          </w:tcPr>
          <w:p>
            <w:pPr>
              <w:spacing w:after="0"/>
              <w:rPr>
                <w:sz w:val="15"/>
                <w:szCs w:val="15"/>
                <w:color w:val="auto"/>
              </w:rPr>
            </w:pPr>
          </w:p>
        </w:tc>
        <w:tc>
          <w:tcPr>
            <w:tcW w:w="1060" w:type="dxa"/>
            <w:vAlign w:val="bottom"/>
            <w:tcBorders>
              <w:bottom w:val="single" w:sz="8" w:color="auto"/>
            </w:tcBorders>
          </w:tcPr>
          <w:p>
            <w:pPr>
              <w:spacing w:after="0"/>
              <w:rPr>
                <w:sz w:val="15"/>
                <w:szCs w:val="15"/>
                <w:color w:val="auto"/>
              </w:rPr>
            </w:pPr>
          </w:p>
        </w:tc>
      </w:tr>
      <w:tr>
        <w:trPr>
          <w:trHeight w:val="142"/>
        </w:trPr>
        <w:tc>
          <w:tcPr>
            <w:tcW w:w="36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240" w:type="dxa"/>
            <w:vAlign w:val="bottom"/>
          </w:tcPr>
          <w:p>
            <w:pPr>
              <w:jc w:val="right"/>
              <w:ind w:right="214"/>
              <w:spacing w:after="0" w:line="142" w:lineRule="exact"/>
              <w:rPr>
                <w:sz w:val="20"/>
                <w:szCs w:val="20"/>
                <w:color w:val="auto"/>
              </w:rPr>
            </w:pPr>
            <w:r>
              <w:rPr>
                <w:rFonts w:ascii="Times New Roman" w:cs="Times New Roman" w:eastAsia="Times New Roman" w:hAnsi="Times New Roman"/>
                <w:sz w:val="14"/>
                <w:szCs w:val="14"/>
                <w:b w:val="1"/>
                <w:bCs w:val="1"/>
                <w:color w:val="auto"/>
              </w:rPr>
              <w:t>Outstanding</w:t>
            </w:r>
          </w:p>
        </w:tc>
        <w:tc>
          <w:tcPr>
            <w:tcW w:w="2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380" w:type="dxa"/>
            <w:vAlign w:val="bottom"/>
            <w:gridSpan w:val="2"/>
          </w:tcPr>
          <w:p>
            <w:pPr>
              <w:jc w:val="center"/>
              <w:ind w:right="380"/>
              <w:spacing w:after="0" w:line="142" w:lineRule="exact"/>
              <w:rPr>
                <w:sz w:val="20"/>
                <w:szCs w:val="20"/>
                <w:color w:val="auto"/>
              </w:rPr>
            </w:pPr>
            <w:r>
              <w:rPr>
                <w:rFonts w:ascii="Times New Roman" w:cs="Times New Roman" w:eastAsia="Times New Roman" w:hAnsi="Times New Roman"/>
                <w:sz w:val="14"/>
                <w:szCs w:val="14"/>
                <w:b w:val="1"/>
                <w:bCs w:val="1"/>
                <w:color w:val="auto"/>
              </w:rPr>
              <w:t>Unamortized</w:t>
            </w:r>
          </w:p>
        </w:tc>
        <w:tc>
          <w:tcPr>
            <w:tcW w:w="160" w:type="dxa"/>
            <w:vAlign w:val="bottom"/>
          </w:tcPr>
          <w:p>
            <w:pPr>
              <w:spacing w:after="0"/>
              <w:rPr>
                <w:sz w:val="12"/>
                <w:szCs w:val="12"/>
                <w:color w:val="auto"/>
              </w:rPr>
            </w:pPr>
          </w:p>
        </w:tc>
        <w:tc>
          <w:tcPr>
            <w:tcW w:w="1360" w:type="dxa"/>
            <w:vAlign w:val="bottom"/>
            <w:gridSpan w:val="2"/>
          </w:tcPr>
          <w:p>
            <w:pPr>
              <w:ind w:left="80"/>
              <w:spacing w:after="0" w:line="142" w:lineRule="exact"/>
              <w:rPr>
                <w:sz w:val="20"/>
                <w:szCs w:val="20"/>
                <w:color w:val="auto"/>
              </w:rPr>
            </w:pPr>
            <w:r>
              <w:rPr>
                <w:rFonts w:ascii="Times New Roman" w:cs="Times New Roman" w:eastAsia="Times New Roman" w:hAnsi="Times New Roman"/>
                <w:sz w:val="14"/>
                <w:szCs w:val="14"/>
                <w:b w:val="1"/>
                <w:bCs w:val="1"/>
                <w:color w:val="auto"/>
              </w:rPr>
              <w:t>Net Carrying</w:t>
            </w:r>
          </w:p>
        </w:tc>
        <w:tc>
          <w:tcPr>
            <w:tcW w:w="240" w:type="dxa"/>
            <w:vAlign w:val="bottom"/>
            <w:tcBorders>
              <w:bottom w:val="single" w:sz="8" w:color="auto"/>
            </w:tcBorders>
          </w:tcPr>
          <w:p>
            <w:pPr>
              <w:spacing w:after="0"/>
              <w:rPr>
                <w:sz w:val="12"/>
                <w:szCs w:val="12"/>
                <w:color w:val="auto"/>
              </w:rPr>
            </w:pPr>
          </w:p>
        </w:tc>
        <w:tc>
          <w:tcPr>
            <w:tcW w:w="1640" w:type="dxa"/>
            <w:vAlign w:val="bottom"/>
            <w:tcBorders>
              <w:bottom w:val="single" w:sz="8" w:color="auto"/>
            </w:tcBorders>
            <w:gridSpan w:val="3"/>
          </w:tcPr>
          <w:p>
            <w:pPr>
              <w:ind w:left="900"/>
              <w:spacing w:after="0" w:line="142" w:lineRule="exact"/>
              <w:rPr>
                <w:sz w:val="20"/>
                <w:szCs w:val="20"/>
                <w:color w:val="auto"/>
              </w:rPr>
            </w:pPr>
            <w:r>
              <w:rPr>
                <w:rFonts w:ascii="Times New Roman" w:cs="Times New Roman" w:eastAsia="Times New Roman" w:hAnsi="Times New Roman"/>
                <w:sz w:val="14"/>
                <w:szCs w:val="14"/>
                <w:b w:val="1"/>
                <w:bCs w:val="1"/>
                <w:color w:val="auto"/>
              </w:rPr>
              <w:t>Fair Value</w:t>
            </w:r>
          </w:p>
        </w:tc>
        <w:tc>
          <w:tcPr>
            <w:tcW w:w="1060" w:type="dxa"/>
            <w:vAlign w:val="bottom"/>
            <w:tcBorders>
              <w:bottom w:val="single" w:sz="8" w:color="auto"/>
            </w:tcBorders>
          </w:tcPr>
          <w:p>
            <w:pPr>
              <w:spacing w:after="0"/>
              <w:rPr>
                <w:sz w:val="12"/>
                <w:szCs w:val="12"/>
                <w:color w:val="auto"/>
              </w:rPr>
            </w:pPr>
          </w:p>
        </w:tc>
      </w:tr>
      <w:tr>
        <w:trPr>
          <w:trHeight w:val="142"/>
        </w:trPr>
        <w:tc>
          <w:tcPr>
            <w:tcW w:w="3680" w:type="dxa"/>
            <w:vAlign w:val="bottom"/>
          </w:tcPr>
          <w:p>
            <w:pPr>
              <w:spacing w:after="0"/>
              <w:rPr>
                <w:sz w:val="12"/>
                <w:szCs w:val="12"/>
                <w:color w:val="auto"/>
              </w:rPr>
            </w:pPr>
          </w:p>
        </w:tc>
        <w:tc>
          <w:tcPr>
            <w:tcW w:w="100" w:type="dxa"/>
            <w:vAlign w:val="bottom"/>
            <w:tcBorders>
              <w:bottom w:val="single" w:sz="8" w:color="auto"/>
            </w:tcBorders>
          </w:tcPr>
          <w:p>
            <w:pPr>
              <w:spacing w:after="0"/>
              <w:rPr>
                <w:sz w:val="12"/>
                <w:szCs w:val="12"/>
                <w:color w:val="auto"/>
              </w:rPr>
            </w:pPr>
          </w:p>
        </w:tc>
        <w:tc>
          <w:tcPr>
            <w:tcW w:w="1240" w:type="dxa"/>
            <w:vAlign w:val="bottom"/>
            <w:tcBorders>
              <w:bottom w:val="single" w:sz="8" w:color="auto"/>
            </w:tcBorders>
          </w:tcPr>
          <w:p>
            <w:pPr>
              <w:jc w:val="right"/>
              <w:ind w:right="34"/>
              <w:spacing w:after="0" w:line="142" w:lineRule="exact"/>
              <w:rPr>
                <w:sz w:val="20"/>
                <w:szCs w:val="20"/>
                <w:color w:val="auto"/>
              </w:rPr>
            </w:pPr>
            <w:r>
              <w:rPr>
                <w:rFonts w:ascii="Times New Roman" w:cs="Times New Roman" w:eastAsia="Times New Roman" w:hAnsi="Times New Roman"/>
                <w:sz w:val="14"/>
                <w:szCs w:val="14"/>
                <w:b w:val="1"/>
                <w:bCs w:val="1"/>
                <w:color w:val="auto"/>
              </w:rPr>
              <w:t>Principal Amount</w:t>
            </w:r>
          </w:p>
        </w:tc>
        <w:tc>
          <w:tcPr>
            <w:tcW w:w="22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160" w:type="dxa"/>
            <w:vAlign w:val="bottom"/>
            <w:tcBorders>
              <w:bottom w:val="single" w:sz="8" w:color="auto"/>
            </w:tcBorders>
          </w:tcPr>
          <w:p>
            <w:pPr>
              <w:jc w:val="center"/>
              <w:ind w:right="94"/>
              <w:spacing w:after="0" w:line="142" w:lineRule="exact"/>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140" w:type="dxa"/>
            <w:vAlign w:val="bottom"/>
            <w:tcBorders>
              <w:bottom w:val="single" w:sz="8" w:color="auto"/>
            </w:tcBorders>
          </w:tcPr>
          <w:p>
            <w:pPr>
              <w:jc w:val="right"/>
              <w:ind w:right="394"/>
              <w:spacing w:after="0" w:line="142" w:lineRule="exact"/>
              <w:rPr>
                <w:sz w:val="20"/>
                <w:szCs w:val="20"/>
                <w:color w:val="auto"/>
              </w:rPr>
            </w:pPr>
            <w:r>
              <w:rPr>
                <w:rFonts w:ascii="Times New Roman" w:cs="Times New Roman" w:eastAsia="Times New Roman" w:hAnsi="Times New Roman"/>
                <w:sz w:val="14"/>
                <w:szCs w:val="14"/>
                <w:b w:val="1"/>
                <w:bCs w:val="1"/>
                <w:color w:val="auto"/>
              </w:rPr>
              <w:t>Value</w:t>
            </w:r>
          </w:p>
        </w:tc>
        <w:tc>
          <w:tcPr>
            <w:tcW w:w="220" w:type="dxa"/>
            <w:vAlign w:val="bottom"/>
          </w:tcPr>
          <w:p>
            <w:pPr>
              <w:spacing w:after="0"/>
              <w:rPr>
                <w:sz w:val="12"/>
                <w:szCs w:val="12"/>
                <w:color w:val="auto"/>
              </w:rPr>
            </w:pPr>
          </w:p>
        </w:tc>
        <w:tc>
          <w:tcPr>
            <w:tcW w:w="240" w:type="dxa"/>
            <w:vAlign w:val="bottom"/>
            <w:tcBorders>
              <w:bottom w:val="single" w:sz="8" w:color="auto"/>
            </w:tcBorders>
          </w:tcPr>
          <w:p>
            <w:pPr>
              <w:spacing w:after="0"/>
              <w:rPr>
                <w:sz w:val="12"/>
                <w:szCs w:val="12"/>
                <w:color w:val="auto"/>
              </w:rPr>
            </w:pPr>
          </w:p>
        </w:tc>
        <w:tc>
          <w:tcPr>
            <w:tcW w:w="1060" w:type="dxa"/>
            <w:vAlign w:val="bottom"/>
            <w:tcBorders>
              <w:bottom w:val="single" w:sz="8" w:color="auto"/>
            </w:tcBorders>
          </w:tcPr>
          <w:p>
            <w:pPr>
              <w:jc w:val="right"/>
              <w:ind w:right="314"/>
              <w:spacing w:after="0" w:line="142" w:lineRule="exact"/>
              <w:rPr>
                <w:sz w:val="20"/>
                <w:szCs w:val="20"/>
                <w:color w:val="auto"/>
              </w:rPr>
            </w:pPr>
            <w:r>
              <w:rPr>
                <w:rFonts w:ascii="Times New Roman" w:cs="Times New Roman" w:eastAsia="Times New Roman" w:hAnsi="Times New Roman"/>
                <w:sz w:val="14"/>
                <w:szCs w:val="14"/>
                <w:b w:val="1"/>
                <w:bCs w:val="1"/>
                <w:color w:val="auto"/>
              </w:rPr>
              <w:t>Amount</w:t>
            </w:r>
          </w:p>
        </w:tc>
        <w:tc>
          <w:tcPr>
            <w:tcW w:w="220" w:type="dxa"/>
            <w:vAlign w:val="bottom"/>
          </w:tcPr>
          <w:p>
            <w:pPr>
              <w:spacing w:after="0"/>
              <w:rPr>
                <w:sz w:val="12"/>
                <w:szCs w:val="12"/>
                <w:color w:val="auto"/>
              </w:rPr>
            </w:pPr>
          </w:p>
        </w:tc>
        <w:tc>
          <w:tcPr>
            <w:tcW w:w="360" w:type="dxa"/>
            <w:vAlign w:val="bottom"/>
            <w:tcBorders>
              <w:bottom w:val="single" w:sz="8" w:color="auto"/>
            </w:tcBorders>
          </w:tcPr>
          <w:p>
            <w:pPr>
              <w:spacing w:after="0"/>
              <w:rPr>
                <w:sz w:val="12"/>
                <w:szCs w:val="12"/>
                <w:color w:val="auto"/>
              </w:rPr>
            </w:pPr>
          </w:p>
        </w:tc>
        <w:tc>
          <w:tcPr>
            <w:tcW w:w="1060" w:type="dxa"/>
            <w:vAlign w:val="bottom"/>
            <w:tcBorders>
              <w:bottom w:val="single" w:sz="8" w:color="auto"/>
            </w:tcBorders>
          </w:tcPr>
          <w:p>
            <w:pPr>
              <w:ind w:left="80"/>
              <w:spacing w:after="0" w:line="142" w:lineRule="exact"/>
              <w:rPr>
                <w:sz w:val="20"/>
                <w:szCs w:val="20"/>
                <w:color w:val="auto"/>
              </w:rPr>
            </w:pPr>
            <w:r>
              <w:rPr>
                <w:rFonts w:ascii="Times New Roman" w:cs="Times New Roman" w:eastAsia="Times New Roman" w:hAnsi="Times New Roman"/>
                <w:sz w:val="14"/>
                <w:szCs w:val="14"/>
                <w:b w:val="1"/>
                <w:bCs w:val="1"/>
                <w:color w:val="auto"/>
              </w:rPr>
              <w:t>Leveling</w:t>
            </w:r>
          </w:p>
        </w:tc>
      </w:tr>
      <w:tr>
        <w:trPr>
          <w:trHeight w:val="210"/>
        </w:trPr>
        <w:tc>
          <w:tcPr>
            <w:tcW w:w="36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2027 Convertible Notes</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1,050,000</w:t>
            </w:r>
          </w:p>
        </w:tc>
        <w:tc>
          <w:tcPr>
            <w:tcW w:w="3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3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(8,648 )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1,041,352</w:t>
            </w: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2,134,125</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106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Level 2</w:t>
            </w:r>
          </w:p>
        </w:tc>
      </w:tr>
      <w:tr>
        <w:trPr>
          <w:trHeight w:val="216"/>
        </w:trPr>
        <w:tc>
          <w:tcPr>
            <w:tcW w:w="36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2028 Convertible Notes</w:t>
            </w:r>
          </w:p>
        </w:tc>
        <w:tc>
          <w:tcPr>
            <w:tcW w:w="100" w:type="dxa"/>
            <w:vAlign w:val="bottom"/>
          </w:tcPr>
          <w:p>
            <w:pPr>
              <w:spacing w:after="0"/>
              <w:rPr>
                <w:sz w:val="18"/>
                <w:szCs w:val="18"/>
                <w:color w:val="auto"/>
              </w:rPr>
            </w:pPr>
          </w:p>
        </w:tc>
        <w:tc>
          <w:tcPr>
            <w:tcW w:w="1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1,010,000</w:t>
            </w: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3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(11,457 )</w:t>
            </w:r>
          </w:p>
        </w:tc>
        <w:tc>
          <w:tcPr>
            <w:tcW w:w="160" w:type="dxa"/>
            <w:vAlign w:val="bottom"/>
          </w:tcPr>
          <w:p>
            <w:pPr>
              <w:spacing w:after="0"/>
              <w:rPr>
                <w:sz w:val="18"/>
                <w:szCs w:val="18"/>
                <w:color w:val="auto"/>
              </w:rPr>
            </w:pP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998,543</w:t>
            </w:r>
          </w:p>
        </w:tc>
        <w:tc>
          <w:tcPr>
            <w:tcW w:w="2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1,927,828</w:t>
            </w: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10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Level 2</w:t>
            </w:r>
          </w:p>
        </w:tc>
      </w:tr>
      <w:tr>
        <w:trPr>
          <w:trHeight w:val="216"/>
        </w:trPr>
        <w:tc>
          <w:tcPr>
            <w:tcW w:w="36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2029 Convertible Notes</w:t>
            </w:r>
          </w:p>
        </w:tc>
        <w:tc>
          <w:tcPr>
            <w:tcW w:w="100" w:type="dxa"/>
            <w:vAlign w:val="bottom"/>
            <w:shd w:val="clear" w:color="auto" w:fill="CFF0FC"/>
          </w:tcPr>
          <w:p>
            <w:pPr>
              <w:spacing w:after="0"/>
              <w:rPr>
                <w:sz w:val="18"/>
                <w:szCs w:val="18"/>
                <w:color w:val="auto"/>
              </w:rPr>
            </w:pPr>
          </w:p>
        </w:tc>
        <w:tc>
          <w:tcPr>
            <w:tcW w:w="12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3,000,000</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3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(24,963 )</w:t>
            </w:r>
          </w:p>
        </w:tc>
        <w:tc>
          <w:tcPr>
            <w:tcW w:w="160" w:type="dxa"/>
            <w:vAlign w:val="bottom"/>
            <w:shd w:val="clear" w:color="auto" w:fill="CFF0FC"/>
          </w:tcPr>
          <w:p>
            <w:pPr>
              <w:spacing w:after="0"/>
              <w:rPr>
                <w:sz w:val="18"/>
                <w:szCs w:val="18"/>
                <w:color w:val="auto"/>
              </w:rPr>
            </w:pP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2,975,037</w:t>
            </w: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2,447,682</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106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Level 2</w:t>
            </w:r>
          </w:p>
        </w:tc>
      </w:tr>
      <w:tr>
        <w:trPr>
          <w:trHeight w:val="216"/>
        </w:trPr>
        <w:tc>
          <w:tcPr>
            <w:tcW w:w="36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2030 Convertible Notes</w:t>
            </w:r>
          </w:p>
        </w:tc>
        <w:tc>
          <w:tcPr>
            <w:tcW w:w="100" w:type="dxa"/>
            <w:vAlign w:val="bottom"/>
          </w:tcPr>
          <w:p>
            <w:pPr>
              <w:spacing w:after="0"/>
              <w:rPr>
                <w:sz w:val="18"/>
                <w:szCs w:val="18"/>
                <w:color w:val="auto"/>
              </w:rPr>
            </w:pPr>
          </w:p>
        </w:tc>
        <w:tc>
          <w:tcPr>
            <w:tcW w:w="1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3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(14,828 )</w:t>
            </w:r>
          </w:p>
        </w:tc>
        <w:tc>
          <w:tcPr>
            <w:tcW w:w="160" w:type="dxa"/>
            <w:vAlign w:val="bottom"/>
          </w:tcPr>
          <w:p>
            <w:pPr>
              <w:spacing w:after="0"/>
              <w:rPr>
                <w:sz w:val="18"/>
                <w:szCs w:val="18"/>
                <w:color w:val="auto"/>
              </w:rPr>
            </w:pP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785,172</w:t>
            </w:r>
          </w:p>
        </w:tc>
        <w:tc>
          <w:tcPr>
            <w:tcW w:w="2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1,657,323</w:t>
            </w: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10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Level 2</w:t>
            </w:r>
          </w:p>
        </w:tc>
      </w:tr>
      <w:tr>
        <w:trPr>
          <w:trHeight w:val="216"/>
        </w:trPr>
        <w:tc>
          <w:tcPr>
            <w:tcW w:w="36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2031 Convertible Notes</w:t>
            </w:r>
          </w:p>
        </w:tc>
        <w:tc>
          <w:tcPr>
            <w:tcW w:w="100" w:type="dxa"/>
            <w:vAlign w:val="bottom"/>
            <w:shd w:val="clear" w:color="auto" w:fill="CFF0FC"/>
          </w:tcPr>
          <w:p>
            <w:pPr>
              <w:spacing w:after="0"/>
              <w:rPr>
                <w:sz w:val="18"/>
                <w:szCs w:val="18"/>
                <w:color w:val="auto"/>
              </w:rPr>
            </w:pPr>
          </w:p>
        </w:tc>
        <w:tc>
          <w:tcPr>
            <w:tcW w:w="12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603,750</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3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(9,274 )</w:t>
            </w:r>
          </w:p>
        </w:tc>
        <w:tc>
          <w:tcPr>
            <w:tcW w:w="160" w:type="dxa"/>
            <w:vAlign w:val="bottom"/>
            <w:shd w:val="clear" w:color="auto" w:fill="CFF0FC"/>
          </w:tcPr>
          <w:p>
            <w:pPr>
              <w:spacing w:after="0"/>
              <w:rPr>
                <w:sz w:val="18"/>
                <w:szCs w:val="18"/>
                <w:color w:val="auto"/>
              </w:rPr>
            </w:pP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594,476</w:t>
            </w: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877,559</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106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Level 2</w:t>
            </w:r>
          </w:p>
        </w:tc>
      </w:tr>
      <w:tr>
        <w:trPr>
          <w:trHeight w:val="216"/>
        </w:trPr>
        <w:tc>
          <w:tcPr>
            <w:tcW w:w="36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2032 Convertible Notes</w:t>
            </w:r>
          </w:p>
        </w:tc>
        <w:tc>
          <w:tcPr>
            <w:tcW w:w="100" w:type="dxa"/>
            <w:vAlign w:val="bottom"/>
          </w:tcPr>
          <w:p>
            <w:pPr>
              <w:spacing w:after="0"/>
              <w:rPr>
                <w:sz w:val="18"/>
                <w:szCs w:val="18"/>
                <w:color w:val="auto"/>
              </w:rPr>
            </w:pPr>
          </w:p>
        </w:tc>
        <w:tc>
          <w:tcPr>
            <w:tcW w:w="1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3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(12,583 )</w:t>
            </w:r>
          </w:p>
        </w:tc>
        <w:tc>
          <w:tcPr>
            <w:tcW w:w="160" w:type="dxa"/>
            <w:vAlign w:val="bottom"/>
          </w:tcPr>
          <w:p>
            <w:pPr>
              <w:spacing w:after="0"/>
              <w:rPr>
                <w:sz w:val="18"/>
                <w:szCs w:val="18"/>
                <w:color w:val="auto"/>
              </w:rPr>
            </w:pP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787,417</w:t>
            </w:r>
          </w:p>
        </w:tc>
        <w:tc>
          <w:tcPr>
            <w:tcW w:w="2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1,324,602</w:t>
            </w: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10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Level 2</w:t>
            </w:r>
          </w:p>
        </w:tc>
      </w:tr>
      <w:tr>
        <w:trPr>
          <w:trHeight w:val="20"/>
        </w:trPr>
        <w:tc>
          <w:tcPr>
            <w:tcW w:w="368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124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16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14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40" w:type="dxa"/>
            <w:vAlign w:val="bottom"/>
            <w:shd w:val="clear" w:color="auto" w:fill="000000"/>
          </w:tcPr>
          <w:p>
            <w:pPr>
              <w:spacing w:after="0" w:line="20" w:lineRule="exact"/>
              <w:rPr>
                <w:sz w:val="1"/>
                <w:szCs w:val="1"/>
                <w:color w:val="auto"/>
              </w:rPr>
            </w:pPr>
          </w:p>
        </w:tc>
        <w:tc>
          <w:tcPr>
            <w:tcW w:w="106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360" w:type="dxa"/>
            <w:vAlign w:val="bottom"/>
          </w:tcPr>
          <w:p>
            <w:pPr>
              <w:spacing w:after="0" w:line="20" w:lineRule="exact"/>
              <w:rPr>
                <w:sz w:val="1"/>
                <w:szCs w:val="1"/>
                <w:color w:val="auto"/>
              </w:rPr>
            </w:pPr>
          </w:p>
        </w:tc>
        <w:tc>
          <w:tcPr>
            <w:tcW w:w="1060" w:type="dxa"/>
            <w:vAlign w:val="bottom"/>
          </w:tcPr>
          <w:p>
            <w:pPr>
              <w:spacing w:after="0" w:line="20" w:lineRule="exact"/>
              <w:rPr>
                <w:sz w:val="1"/>
                <w:szCs w:val="1"/>
                <w:color w:val="auto"/>
              </w:rPr>
            </w:pPr>
          </w:p>
        </w:tc>
      </w:tr>
      <w:tr>
        <w:trPr>
          <w:trHeight w:val="249"/>
        </w:trPr>
        <w:tc>
          <w:tcPr>
            <w:tcW w:w="36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7,263,750</w:t>
            </w:r>
          </w:p>
        </w:tc>
        <w:tc>
          <w:tcPr>
            <w:tcW w:w="220" w:type="dxa"/>
            <w:vAlign w:val="bottom"/>
            <w:shd w:val="clear" w:color="auto" w:fill="CFF0FC"/>
          </w:tcPr>
          <w:p>
            <w:pPr>
              <w:spacing w:after="0"/>
              <w:rPr>
                <w:sz w:val="21"/>
                <w:szCs w:val="21"/>
                <w:color w:val="auto"/>
              </w:rPr>
            </w:pP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(81,753 )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7,181,997</w:t>
            </w:r>
          </w:p>
        </w:tc>
        <w:tc>
          <w:tcPr>
            <w:tcW w:w="220" w:type="dxa"/>
            <w:vAlign w:val="bottom"/>
            <w:shd w:val="clear" w:color="auto" w:fill="CFF0FC"/>
          </w:tcPr>
          <w:p>
            <w:pPr>
              <w:spacing w:after="0"/>
              <w:rPr>
                <w:sz w:val="21"/>
                <w:szCs w:val="21"/>
                <w:color w:val="auto"/>
              </w:rPr>
            </w:pP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10,369,119</w:t>
            </w:r>
          </w:p>
        </w:tc>
        <w:tc>
          <w:tcPr>
            <w:tcW w:w="220" w:type="dxa"/>
            <w:vAlign w:val="bottom"/>
            <w:shd w:val="clear" w:color="auto" w:fill="CFF0FC"/>
          </w:tcPr>
          <w:p>
            <w:pPr>
              <w:spacing w:after="0"/>
              <w:rPr>
                <w:sz w:val="21"/>
                <w:szCs w:val="21"/>
                <w:color w:val="auto"/>
              </w:rPr>
            </w:pPr>
          </w:p>
        </w:tc>
        <w:tc>
          <w:tcPr>
            <w:tcW w:w="360" w:type="dxa"/>
            <w:vAlign w:val="bottom"/>
            <w:shd w:val="clear" w:color="auto" w:fill="CFF0FC"/>
          </w:tcPr>
          <w:p>
            <w:pPr>
              <w:spacing w:after="0"/>
              <w:rPr>
                <w:sz w:val="21"/>
                <w:szCs w:val="21"/>
                <w:color w:val="auto"/>
              </w:rPr>
            </w:pPr>
          </w:p>
        </w:tc>
        <w:tc>
          <w:tcPr>
            <w:tcW w:w="1060" w:type="dxa"/>
            <w:vAlign w:val="bottom"/>
            <w:shd w:val="clear" w:color="auto" w:fill="CFF0FC"/>
          </w:tcPr>
          <w:p>
            <w:pPr>
              <w:spacing w:after="0"/>
              <w:rPr>
                <w:sz w:val="21"/>
                <w:szCs w:val="21"/>
                <w:color w:val="auto"/>
              </w:rPr>
            </w:pPr>
          </w:p>
        </w:tc>
      </w:tr>
      <w:tr>
        <w:trPr>
          <w:trHeight w:val="629"/>
        </w:trPr>
        <w:tc>
          <w:tcPr>
            <w:tcW w:w="3680" w:type="dxa"/>
            <w:vAlign w:val="bottom"/>
            <w:tcBorders>
              <w:top w:val="single" w:sz="8" w:color="CFF0FC"/>
            </w:tcBorders>
          </w:tcPr>
          <w:p>
            <w:pPr>
              <w:spacing w:after="0"/>
              <w:rPr>
                <w:sz w:val="24"/>
                <w:szCs w:val="24"/>
                <w:color w:val="auto"/>
              </w:rPr>
            </w:pPr>
          </w:p>
        </w:tc>
        <w:tc>
          <w:tcPr>
            <w:tcW w:w="100" w:type="dxa"/>
            <w:vAlign w:val="bottom"/>
            <w:tcBorders>
              <w:top w:val="single" w:sz="8" w:color="auto"/>
            </w:tcBorders>
          </w:tcPr>
          <w:p>
            <w:pPr>
              <w:spacing w:after="0"/>
              <w:rPr>
                <w:sz w:val="24"/>
                <w:szCs w:val="24"/>
                <w:color w:val="auto"/>
              </w:rPr>
            </w:pPr>
          </w:p>
        </w:tc>
        <w:tc>
          <w:tcPr>
            <w:tcW w:w="1240" w:type="dxa"/>
            <w:vAlign w:val="bottom"/>
            <w:tcBorders>
              <w:top w:val="single" w:sz="8" w:color="auto"/>
            </w:tcBorders>
          </w:tcPr>
          <w:p>
            <w:pPr>
              <w:spacing w:after="0"/>
              <w:rPr>
                <w:sz w:val="24"/>
                <w:szCs w:val="24"/>
                <w:color w:val="auto"/>
              </w:rPr>
            </w:pPr>
          </w:p>
        </w:tc>
        <w:tc>
          <w:tcPr>
            <w:tcW w:w="220" w:type="dxa"/>
            <w:vAlign w:val="bottom"/>
            <w:tcBorders>
              <w:top w:val="single" w:sz="8" w:color="CFF0FC"/>
            </w:tcBorders>
          </w:tcPr>
          <w:p>
            <w:pPr>
              <w:spacing w:after="0"/>
              <w:rPr>
                <w:sz w:val="24"/>
                <w:szCs w:val="24"/>
                <w:color w:val="auto"/>
              </w:rPr>
            </w:pPr>
          </w:p>
        </w:tc>
        <w:tc>
          <w:tcPr>
            <w:tcW w:w="160" w:type="dxa"/>
            <w:vAlign w:val="bottom"/>
            <w:tcBorders>
              <w:top w:val="single" w:sz="8" w:color="auto"/>
            </w:tcBorders>
          </w:tcPr>
          <w:p>
            <w:pPr>
              <w:spacing w:after="0"/>
              <w:rPr>
                <w:sz w:val="24"/>
                <w:szCs w:val="24"/>
                <w:color w:val="auto"/>
              </w:rPr>
            </w:pPr>
          </w:p>
        </w:tc>
        <w:tc>
          <w:tcPr>
            <w:tcW w:w="1160" w:type="dxa"/>
            <w:vAlign w:val="bottom"/>
            <w:tcBorders>
              <w:top w:val="single" w:sz="8" w:color="auto"/>
            </w:tcBorders>
          </w:tcPr>
          <w:p>
            <w:pPr>
              <w:jc w:val="right"/>
              <w:ind w:right="754"/>
              <w:spacing w:after="0"/>
              <w:rPr>
                <w:sz w:val="20"/>
                <w:szCs w:val="20"/>
                <w:color w:val="auto"/>
              </w:rPr>
            </w:pPr>
            <w:r>
              <w:rPr>
                <w:rFonts w:ascii="Times New Roman" w:cs="Times New Roman" w:eastAsia="Times New Roman" w:hAnsi="Times New Roman"/>
                <w:sz w:val="18"/>
                <w:szCs w:val="18"/>
                <w:color w:val="auto"/>
              </w:rPr>
              <w:t>94</w:t>
            </w:r>
          </w:p>
        </w:tc>
        <w:tc>
          <w:tcPr>
            <w:tcW w:w="220" w:type="dxa"/>
            <w:vAlign w:val="bottom"/>
            <w:tcBorders>
              <w:top w:val="single" w:sz="8" w:color="CFF0FC"/>
            </w:tcBorders>
          </w:tcPr>
          <w:p>
            <w:pPr>
              <w:spacing w:after="0"/>
              <w:rPr>
                <w:sz w:val="24"/>
                <w:szCs w:val="24"/>
                <w:color w:val="auto"/>
              </w:rPr>
            </w:pPr>
          </w:p>
        </w:tc>
        <w:tc>
          <w:tcPr>
            <w:tcW w:w="160" w:type="dxa"/>
            <w:vAlign w:val="bottom"/>
            <w:tcBorders>
              <w:top w:val="single" w:sz="8" w:color="auto"/>
            </w:tcBorders>
          </w:tcPr>
          <w:p>
            <w:pPr>
              <w:spacing w:after="0"/>
              <w:rPr>
                <w:sz w:val="24"/>
                <w:szCs w:val="24"/>
                <w:color w:val="auto"/>
              </w:rPr>
            </w:pPr>
          </w:p>
        </w:tc>
        <w:tc>
          <w:tcPr>
            <w:tcW w:w="1140" w:type="dxa"/>
            <w:vAlign w:val="bottom"/>
            <w:tcBorders>
              <w:top w:val="single" w:sz="8" w:color="auto"/>
            </w:tcBorders>
          </w:tcPr>
          <w:p>
            <w:pPr>
              <w:spacing w:after="0"/>
              <w:rPr>
                <w:sz w:val="24"/>
                <w:szCs w:val="24"/>
                <w:color w:val="auto"/>
              </w:rPr>
            </w:pPr>
          </w:p>
        </w:tc>
        <w:tc>
          <w:tcPr>
            <w:tcW w:w="220" w:type="dxa"/>
            <w:vAlign w:val="bottom"/>
            <w:tcBorders>
              <w:top w:val="single" w:sz="8" w:color="CFF0FC"/>
            </w:tcBorders>
          </w:tcPr>
          <w:p>
            <w:pPr>
              <w:spacing w:after="0"/>
              <w:rPr>
                <w:sz w:val="24"/>
                <w:szCs w:val="24"/>
                <w:color w:val="auto"/>
              </w:rPr>
            </w:pPr>
          </w:p>
        </w:tc>
        <w:tc>
          <w:tcPr>
            <w:tcW w:w="240" w:type="dxa"/>
            <w:vAlign w:val="bottom"/>
            <w:tcBorders>
              <w:top w:val="single" w:sz="8" w:color="auto"/>
            </w:tcBorders>
          </w:tcPr>
          <w:p>
            <w:pPr>
              <w:spacing w:after="0"/>
              <w:rPr>
                <w:sz w:val="24"/>
                <w:szCs w:val="24"/>
                <w:color w:val="auto"/>
              </w:rPr>
            </w:pPr>
          </w:p>
        </w:tc>
        <w:tc>
          <w:tcPr>
            <w:tcW w:w="1060" w:type="dxa"/>
            <w:vAlign w:val="bottom"/>
            <w:tcBorders>
              <w:top w:val="single" w:sz="8" w:color="auto"/>
            </w:tcBorders>
          </w:tcPr>
          <w:p>
            <w:pPr>
              <w:spacing w:after="0"/>
              <w:rPr>
                <w:sz w:val="24"/>
                <w:szCs w:val="24"/>
                <w:color w:val="auto"/>
              </w:rPr>
            </w:pPr>
          </w:p>
        </w:tc>
        <w:tc>
          <w:tcPr>
            <w:tcW w:w="220" w:type="dxa"/>
            <w:vAlign w:val="bottom"/>
            <w:tcBorders>
              <w:top w:val="single" w:sz="8" w:color="CFF0FC"/>
            </w:tcBorders>
          </w:tcPr>
          <w:p>
            <w:pPr>
              <w:spacing w:after="0"/>
              <w:rPr>
                <w:sz w:val="24"/>
                <w:szCs w:val="24"/>
                <w:color w:val="auto"/>
              </w:rPr>
            </w:pPr>
          </w:p>
        </w:tc>
        <w:tc>
          <w:tcPr>
            <w:tcW w:w="360" w:type="dxa"/>
            <w:vAlign w:val="bottom"/>
            <w:tcBorders>
              <w:top w:val="single" w:sz="8" w:color="CFF0FC"/>
            </w:tcBorders>
          </w:tcPr>
          <w:p>
            <w:pPr>
              <w:spacing w:after="0"/>
              <w:rPr>
                <w:sz w:val="24"/>
                <w:szCs w:val="24"/>
                <w:color w:val="auto"/>
              </w:rPr>
            </w:pPr>
          </w:p>
        </w:tc>
        <w:tc>
          <w:tcPr>
            <w:tcW w:w="1060" w:type="dxa"/>
            <w:vAlign w:val="bottom"/>
            <w:tcBorders>
              <w:top w:val="single" w:sz="8" w:color="CFF0FC"/>
            </w:tcBorders>
          </w:tcPr>
          <w:p>
            <w:pPr>
              <w:spacing w:after="0"/>
              <w:rPr>
                <w:sz w:val="24"/>
                <w:szCs w:val="24"/>
                <w:color w:val="auto"/>
              </w:rPr>
            </w:pPr>
          </w:p>
        </w:tc>
      </w:tr>
      <w:tr>
        <w:trPr>
          <w:trHeight w:val="763"/>
        </w:trPr>
        <w:tc>
          <w:tcPr>
            <w:tcW w:w="36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24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16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14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06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360" w:type="dxa"/>
            <w:vAlign w:val="bottom"/>
            <w:tcBorders>
              <w:bottom w:val="single" w:sz="8" w:color="9A9A9A"/>
            </w:tcBorders>
          </w:tcPr>
          <w:p>
            <w:pPr>
              <w:spacing w:after="0"/>
              <w:rPr>
                <w:sz w:val="24"/>
                <w:szCs w:val="24"/>
                <w:color w:val="auto"/>
              </w:rPr>
            </w:pPr>
          </w:p>
        </w:tc>
        <w:tc>
          <w:tcPr>
            <w:tcW w:w="106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3185160</wp:posOffset>
            </wp:positionH>
            <wp:positionV relativeFrom="paragraph">
              <wp:posOffset>-933450</wp:posOffset>
            </wp:positionV>
            <wp:extent cx="76835" cy="8890"/>
            <wp:wrapNone/>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35">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3185160</wp:posOffset>
            </wp:positionH>
            <wp:positionV relativeFrom="paragraph">
              <wp:posOffset>-916305</wp:posOffset>
            </wp:positionV>
            <wp:extent cx="76835" cy="8890"/>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36">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4162425</wp:posOffset>
            </wp:positionH>
            <wp:positionV relativeFrom="paragraph">
              <wp:posOffset>-933450</wp:posOffset>
            </wp:positionV>
            <wp:extent cx="68580" cy="8890"/>
            <wp:wrapNone/>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3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4162425</wp:posOffset>
            </wp:positionH>
            <wp:positionV relativeFrom="paragraph">
              <wp:posOffset>-916305</wp:posOffset>
            </wp:positionV>
            <wp:extent cx="68580" cy="8890"/>
            <wp:wrapNone/>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3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5131435</wp:posOffset>
            </wp:positionH>
            <wp:positionV relativeFrom="paragraph">
              <wp:posOffset>-933450</wp:posOffset>
            </wp:positionV>
            <wp:extent cx="68580" cy="8890"/>
            <wp:wrapNone/>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3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5131435</wp:posOffset>
            </wp:positionH>
            <wp:positionV relativeFrom="paragraph">
              <wp:posOffset>-916305</wp:posOffset>
            </wp:positionV>
            <wp:extent cx="68580" cy="8890"/>
            <wp:wrapNone/>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4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6099810</wp:posOffset>
            </wp:positionH>
            <wp:positionV relativeFrom="paragraph">
              <wp:posOffset>-933450</wp:posOffset>
            </wp:positionV>
            <wp:extent cx="68580" cy="8890"/>
            <wp:wrapNone/>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4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6099810</wp:posOffset>
            </wp:positionH>
            <wp:positionV relativeFrom="paragraph">
              <wp:posOffset>-916305</wp:posOffset>
            </wp:positionV>
            <wp:extent cx="68580" cy="8890"/>
            <wp:wrapNone/>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4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43">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44">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228" w:right="339" w:bottom="1440" w:gutter="0" w:footer="0" w:header="0"/>
        </w:sectPr>
      </w:pPr>
    </w:p>
    <w:bookmarkStart w:id="94" w:name="page95"/>
    <w:bookmarkEnd w:id="94"/>
    <w:p>
      <w:pPr>
        <w:spacing w:after="0"/>
        <w:rPr>
          <w:sz w:val="20"/>
          <w:szCs w:val="20"/>
          <w:color w:val="auto"/>
        </w:rPr>
      </w:pPr>
      <w:r>
        <w:rPr>
          <w:rFonts w:ascii="Times New Roman" w:cs="Times New Roman" w:eastAsia="Times New Roman" w:hAnsi="Times New Roman"/>
          <w:sz w:val="18"/>
          <w:szCs w:val="18"/>
          <w:color w:val="auto"/>
        </w:rPr>
        <w:t>The following is a summary of the Company’s convertible debt instruments as of December 31, 2023 (in thousands):</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366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120" w:type="dxa"/>
            <w:vAlign w:val="bottom"/>
            <w:tcBorders>
              <w:bottom w:val="single" w:sz="8" w:color="auto"/>
            </w:tcBorders>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140" w:type="dxa"/>
            <w:vAlign w:val="bottom"/>
            <w:tcBorders>
              <w:bottom w:val="single" w:sz="8" w:color="auto"/>
            </w:tcBorders>
          </w:tcPr>
          <w:p>
            <w:pPr>
              <w:spacing w:after="0"/>
              <w:rPr>
                <w:sz w:val="15"/>
                <w:szCs w:val="15"/>
                <w:color w:val="auto"/>
              </w:rPr>
            </w:pPr>
          </w:p>
        </w:tc>
        <w:tc>
          <w:tcPr>
            <w:tcW w:w="1160" w:type="dxa"/>
            <w:vAlign w:val="bottom"/>
            <w:tcBorders>
              <w:bottom w:val="single" w:sz="8" w:color="auto"/>
            </w:tcBorders>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420" w:type="dxa"/>
            <w:vAlign w:val="bottom"/>
            <w:tcBorders>
              <w:bottom w:val="single" w:sz="8" w:color="auto"/>
            </w:tcBorders>
            <w:gridSpan w:val="2"/>
          </w:tcPr>
          <w:p>
            <w:pPr>
              <w:ind w:left="20"/>
              <w:spacing w:after="0"/>
              <w:rPr>
                <w:sz w:val="20"/>
                <w:szCs w:val="20"/>
                <w:color w:val="auto"/>
              </w:rPr>
            </w:pPr>
            <w:r>
              <w:rPr>
                <w:rFonts w:ascii="Times New Roman" w:cs="Times New Roman" w:eastAsia="Times New Roman" w:hAnsi="Times New Roman"/>
                <w:sz w:val="14"/>
                <w:szCs w:val="14"/>
                <w:b w:val="1"/>
                <w:bCs w:val="1"/>
                <w:color w:val="auto"/>
              </w:rPr>
              <w:t>December 31, 2023</w:t>
            </w:r>
          </w:p>
        </w:tc>
        <w:tc>
          <w:tcPr>
            <w:tcW w:w="260" w:type="dxa"/>
            <w:vAlign w:val="bottom"/>
            <w:tcBorders>
              <w:bottom w:val="single" w:sz="8" w:color="auto"/>
            </w:tcBorders>
          </w:tcPr>
          <w:p>
            <w:pPr>
              <w:spacing w:after="0"/>
              <w:rPr>
                <w:sz w:val="15"/>
                <w:szCs w:val="15"/>
                <w:color w:val="auto"/>
              </w:rPr>
            </w:pPr>
          </w:p>
        </w:tc>
        <w:tc>
          <w:tcPr>
            <w:tcW w:w="1060" w:type="dxa"/>
            <w:vAlign w:val="bottom"/>
            <w:tcBorders>
              <w:bottom w:val="single" w:sz="8" w:color="auto"/>
            </w:tcBorders>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360" w:type="dxa"/>
            <w:vAlign w:val="bottom"/>
            <w:tcBorders>
              <w:bottom w:val="single" w:sz="8" w:color="auto"/>
            </w:tcBorders>
          </w:tcPr>
          <w:p>
            <w:pPr>
              <w:spacing w:after="0"/>
              <w:rPr>
                <w:sz w:val="15"/>
                <w:szCs w:val="15"/>
                <w:color w:val="auto"/>
              </w:rPr>
            </w:pPr>
          </w:p>
        </w:tc>
        <w:tc>
          <w:tcPr>
            <w:tcW w:w="1080" w:type="dxa"/>
            <w:vAlign w:val="bottom"/>
            <w:tcBorders>
              <w:bottom w:val="single" w:sz="8" w:color="auto"/>
            </w:tcBorders>
          </w:tcPr>
          <w:p>
            <w:pPr>
              <w:spacing w:after="0"/>
              <w:rPr>
                <w:sz w:val="15"/>
                <w:szCs w:val="15"/>
                <w:color w:val="auto"/>
              </w:rPr>
            </w:pPr>
          </w:p>
        </w:tc>
      </w:tr>
      <w:tr>
        <w:trPr>
          <w:trHeight w:val="142"/>
        </w:trPr>
        <w:tc>
          <w:tcPr>
            <w:tcW w:w="366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120" w:type="dxa"/>
            <w:vAlign w:val="bottom"/>
          </w:tcPr>
          <w:p>
            <w:pPr>
              <w:jc w:val="right"/>
              <w:ind w:right="195"/>
              <w:spacing w:after="0" w:line="142" w:lineRule="exact"/>
              <w:rPr>
                <w:sz w:val="20"/>
                <w:szCs w:val="20"/>
                <w:color w:val="auto"/>
              </w:rPr>
            </w:pPr>
            <w:r>
              <w:rPr>
                <w:rFonts w:ascii="Times New Roman" w:cs="Times New Roman" w:eastAsia="Times New Roman" w:hAnsi="Times New Roman"/>
                <w:sz w:val="14"/>
                <w:szCs w:val="14"/>
                <w:b w:val="1"/>
                <w:bCs w:val="1"/>
                <w:color w:val="auto"/>
              </w:rPr>
              <w:t>Outstanding</w:t>
            </w:r>
          </w:p>
        </w:tc>
        <w:tc>
          <w:tcPr>
            <w:tcW w:w="22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380" w:type="dxa"/>
            <w:vAlign w:val="bottom"/>
            <w:gridSpan w:val="2"/>
          </w:tcPr>
          <w:p>
            <w:pPr>
              <w:jc w:val="center"/>
              <w:ind w:right="380"/>
              <w:spacing w:after="0" w:line="142" w:lineRule="exact"/>
              <w:rPr>
                <w:sz w:val="20"/>
                <w:szCs w:val="20"/>
                <w:color w:val="auto"/>
              </w:rPr>
            </w:pPr>
            <w:r>
              <w:rPr>
                <w:rFonts w:ascii="Times New Roman" w:cs="Times New Roman" w:eastAsia="Times New Roman" w:hAnsi="Times New Roman"/>
                <w:sz w:val="14"/>
                <w:szCs w:val="14"/>
                <w:b w:val="1"/>
                <w:bCs w:val="1"/>
                <w:color w:val="auto"/>
              </w:rPr>
              <w:t>Unamortized</w:t>
            </w:r>
          </w:p>
        </w:tc>
        <w:tc>
          <w:tcPr>
            <w:tcW w:w="120" w:type="dxa"/>
            <w:vAlign w:val="bottom"/>
          </w:tcPr>
          <w:p>
            <w:pPr>
              <w:spacing w:after="0"/>
              <w:rPr>
                <w:sz w:val="12"/>
                <w:szCs w:val="12"/>
                <w:color w:val="auto"/>
              </w:rPr>
            </w:pPr>
          </w:p>
        </w:tc>
        <w:tc>
          <w:tcPr>
            <w:tcW w:w="1420" w:type="dxa"/>
            <w:vAlign w:val="bottom"/>
            <w:gridSpan w:val="2"/>
          </w:tcPr>
          <w:p>
            <w:pPr>
              <w:ind w:left="120"/>
              <w:spacing w:after="0" w:line="142" w:lineRule="exact"/>
              <w:rPr>
                <w:sz w:val="20"/>
                <w:szCs w:val="20"/>
                <w:color w:val="auto"/>
              </w:rPr>
            </w:pPr>
            <w:r>
              <w:rPr>
                <w:rFonts w:ascii="Times New Roman" w:cs="Times New Roman" w:eastAsia="Times New Roman" w:hAnsi="Times New Roman"/>
                <w:sz w:val="14"/>
                <w:szCs w:val="14"/>
                <w:b w:val="1"/>
                <w:bCs w:val="1"/>
                <w:color w:val="auto"/>
              </w:rPr>
              <w:t>Net Carrying</w:t>
            </w:r>
          </w:p>
        </w:tc>
        <w:tc>
          <w:tcPr>
            <w:tcW w:w="260" w:type="dxa"/>
            <w:vAlign w:val="bottom"/>
            <w:tcBorders>
              <w:bottom w:val="single" w:sz="8" w:color="auto"/>
            </w:tcBorders>
          </w:tcPr>
          <w:p>
            <w:pPr>
              <w:spacing w:after="0"/>
              <w:rPr>
                <w:sz w:val="12"/>
                <w:szCs w:val="12"/>
                <w:color w:val="auto"/>
              </w:rPr>
            </w:pPr>
          </w:p>
        </w:tc>
        <w:tc>
          <w:tcPr>
            <w:tcW w:w="1640" w:type="dxa"/>
            <w:vAlign w:val="bottom"/>
            <w:tcBorders>
              <w:bottom w:val="single" w:sz="8" w:color="auto"/>
            </w:tcBorders>
            <w:gridSpan w:val="3"/>
          </w:tcPr>
          <w:p>
            <w:pPr>
              <w:ind w:left="900"/>
              <w:spacing w:after="0" w:line="142" w:lineRule="exact"/>
              <w:rPr>
                <w:sz w:val="20"/>
                <w:szCs w:val="20"/>
                <w:color w:val="auto"/>
              </w:rPr>
            </w:pPr>
            <w:r>
              <w:rPr>
                <w:rFonts w:ascii="Times New Roman" w:cs="Times New Roman" w:eastAsia="Times New Roman" w:hAnsi="Times New Roman"/>
                <w:sz w:val="14"/>
                <w:szCs w:val="14"/>
                <w:b w:val="1"/>
                <w:bCs w:val="1"/>
                <w:color w:val="auto"/>
              </w:rPr>
              <w:t>Fair Value</w:t>
            </w:r>
          </w:p>
        </w:tc>
        <w:tc>
          <w:tcPr>
            <w:tcW w:w="1080" w:type="dxa"/>
            <w:vAlign w:val="bottom"/>
            <w:tcBorders>
              <w:bottom w:val="single" w:sz="8" w:color="auto"/>
            </w:tcBorders>
          </w:tcPr>
          <w:p>
            <w:pPr>
              <w:spacing w:after="0"/>
              <w:rPr>
                <w:sz w:val="12"/>
                <w:szCs w:val="12"/>
                <w:color w:val="auto"/>
              </w:rPr>
            </w:pPr>
          </w:p>
        </w:tc>
      </w:tr>
      <w:tr>
        <w:trPr>
          <w:trHeight w:val="142"/>
        </w:trPr>
        <w:tc>
          <w:tcPr>
            <w:tcW w:w="3660" w:type="dxa"/>
            <w:vAlign w:val="bottom"/>
          </w:tcPr>
          <w:p>
            <w:pPr>
              <w:spacing w:after="0"/>
              <w:rPr>
                <w:sz w:val="12"/>
                <w:szCs w:val="12"/>
                <w:color w:val="auto"/>
              </w:rPr>
            </w:pPr>
          </w:p>
        </w:tc>
        <w:tc>
          <w:tcPr>
            <w:tcW w:w="1320" w:type="dxa"/>
            <w:vAlign w:val="bottom"/>
            <w:tcBorders>
              <w:bottom w:val="single" w:sz="8" w:color="auto"/>
            </w:tcBorders>
            <w:gridSpan w:val="2"/>
          </w:tcPr>
          <w:p>
            <w:pPr>
              <w:jc w:val="right"/>
              <w:ind w:right="35"/>
              <w:spacing w:after="0" w:line="142" w:lineRule="exact"/>
              <w:rPr>
                <w:sz w:val="20"/>
                <w:szCs w:val="20"/>
                <w:color w:val="auto"/>
              </w:rPr>
            </w:pPr>
            <w:r>
              <w:rPr>
                <w:rFonts w:ascii="Times New Roman" w:cs="Times New Roman" w:eastAsia="Times New Roman" w:hAnsi="Times New Roman"/>
                <w:sz w:val="14"/>
                <w:szCs w:val="14"/>
                <w:b w:val="1"/>
                <w:bCs w:val="1"/>
                <w:color w:val="auto"/>
              </w:rPr>
              <w:t>Principal Amount</w:t>
            </w:r>
          </w:p>
        </w:tc>
        <w:tc>
          <w:tcPr>
            <w:tcW w:w="22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1160" w:type="dxa"/>
            <w:vAlign w:val="bottom"/>
            <w:tcBorders>
              <w:bottom w:val="single" w:sz="8" w:color="auto"/>
            </w:tcBorders>
          </w:tcPr>
          <w:p>
            <w:pPr>
              <w:jc w:val="center"/>
              <w:ind w:right="57"/>
              <w:spacing w:after="0" w:line="142" w:lineRule="exact"/>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1200" w:type="dxa"/>
            <w:vAlign w:val="bottom"/>
            <w:tcBorders>
              <w:bottom w:val="single" w:sz="8" w:color="auto"/>
            </w:tcBorders>
          </w:tcPr>
          <w:p>
            <w:pPr>
              <w:jc w:val="right"/>
              <w:ind w:right="399"/>
              <w:spacing w:after="0" w:line="142" w:lineRule="exact"/>
              <w:rPr>
                <w:sz w:val="20"/>
                <w:szCs w:val="20"/>
                <w:color w:val="auto"/>
              </w:rPr>
            </w:pPr>
            <w:r>
              <w:rPr>
                <w:rFonts w:ascii="Times New Roman" w:cs="Times New Roman" w:eastAsia="Times New Roman" w:hAnsi="Times New Roman"/>
                <w:sz w:val="14"/>
                <w:szCs w:val="14"/>
                <w:b w:val="1"/>
                <w:bCs w:val="1"/>
                <w:color w:val="auto"/>
              </w:rPr>
              <w:t>Value</w:t>
            </w:r>
          </w:p>
        </w:tc>
        <w:tc>
          <w:tcPr>
            <w:tcW w:w="220" w:type="dxa"/>
            <w:vAlign w:val="bottom"/>
          </w:tcPr>
          <w:p>
            <w:pPr>
              <w:spacing w:after="0"/>
              <w:rPr>
                <w:sz w:val="12"/>
                <w:szCs w:val="12"/>
                <w:color w:val="auto"/>
              </w:rPr>
            </w:pPr>
          </w:p>
        </w:tc>
        <w:tc>
          <w:tcPr>
            <w:tcW w:w="260" w:type="dxa"/>
            <w:vAlign w:val="bottom"/>
            <w:tcBorders>
              <w:bottom w:val="single" w:sz="8" w:color="auto"/>
            </w:tcBorders>
          </w:tcPr>
          <w:p>
            <w:pPr>
              <w:spacing w:after="0"/>
              <w:rPr>
                <w:sz w:val="12"/>
                <w:szCs w:val="12"/>
                <w:color w:val="auto"/>
              </w:rPr>
            </w:pPr>
          </w:p>
        </w:tc>
        <w:tc>
          <w:tcPr>
            <w:tcW w:w="1060" w:type="dxa"/>
            <w:vAlign w:val="bottom"/>
            <w:tcBorders>
              <w:bottom w:val="single" w:sz="8" w:color="auto"/>
            </w:tcBorders>
          </w:tcPr>
          <w:p>
            <w:pPr>
              <w:jc w:val="right"/>
              <w:ind w:right="337"/>
              <w:spacing w:after="0" w:line="142" w:lineRule="exact"/>
              <w:rPr>
                <w:sz w:val="20"/>
                <w:szCs w:val="20"/>
                <w:color w:val="auto"/>
              </w:rPr>
            </w:pPr>
            <w:r>
              <w:rPr>
                <w:rFonts w:ascii="Times New Roman" w:cs="Times New Roman" w:eastAsia="Times New Roman" w:hAnsi="Times New Roman"/>
                <w:sz w:val="14"/>
                <w:szCs w:val="14"/>
                <w:b w:val="1"/>
                <w:bCs w:val="1"/>
                <w:color w:val="auto"/>
              </w:rPr>
              <w:t>Amount</w:t>
            </w:r>
          </w:p>
        </w:tc>
        <w:tc>
          <w:tcPr>
            <w:tcW w:w="220" w:type="dxa"/>
            <w:vAlign w:val="bottom"/>
          </w:tcPr>
          <w:p>
            <w:pPr>
              <w:spacing w:after="0"/>
              <w:rPr>
                <w:sz w:val="12"/>
                <w:szCs w:val="12"/>
                <w:color w:val="auto"/>
              </w:rPr>
            </w:pPr>
          </w:p>
        </w:tc>
        <w:tc>
          <w:tcPr>
            <w:tcW w:w="360" w:type="dxa"/>
            <w:vAlign w:val="bottom"/>
            <w:tcBorders>
              <w:bottom w:val="single" w:sz="8" w:color="auto"/>
            </w:tcBorders>
          </w:tcPr>
          <w:p>
            <w:pPr>
              <w:spacing w:after="0"/>
              <w:rPr>
                <w:sz w:val="12"/>
                <w:szCs w:val="12"/>
                <w:color w:val="auto"/>
              </w:rPr>
            </w:pPr>
          </w:p>
        </w:tc>
        <w:tc>
          <w:tcPr>
            <w:tcW w:w="1080" w:type="dxa"/>
            <w:vAlign w:val="bottom"/>
            <w:tcBorders>
              <w:bottom w:val="single" w:sz="8" w:color="auto"/>
            </w:tcBorders>
          </w:tcPr>
          <w:p>
            <w:pPr>
              <w:ind w:left="80"/>
              <w:spacing w:after="0" w:line="142" w:lineRule="exact"/>
              <w:rPr>
                <w:sz w:val="20"/>
                <w:szCs w:val="20"/>
                <w:color w:val="auto"/>
              </w:rPr>
            </w:pPr>
            <w:r>
              <w:rPr>
                <w:rFonts w:ascii="Times New Roman" w:cs="Times New Roman" w:eastAsia="Times New Roman" w:hAnsi="Times New Roman"/>
                <w:sz w:val="14"/>
                <w:szCs w:val="14"/>
                <w:b w:val="1"/>
                <w:bCs w:val="1"/>
                <w:color w:val="auto"/>
              </w:rPr>
              <w:t>Leveling</w:t>
            </w:r>
          </w:p>
        </w:tc>
      </w:tr>
      <w:tr>
        <w:trPr>
          <w:trHeight w:val="210"/>
        </w:trPr>
        <w:tc>
          <w:tcPr>
            <w:tcW w:w="36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 Convertible Notes</w:t>
            </w:r>
          </w:p>
        </w:tc>
        <w:tc>
          <w:tcPr>
            <w:tcW w:w="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650,000</w:t>
            </w:r>
          </w:p>
        </w:tc>
        <w:tc>
          <w:tcPr>
            <w:tcW w:w="3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3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(6,069 )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643,931</w:t>
            </w:r>
          </w:p>
        </w:tc>
        <w:tc>
          <w:tcPr>
            <w:tcW w:w="220" w:type="dxa"/>
            <w:vAlign w:val="bottom"/>
            <w:shd w:val="clear" w:color="auto" w:fill="CFF0FC"/>
          </w:tcPr>
          <w:p>
            <w:pPr>
              <w:spacing w:after="0"/>
              <w:rPr>
                <w:sz w:val="18"/>
                <w:szCs w:val="18"/>
                <w:color w:val="auto"/>
              </w:rPr>
            </w:pPr>
          </w:p>
        </w:tc>
        <w:tc>
          <w:tcPr>
            <w:tcW w:w="26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1,074,713</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108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Level 2</w:t>
            </w:r>
          </w:p>
        </w:tc>
      </w:tr>
      <w:tr>
        <w:trPr>
          <w:trHeight w:val="216"/>
        </w:trPr>
        <w:tc>
          <w:tcPr>
            <w:tcW w:w="36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2027 Convertible Notes</w:t>
            </w:r>
          </w:p>
        </w:tc>
        <w:tc>
          <w:tcPr>
            <w:tcW w:w="20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1,050,000</w:t>
            </w:r>
          </w:p>
        </w:tc>
        <w:tc>
          <w:tcPr>
            <w:tcW w:w="22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3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(12,694 )</w:t>
            </w:r>
          </w:p>
        </w:tc>
        <w:tc>
          <w:tcPr>
            <w:tcW w:w="120" w:type="dxa"/>
            <w:vAlign w:val="bottom"/>
          </w:tcPr>
          <w:p>
            <w:pPr>
              <w:spacing w:after="0"/>
              <w:rPr>
                <w:sz w:val="18"/>
                <w:szCs w:val="18"/>
                <w:color w:val="auto"/>
              </w:rPr>
            </w:pPr>
          </w:p>
        </w:tc>
        <w:tc>
          <w:tcPr>
            <w:tcW w:w="1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1,037,306</w:t>
            </w:r>
          </w:p>
        </w:tc>
        <w:tc>
          <w:tcPr>
            <w:tcW w:w="220" w:type="dxa"/>
            <w:vAlign w:val="bottom"/>
          </w:tcPr>
          <w:p>
            <w:pPr>
              <w:spacing w:after="0"/>
              <w:rPr>
                <w:sz w:val="18"/>
                <w:szCs w:val="18"/>
                <w:color w:val="auto"/>
              </w:rPr>
            </w:pPr>
          </w:p>
        </w:tc>
        <w:tc>
          <w:tcPr>
            <w:tcW w:w="260" w:type="dxa"/>
            <w:vAlign w:val="bottom"/>
          </w:tcPr>
          <w:p>
            <w:pPr>
              <w:spacing w:after="0"/>
              <w:rPr>
                <w:sz w:val="18"/>
                <w:szCs w:val="18"/>
                <w:color w:val="auto"/>
              </w:rPr>
            </w:pP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913,808</w:t>
            </w:r>
          </w:p>
        </w:tc>
        <w:tc>
          <w:tcPr>
            <w:tcW w:w="2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108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Level 2</w:t>
            </w:r>
          </w:p>
        </w:tc>
      </w:tr>
      <w:tr>
        <w:trPr>
          <w:trHeight w:val="20"/>
        </w:trPr>
        <w:tc>
          <w:tcPr>
            <w:tcW w:w="366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12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116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20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60" w:type="dxa"/>
            <w:vAlign w:val="bottom"/>
            <w:shd w:val="clear" w:color="auto" w:fill="000000"/>
          </w:tcPr>
          <w:p>
            <w:pPr>
              <w:spacing w:after="0" w:line="20" w:lineRule="exact"/>
              <w:rPr>
                <w:sz w:val="1"/>
                <w:szCs w:val="1"/>
                <w:color w:val="auto"/>
              </w:rPr>
            </w:pPr>
          </w:p>
        </w:tc>
        <w:tc>
          <w:tcPr>
            <w:tcW w:w="106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360" w:type="dxa"/>
            <w:vAlign w:val="bottom"/>
          </w:tcPr>
          <w:p>
            <w:pPr>
              <w:spacing w:after="0" w:line="20" w:lineRule="exact"/>
              <w:rPr>
                <w:sz w:val="1"/>
                <w:szCs w:val="1"/>
                <w:color w:val="auto"/>
              </w:rPr>
            </w:pPr>
          </w:p>
        </w:tc>
        <w:tc>
          <w:tcPr>
            <w:tcW w:w="1080" w:type="dxa"/>
            <w:vAlign w:val="bottom"/>
          </w:tcPr>
          <w:p>
            <w:pPr>
              <w:spacing w:after="0" w:line="20" w:lineRule="exact"/>
              <w:rPr>
                <w:sz w:val="1"/>
                <w:szCs w:val="1"/>
                <w:color w:val="auto"/>
              </w:rPr>
            </w:pPr>
          </w:p>
        </w:tc>
      </w:tr>
      <w:tr>
        <w:trPr>
          <w:trHeight w:val="229"/>
        </w:trPr>
        <w:tc>
          <w:tcPr>
            <w:tcW w:w="36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w:t>
            </w:r>
          </w:p>
        </w:tc>
        <w:tc>
          <w:tcPr>
            <w:tcW w:w="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1,700,000</w:t>
            </w:r>
          </w:p>
        </w:tc>
        <w:tc>
          <w:tcPr>
            <w:tcW w:w="220" w:type="dxa"/>
            <w:vAlign w:val="bottom"/>
            <w:shd w:val="clear" w:color="auto" w:fill="CFF0FC"/>
          </w:tcPr>
          <w:p>
            <w:pPr>
              <w:spacing w:after="0"/>
              <w:rPr>
                <w:sz w:val="19"/>
                <w:szCs w:val="19"/>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(18,763 )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1,681,237</w:t>
            </w:r>
          </w:p>
        </w:tc>
        <w:tc>
          <w:tcPr>
            <w:tcW w:w="220" w:type="dxa"/>
            <w:vAlign w:val="bottom"/>
            <w:shd w:val="clear" w:color="auto" w:fill="CFF0FC"/>
          </w:tcPr>
          <w:p>
            <w:pPr>
              <w:spacing w:after="0"/>
              <w:rPr>
                <w:sz w:val="19"/>
                <w:szCs w:val="19"/>
                <w:color w:val="auto"/>
              </w:rPr>
            </w:pPr>
          </w:p>
        </w:tc>
        <w:tc>
          <w:tcPr>
            <w:tcW w:w="26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1,988,521</w:t>
            </w:r>
          </w:p>
        </w:tc>
        <w:tc>
          <w:tcPr>
            <w:tcW w:w="220" w:type="dxa"/>
            <w:vAlign w:val="bottom"/>
            <w:shd w:val="clear" w:color="auto" w:fill="CFF0FC"/>
          </w:tcPr>
          <w:p>
            <w:pPr>
              <w:spacing w:after="0"/>
              <w:rPr>
                <w:sz w:val="19"/>
                <w:szCs w:val="19"/>
                <w:color w:val="auto"/>
              </w:rPr>
            </w:pPr>
          </w:p>
        </w:tc>
        <w:tc>
          <w:tcPr>
            <w:tcW w:w="360" w:type="dxa"/>
            <w:vAlign w:val="bottom"/>
            <w:shd w:val="clear" w:color="auto" w:fill="CFF0FC"/>
          </w:tcPr>
          <w:p>
            <w:pPr>
              <w:spacing w:after="0"/>
              <w:rPr>
                <w:sz w:val="19"/>
                <w:szCs w:val="19"/>
                <w:color w:val="auto"/>
              </w:rPr>
            </w:pPr>
          </w:p>
        </w:tc>
        <w:tc>
          <w:tcPr>
            <w:tcW w:w="1080" w:type="dxa"/>
            <w:vAlign w:val="bottom"/>
            <w:shd w:val="clear" w:color="auto" w:fill="CFF0FC"/>
          </w:tcPr>
          <w:p>
            <w:pPr>
              <w:spacing w:after="0"/>
              <w:rPr>
                <w:sz w:val="19"/>
                <w:szCs w:val="19"/>
                <w:color w:val="auto"/>
              </w:rPr>
            </w:pPr>
          </w:p>
        </w:tc>
      </w:tr>
      <w:tr>
        <w:trPr>
          <w:trHeight w:val="20"/>
        </w:trPr>
        <w:tc>
          <w:tcPr>
            <w:tcW w:w="366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12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140" w:type="dxa"/>
            <w:vAlign w:val="bottom"/>
            <w:tcBorders>
              <w:top w:val="single" w:sz="8" w:color="auto"/>
            </w:tcBorders>
            <w:shd w:val="clear" w:color="auto" w:fill="000000"/>
          </w:tcPr>
          <w:p>
            <w:pPr>
              <w:spacing w:after="0" w:line="20" w:lineRule="exact"/>
              <w:rPr>
                <w:sz w:val="1"/>
                <w:szCs w:val="1"/>
                <w:color w:val="auto"/>
              </w:rPr>
            </w:pPr>
          </w:p>
        </w:tc>
        <w:tc>
          <w:tcPr>
            <w:tcW w:w="116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120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260" w:type="dxa"/>
            <w:vAlign w:val="bottom"/>
            <w:tcBorders>
              <w:top w:val="single" w:sz="8" w:color="auto"/>
            </w:tcBorders>
            <w:shd w:val="clear" w:color="auto" w:fill="000000"/>
          </w:tcPr>
          <w:p>
            <w:pPr>
              <w:spacing w:after="0" w:line="20" w:lineRule="exact"/>
              <w:rPr>
                <w:sz w:val="1"/>
                <w:szCs w:val="1"/>
                <w:color w:val="auto"/>
              </w:rPr>
            </w:pPr>
          </w:p>
        </w:tc>
        <w:tc>
          <w:tcPr>
            <w:tcW w:w="106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360" w:type="dxa"/>
            <w:vAlign w:val="bottom"/>
            <w:tcBorders>
              <w:top w:val="single" w:sz="8" w:color="CFF0FC"/>
            </w:tcBorders>
            <w:shd w:val="clear" w:color="auto" w:fill="CFF0FC"/>
          </w:tcPr>
          <w:p>
            <w:pPr>
              <w:spacing w:after="0" w:line="20" w:lineRule="exact"/>
              <w:rPr>
                <w:sz w:val="1"/>
                <w:szCs w:val="1"/>
                <w:color w:val="auto"/>
              </w:rPr>
            </w:pPr>
          </w:p>
        </w:tc>
        <w:tc>
          <w:tcPr>
            <w:tcW w:w="108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3159760</wp:posOffset>
            </wp:positionH>
            <wp:positionV relativeFrom="paragraph">
              <wp:posOffset>-25400</wp:posOffset>
            </wp:positionV>
            <wp:extent cx="68580" cy="8890"/>
            <wp:wrapNone/>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4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3159760</wp:posOffset>
            </wp:positionH>
            <wp:positionV relativeFrom="paragraph">
              <wp:posOffset>-7620</wp:posOffset>
            </wp:positionV>
            <wp:extent cx="68580" cy="8255"/>
            <wp:wrapNone/>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4128135</wp:posOffset>
            </wp:positionH>
            <wp:positionV relativeFrom="paragraph">
              <wp:posOffset>-25400</wp:posOffset>
            </wp:positionV>
            <wp:extent cx="68580" cy="8890"/>
            <wp:wrapNone/>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4128135</wp:posOffset>
            </wp:positionH>
            <wp:positionV relativeFrom="paragraph">
              <wp:posOffset>-7620</wp:posOffset>
            </wp:positionV>
            <wp:extent cx="68580" cy="8255"/>
            <wp:wrapNone/>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4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5105400</wp:posOffset>
            </wp:positionH>
            <wp:positionV relativeFrom="paragraph">
              <wp:posOffset>-25400</wp:posOffset>
            </wp:positionV>
            <wp:extent cx="68580" cy="8890"/>
            <wp:wrapNone/>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4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5105400</wp:posOffset>
            </wp:positionH>
            <wp:positionV relativeFrom="paragraph">
              <wp:posOffset>-7620</wp:posOffset>
            </wp:positionV>
            <wp:extent cx="68580" cy="8255"/>
            <wp:wrapNone/>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5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6082665</wp:posOffset>
            </wp:positionH>
            <wp:positionV relativeFrom="paragraph">
              <wp:posOffset>-25400</wp:posOffset>
            </wp:positionV>
            <wp:extent cx="68580" cy="8890"/>
            <wp:wrapNone/>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5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6082665</wp:posOffset>
            </wp:positionH>
            <wp:positionV relativeFrom="paragraph">
              <wp:posOffset>-7620</wp:posOffset>
            </wp:positionV>
            <wp:extent cx="68580" cy="8255"/>
            <wp:wrapNone/>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52">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fair value of the Convertible Notes is determined using observable market data other than quoted prices, specifically the last traded price at the end of the reporting period of identical instruments in the over-the-counter market (Level 2).</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the years ended December 31, 2024, 2023 and 2022, interest expense related to the Convertible Notes was as follows (in thousands):</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17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2440" w:type="dxa"/>
            <w:vAlign w:val="bottom"/>
            <w:gridSpan w:val="6"/>
          </w:tcPr>
          <w:p>
            <w:pPr>
              <w:jc w:val="right"/>
              <w:ind w:right="20"/>
              <w:spacing w:after="0"/>
              <w:rPr>
                <w:sz w:val="20"/>
                <w:szCs w:val="20"/>
                <w:color w:val="auto"/>
              </w:rPr>
            </w:pPr>
            <w:r>
              <w:rPr>
                <w:rFonts w:ascii="Times New Roman" w:cs="Times New Roman" w:eastAsia="Times New Roman" w:hAnsi="Times New Roman"/>
                <w:sz w:val="14"/>
                <w:szCs w:val="14"/>
                <w:b w:val="1"/>
                <w:bCs w:val="1"/>
                <w:color w:val="auto"/>
              </w:rPr>
              <w:t>Year Ended December 31, 2024</w:t>
            </w:r>
          </w:p>
        </w:tc>
        <w:tc>
          <w:tcPr>
            <w:tcW w:w="6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2760" w:type="dxa"/>
            <w:vAlign w:val="bottom"/>
            <w:gridSpan w:val="7"/>
          </w:tcPr>
          <w:p>
            <w:pPr>
              <w:jc w:val="center"/>
              <w:ind w:right="52"/>
              <w:spacing w:after="0"/>
              <w:rPr>
                <w:sz w:val="20"/>
                <w:szCs w:val="20"/>
                <w:color w:val="auto"/>
              </w:rPr>
            </w:pPr>
            <w:r>
              <w:rPr>
                <w:rFonts w:ascii="Times New Roman" w:cs="Times New Roman" w:eastAsia="Times New Roman" w:hAnsi="Times New Roman"/>
                <w:sz w:val="14"/>
                <w:szCs w:val="14"/>
                <w:b w:val="1"/>
                <w:bCs w:val="1"/>
                <w:color w:val="auto"/>
              </w:rPr>
              <w:t>Year Ended December 31, 2023</w:t>
            </w:r>
          </w:p>
        </w:tc>
        <w:tc>
          <w:tcPr>
            <w:tcW w:w="22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2860" w:type="dxa"/>
            <w:vAlign w:val="bottom"/>
            <w:gridSpan w:val="8"/>
          </w:tcPr>
          <w:p>
            <w:pPr>
              <w:jc w:val="center"/>
              <w:ind w:right="240"/>
              <w:spacing w:after="0"/>
              <w:rPr>
                <w:sz w:val="20"/>
                <w:szCs w:val="20"/>
                <w:color w:val="auto"/>
              </w:rPr>
            </w:pPr>
            <w:r>
              <w:rPr>
                <w:rFonts w:ascii="Times New Roman" w:cs="Times New Roman" w:eastAsia="Times New Roman" w:hAnsi="Times New Roman"/>
                <w:sz w:val="14"/>
                <w:szCs w:val="14"/>
                <w:b w:val="1"/>
                <w:bCs w:val="1"/>
                <w:color w:val="auto"/>
              </w:rPr>
              <w:t>Year Ended December 31, 2022</w:t>
            </w:r>
          </w:p>
        </w:tc>
        <w:tc>
          <w:tcPr>
            <w:tcW w:w="0" w:type="dxa"/>
            <w:vAlign w:val="bottom"/>
          </w:tcPr>
          <w:p>
            <w:pPr>
              <w:spacing w:after="0"/>
              <w:rPr>
                <w:sz w:val="1"/>
                <w:szCs w:val="1"/>
                <w:color w:val="auto"/>
              </w:rPr>
            </w:pPr>
          </w:p>
        </w:tc>
      </w:tr>
      <w:tr>
        <w:trPr>
          <w:trHeight w:val="117"/>
        </w:trPr>
        <w:tc>
          <w:tcPr>
            <w:tcW w:w="1760" w:type="dxa"/>
            <w:vAlign w:val="bottom"/>
          </w:tcPr>
          <w:p>
            <w:pPr>
              <w:spacing w:after="0"/>
              <w:rPr>
                <w:sz w:val="10"/>
                <w:szCs w:val="10"/>
                <w:color w:val="auto"/>
              </w:rPr>
            </w:pPr>
          </w:p>
        </w:tc>
        <w:tc>
          <w:tcPr>
            <w:tcW w:w="900" w:type="dxa"/>
            <w:vAlign w:val="bottom"/>
            <w:tcBorders>
              <w:top w:val="single" w:sz="8" w:color="auto"/>
            </w:tcBorders>
            <w:gridSpan w:val="2"/>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Contractual</w:t>
            </w:r>
          </w:p>
        </w:tc>
        <w:tc>
          <w:tcPr>
            <w:tcW w:w="220" w:type="dxa"/>
            <w:vAlign w:val="bottom"/>
            <w:tcBorders>
              <w:top w:val="single" w:sz="8" w:color="auto"/>
            </w:tcBorders>
          </w:tcPr>
          <w:p>
            <w:pPr>
              <w:spacing w:after="0"/>
              <w:rPr>
                <w:sz w:val="10"/>
                <w:szCs w:val="10"/>
                <w:color w:val="auto"/>
              </w:rPr>
            </w:pPr>
          </w:p>
        </w:tc>
        <w:tc>
          <w:tcPr>
            <w:tcW w:w="1020" w:type="dxa"/>
            <w:vAlign w:val="bottom"/>
            <w:tcBorders>
              <w:top w:val="single" w:sz="8" w:color="auto"/>
            </w:tcBorders>
            <w:gridSpan w:val="2"/>
            <w:vMerge w:val="restart"/>
          </w:tcPr>
          <w:p>
            <w:pPr>
              <w:ind w:left="20"/>
              <w:spacing w:after="0"/>
              <w:rPr>
                <w:sz w:val="20"/>
                <w:szCs w:val="20"/>
                <w:color w:val="auto"/>
              </w:rPr>
            </w:pPr>
            <w:r>
              <w:rPr>
                <w:rFonts w:ascii="Times New Roman" w:cs="Times New Roman" w:eastAsia="Times New Roman" w:hAnsi="Times New Roman"/>
                <w:sz w:val="14"/>
                <w:szCs w:val="14"/>
                <w:b w:val="1"/>
                <w:bCs w:val="1"/>
                <w:color w:val="auto"/>
              </w:rPr>
              <w:t>Amortization of</w:t>
            </w:r>
          </w:p>
        </w:tc>
        <w:tc>
          <w:tcPr>
            <w:tcW w:w="220" w:type="dxa"/>
            <w:vAlign w:val="bottom"/>
            <w:tcBorders>
              <w:top w:val="single" w:sz="8" w:color="auto"/>
            </w:tcBorders>
          </w:tcPr>
          <w:p>
            <w:pPr>
              <w:spacing w:after="0"/>
              <w:rPr>
                <w:sz w:val="10"/>
                <w:szCs w:val="10"/>
                <w:color w:val="auto"/>
              </w:rPr>
            </w:pPr>
          </w:p>
        </w:tc>
        <w:tc>
          <w:tcPr>
            <w:tcW w:w="220" w:type="dxa"/>
            <w:vAlign w:val="bottom"/>
            <w:tcBorders>
              <w:top w:val="single" w:sz="8" w:color="auto"/>
            </w:tcBorders>
          </w:tcPr>
          <w:p>
            <w:pPr>
              <w:spacing w:after="0"/>
              <w:rPr>
                <w:sz w:val="10"/>
                <w:szCs w:val="10"/>
                <w:color w:val="auto"/>
              </w:rPr>
            </w:pPr>
          </w:p>
        </w:tc>
        <w:tc>
          <w:tcPr>
            <w:tcW w:w="600" w:type="dxa"/>
            <w:vAlign w:val="bottom"/>
            <w:tcBorders>
              <w:top w:val="single" w:sz="8" w:color="auto"/>
            </w:tcBorders>
          </w:tcPr>
          <w:p>
            <w:pPr>
              <w:spacing w:after="0"/>
              <w:rPr>
                <w:sz w:val="10"/>
                <w:szCs w:val="10"/>
                <w:color w:val="auto"/>
              </w:rPr>
            </w:pPr>
          </w:p>
        </w:tc>
        <w:tc>
          <w:tcPr>
            <w:tcW w:w="220" w:type="dxa"/>
            <w:vAlign w:val="bottom"/>
          </w:tcPr>
          <w:p>
            <w:pPr>
              <w:spacing w:after="0"/>
              <w:rPr>
                <w:sz w:val="10"/>
                <w:szCs w:val="10"/>
                <w:color w:val="auto"/>
              </w:rPr>
            </w:pPr>
          </w:p>
        </w:tc>
        <w:tc>
          <w:tcPr>
            <w:tcW w:w="800" w:type="dxa"/>
            <w:vAlign w:val="bottom"/>
            <w:tcBorders>
              <w:top w:val="single" w:sz="8" w:color="auto"/>
            </w:tcBorders>
            <w:gridSpan w:val="2"/>
            <w:vMerge w:val="restart"/>
          </w:tcPr>
          <w:p>
            <w:pPr>
              <w:ind w:left="20"/>
              <w:spacing w:after="0"/>
              <w:rPr>
                <w:sz w:val="20"/>
                <w:szCs w:val="20"/>
                <w:color w:val="auto"/>
              </w:rPr>
            </w:pPr>
            <w:r>
              <w:rPr>
                <w:rFonts w:ascii="Times New Roman" w:cs="Times New Roman" w:eastAsia="Times New Roman" w:hAnsi="Times New Roman"/>
                <w:sz w:val="14"/>
                <w:szCs w:val="14"/>
                <w:b w:val="1"/>
                <w:bCs w:val="1"/>
                <w:color w:val="auto"/>
              </w:rPr>
              <w:t>Contractual</w:t>
            </w:r>
          </w:p>
        </w:tc>
        <w:tc>
          <w:tcPr>
            <w:tcW w:w="220" w:type="dxa"/>
            <w:vAlign w:val="bottom"/>
            <w:tcBorders>
              <w:top w:val="single" w:sz="8" w:color="auto"/>
            </w:tcBorders>
          </w:tcPr>
          <w:p>
            <w:pPr>
              <w:spacing w:after="0"/>
              <w:rPr>
                <w:sz w:val="10"/>
                <w:szCs w:val="10"/>
                <w:color w:val="auto"/>
              </w:rPr>
            </w:pPr>
          </w:p>
        </w:tc>
        <w:tc>
          <w:tcPr>
            <w:tcW w:w="820" w:type="dxa"/>
            <w:vAlign w:val="bottom"/>
            <w:tcBorders>
              <w:top w:val="single" w:sz="8" w:color="auto"/>
            </w:tcBorders>
            <w:gridSpan w:val="2"/>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Amortizatio</w:t>
            </w:r>
          </w:p>
        </w:tc>
        <w:tc>
          <w:tcPr>
            <w:tcW w:w="220" w:type="dxa"/>
            <w:vAlign w:val="bottom"/>
            <w:tcBorders>
              <w:top w:val="single" w:sz="8" w:color="auto"/>
            </w:tcBorders>
          </w:tcPr>
          <w:p>
            <w:pPr>
              <w:spacing w:after="0"/>
              <w:rPr>
                <w:sz w:val="10"/>
                <w:szCs w:val="10"/>
                <w:color w:val="auto"/>
              </w:rPr>
            </w:pPr>
          </w:p>
        </w:tc>
        <w:tc>
          <w:tcPr>
            <w:tcW w:w="160" w:type="dxa"/>
            <w:vAlign w:val="bottom"/>
            <w:tcBorders>
              <w:top w:val="single" w:sz="8" w:color="auto"/>
            </w:tcBorders>
          </w:tcPr>
          <w:p>
            <w:pPr>
              <w:spacing w:after="0"/>
              <w:rPr>
                <w:sz w:val="10"/>
                <w:szCs w:val="10"/>
                <w:color w:val="auto"/>
              </w:rPr>
            </w:pPr>
          </w:p>
        </w:tc>
        <w:tc>
          <w:tcPr>
            <w:tcW w:w="660" w:type="dxa"/>
            <w:vAlign w:val="bottom"/>
            <w:tcBorders>
              <w:top w:val="single" w:sz="8" w:color="auto"/>
            </w:tcBorders>
          </w:tcPr>
          <w:p>
            <w:pPr>
              <w:spacing w:after="0"/>
              <w:rPr>
                <w:sz w:val="10"/>
                <w:szCs w:val="10"/>
                <w:color w:val="auto"/>
              </w:rPr>
            </w:pPr>
          </w:p>
        </w:tc>
        <w:tc>
          <w:tcPr>
            <w:tcW w:w="220" w:type="dxa"/>
            <w:vAlign w:val="bottom"/>
          </w:tcPr>
          <w:p>
            <w:pPr>
              <w:spacing w:after="0"/>
              <w:rPr>
                <w:sz w:val="10"/>
                <w:szCs w:val="10"/>
                <w:color w:val="auto"/>
              </w:rPr>
            </w:pPr>
          </w:p>
        </w:tc>
        <w:tc>
          <w:tcPr>
            <w:tcW w:w="820" w:type="dxa"/>
            <w:vAlign w:val="bottom"/>
            <w:tcBorders>
              <w:top w:val="single" w:sz="8" w:color="auto"/>
            </w:tcBorders>
            <w:gridSpan w:val="2"/>
            <w:vMerge w:val="restart"/>
          </w:tcPr>
          <w:p>
            <w:pPr>
              <w:ind w:left="40"/>
              <w:spacing w:after="0"/>
              <w:rPr>
                <w:sz w:val="20"/>
                <w:szCs w:val="20"/>
                <w:color w:val="auto"/>
              </w:rPr>
            </w:pPr>
            <w:r>
              <w:rPr>
                <w:rFonts w:ascii="Times New Roman" w:cs="Times New Roman" w:eastAsia="Times New Roman" w:hAnsi="Times New Roman"/>
                <w:sz w:val="14"/>
                <w:szCs w:val="14"/>
                <w:b w:val="1"/>
                <w:bCs w:val="1"/>
                <w:color w:val="auto"/>
              </w:rPr>
              <w:t>Contractual</w:t>
            </w:r>
          </w:p>
        </w:tc>
        <w:tc>
          <w:tcPr>
            <w:tcW w:w="220" w:type="dxa"/>
            <w:vAlign w:val="bottom"/>
            <w:tcBorders>
              <w:top w:val="single" w:sz="8" w:color="auto"/>
            </w:tcBorders>
          </w:tcPr>
          <w:p>
            <w:pPr>
              <w:spacing w:after="0"/>
              <w:rPr>
                <w:sz w:val="10"/>
                <w:szCs w:val="10"/>
                <w:color w:val="auto"/>
              </w:rPr>
            </w:pPr>
          </w:p>
        </w:tc>
        <w:tc>
          <w:tcPr>
            <w:tcW w:w="820" w:type="dxa"/>
            <w:vAlign w:val="bottom"/>
            <w:tcBorders>
              <w:top w:val="single" w:sz="8" w:color="auto"/>
            </w:tcBorders>
            <w:gridSpan w:val="2"/>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Amortizatio</w:t>
            </w:r>
          </w:p>
        </w:tc>
        <w:tc>
          <w:tcPr>
            <w:tcW w:w="220" w:type="dxa"/>
            <w:vAlign w:val="bottom"/>
            <w:tcBorders>
              <w:top w:val="single" w:sz="8" w:color="auto"/>
            </w:tcBorders>
          </w:tcPr>
          <w:p>
            <w:pPr>
              <w:spacing w:after="0"/>
              <w:rPr>
                <w:sz w:val="10"/>
                <w:szCs w:val="10"/>
                <w:color w:val="auto"/>
              </w:rPr>
            </w:pPr>
          </w:p>
        </w:tc>
        <w:tc>
          <w:tcPr>
            <w:tcW w:w="160" w:type="dxa"/>
            <w:vAlign w:val="bottom"/>
            <w:tcBorders>
              <w:top w:val="single" w:sz="8" w:color="auto"/>
            </w:tcBorders>
          </w:tcPr>
          <w:p>
            <w:pPr>
              <w:spacing w:after="0"/>
              <w:rPr>
                <w:sz w:val="10"/>
                <w:szCs w:val="10"/>
                <w:color w:val="auto"/>
              </w:rPr>
            </w:pPr>
          </w:p>
        </w:tc>
        <w:tc>
          <w:tcPr>
            <w:tcW w:w="620" w:type="dxa"/>
            <w:vAlign w:val="bottom"/>
            <w:tcBorders>
              <w:top w:val="single" w:sz="8" w:color="auto"/>
            </w:tcBorders>
          </w:tcPr>
          <w:p>
            <w:pPr>
              <w:spacing w:after="0"/>
              <w:rPr>
                <w:sz w:val="10"/>
                <w:szCs w:val="10"/>
                <w:color w:val="auto"/>
              </w:rPr>
            </w:pPr>
          </w:p>
        </w:tc>
        <w:tc>
          <w:tcPr>
            <w:tcW w:w="1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8"/>
        </w:trPr>
        <w:tc>
          <w:tcPr>
            <w:tcW w:w="1760" w:type="dxa"/>
            <w:vAlign w:val="bottom"/>
          </w:tcPr>
          <w:p>
            <w:pPr>
              <w:spacing w:after="0"/>
              <w:rPr>
                <w:sz w:val="12"/>
                <w:szCs w:val="12"/>
                <w:color w:val="auto"/>
              </w:rPr>
            </w:pPr>
          </w:p>
        </w:tc>
        <w:tc>
          <w:tcPr>
            <w:tcW w:w="90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02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0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700" w:type="dxa"/>
            <w:vAlign w:val="bottom"/>
          </w:tcPr>
          <w:p>
            <w:pPr>
              <w:jc w:val="center"/>
              <w:ind w:right="55"/>
              <w:spacing w:after="0" w:line="149" w:lineRule="exact"/>
              <w:rPr>
                <w:sz w:val="20"/>
                <w:szCs w:val="20"/>
                <w:color w:val="auto"/>
              </w:rPr>
            </w:pPr>
            <w:r>
              <w:rPr>
                <w:rFonts w:ascii="Times New Roman" w:cs="Times New Roman" w:eastAsia="Times New Roman" w:hAnsi="Times New Roman"/>
                <w:sz w:val="14"/>
                <w:szCs w:val="14"/>
                <w:b w:val="1"/>
                <w:bCs w:val="1"/>
                <w:color w:val="auto"/>
              </w:rPr>
              <w:t>n of</w:t>
            </w:r>
          </w:p>
        </w:tc>
        <w:tc>
          <w:tcPr>
            <w:tcW w:w="2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6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2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720" w:type="dxa"/>
            <w:vAlign w:val="bottom"/>
          </w:tcPr>
          <w:p>
            <w:pPr>
              <w:jc w:val="center"/>
              <w:ind w:right="35"/>
              <w:spacing w:after="0" w:line="149" w:lineRule="exact"/>
              <w:rPr>
                <w:sz w:val="20"/>
                <w:szCs w:val="20"/>
                <w:color w:val="auto"/>
              </w:rPr>
            </w:pPr>
            <w:r>
              <w:rPr>
                <w:rFonts w:ascii="Times New Roman" w:cs="Times New Roman" w:eastAsia="Times New Roman" w:hAnsi="Times New Roman"/>
                <w:sz w:val="14"/>
                <w:szCs w:val="14"/>
                <w:b w:val="1"/>
                <w:bCs w:val="1"/>
                <w:color w:val="auto"/>
              </w:rPr>
              <w:t>n of</w:t>
            </w:r>
          </w:p>
        </w:tc>
        <w:tc>
          <w:tcPr>
            <w:tcW w:w="2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176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760" w:type="dxa"/>
            <w:vAlign w:val="bottom"/>
          </w:tcPr>
          <w:p>
            <w:pPr>
              <w:jc w:val="center"/>
              <w:ind w:right="75"/>
              <w:spacing w:after="0" w:line="149" w:lineRule="exact"/>
              <w:rPr>
                <w:sz w:val="20"/>
                <w:szCs w:val="20"/>
                <w:color w:val="auto"/>
              </w:rPr>
            </w:pPr>
            <w:r>
              <w:rPr>
                <w:rFonts w:ascii="Times New Roman" w:cs="Times New Roman" w:eastAsia="Times New Roman" w:hAnsi="Times New Roman"/>
                <w:sz w:val="14"/>
                <w:szCs w:val="14"/>
                <w:b w:val="1"/>
                <w:bCs w:val="1"/>
                <w:color w:val="auto"/>
              </w:rPr>
              <w:t>Interest</w:t>
            </w:r>
          </w:p>
        </w:tc>
        <w:tc>
          <w:tcPr>
            <w:tcW w:w="220" w:type="dxa"/>
            <w:vAlign w:val="bottom"/>
          </w:tcPr>
          <w:p>
            <w:pPr>
              <w:spacing w:after="0"/>
              <w:rPr>
                <w:sz w:val="12"/>
                <w:szCs w:val="12"/>
                <w:color w:val="auto"/>
              </w:rPr>
            </w:pPr>
          </w:p>
        </w:tc>
        <w:tc>
          <w:tcPr>
            <w:tcW w:w="1020" w:type="dxa"/>
            <w:vAlign w:val="bottom"/>
            <w:gridSpan w:val="2"/>
            <w:vMerge w:val="restart"/>
          </w:tcPr>
          <w:p>
            <w:pPr>
              <w:jc w:val="right"/>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600" w:type="dxa"/>
            <w:vAlign w:val="bottom"/>
            <w:vMerge w:val="restart"/>
          </w:tcPr>
          <w:p>
            <w:pPr>
              <w:jc w:val="right"/>
              <w:ind w:right="172"/>
              <w:spacing w:after="0"/>
              <w:rPr>
                <w:sz w:val="20"/>
                <w:szCs w:val="20"/>
                <w:color w:val="auto"/>
              </w:rPr>
            </w:pPr>
            <w:r>
              <w:rPr>
                <w:rFonts w:ascii="Times New Roman" w:cs="Times New Roman" w:eastAsia="Times New Roman" w:hAnsi="Times New Roman"/>
                <w:sz w:val="14"/>
                <w:szCs w:val="14"/>
                <w:b w:val="1"/>
                <w:bCs w:val="1"/>
                <w:color w:val="auto"/>
              </w:rPr>
              <w:t>Total</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680" w:type="dxa"/>
            <w:vAlign w:val="bottom"/>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Interest</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700" w:type="dxa"/>
            <w:vAlign w:val="bottom"/>
          </w:tcPr>
          <w:p>
            <w:pPr>
              <w:jc w:val="right"/>
              <w:ind w:right="95"/>
              <w:spacing w:after="0" w:line="149" w:lineRule="exact"/>
              <w:rPr>
                <w:sz w:val="20"/>
                <w:szCs w:val="20"/>
                <w:color w:val="auto"/>
              </w:rPr>
            </w:pPr>
            <w:r>
              <w:rPr>
                <w:rFonts w:ascii="Times New Roman" w:cs="Times New Roman" w:eastAsia="Times New Roman" w:hAnsi="Times New Roman"/>
                <w:sz w:val="14"/>
                <w:szCs w:val="14"/>
                <w:b w:val="1"/>
                <w:bCs w:val="1"/>
                <w:color w:val="auto"/>
                <w:w w:val="97"/>
              </w:rPr>
              <w:t>Issuance</w:t>
            </w:r>
          </w:p>
        </w:tc>
        <w:tc>
          <w:tcPr>
            <w:tcW w:w="2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660" w:type="dxa"/>
            <w:vAlign w:val="bottom"/>
            <w:vMerge w:val="restart"/>
          </w:tcPr>
          <w:p>
            <w:pPr>
              <w:jc w:val="right"/>
              <w:ind w:right="172"/>
              <w:spacing w:after="0"/>
              <w:rPr>
                <w:sz w:val="20"/>
                <w:szCs w:val="20"/>
                <w:color w:val="auto"/>
              </w:rPr>
            </w:pPr>
            <w:r>
              <w:rPr>
                <w:rFonts w:ascii="Times New Roman" w:cs="Times New Roman" w:eastAsia="Times New Roman" w:hAnsi="Times New Roman"/>
                <w:sz w:val="14"/>
                <w:szCs w:val="14"/>
                <w:b w:val="1"/>
                <w:bCs w:val="1"/>
                <w:color w:val="auto"/>
              </w:rPr>
              <w:t>Total</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700" w:type="dxa"/>
            <w:vAlign w:val="bottom"/>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Interest</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720" w:type="dxa"/>
            <w:vAlign w:val="bottom"/>
          </w:tcPr>
          <w:p>
            <w:pPr>
              <w:jc w:val="center"/>
              <w:ind w:right="75"/>
              <w:spacing w:after="0" w:line="149" w:lineRule="exact"/>
              <w:rPr>
                <w:sz w:val="20"/>
                <w:szCs w:val="20"/>
                <w:color w:val="auto"/>
              </w:rPr>
            </w:pPr>
            <w:r>
              <w:rPr>
                <w:rFonts w:ascii="Times New Roman" w:cs="Times New Roman" w:eastAsia="Times New Roman" w:hAnsi="Times New Roman"/>
                <w:sz w:val="14"/>
                <w:szCs w:val="14"/>
                <w:b w:val="1"/>
                <w:bCs w:val="1"/>
                <w:color w:val="auto"/>
              </w:rPr>
              <w:t>Issuance</w:t>
            </w:r>
          </w:p>
        </w:tc>
        <w:tc>
          <w:tcPr>
            <w:tcW w:w="2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740" w:type="dxa"/>
            <w:vAlign w:val="bottom"/>
            <w:gridSpan w:val="2"/>
            <w:vMerge w:val="restart"/>
          </w:tcPr>
          <w:p>
            <w:pPr>
              <w:ind w:left="60"/>
              <w:spacing w:after="0"/>
              <w:rPr>
                <w:sz w:val="20"/>
                <w:szCs w:val="20"/>
                <w:color w:val="auto"/>
              </w:rPr>
            </w:pPr>
            <w:r>
              <w:rPr>
                <w:rFonts w:ascii="Times New Roman" w:cs="Times New Roman" w:eastAsia="Times New Roman" w:hAnsi="Times New Roman"/>
                <w:sz w:val="14"/>
                <w:szCs w:val="14"/>
                <w:b w:val="1"/>
                <w:bCs w:val="1"/>
                <w:color w:val="auto"/>
              </w:rPr>
              <w:t>Total</w:t>
            </w:r>
          </w:p>
        </w:tc>
        <w:tc>
          <w:tcPr>
            <w:tcW w:w="0" w:type="dxa"/>
            <w:vAlign w:val="bottom"/>
          </w:tcPr>
          <w:p>
            <w:pPr>
              <w:spacing w:after="0"/>
              <w:rPr>
                <w:sz w:val="1"/>
                <w:szCs w:val="1"/>
                <w:color w:val="auto"/>
              </w:rPr>
            </w:pPr>
          </w:p>
        </w:tc>
      </w:tr>
      <w:tr>
        <w:trPr>
          <w:trHeight w:val="173"/>
        </w:trPr>
        <w:tc>
          <w:tcPr>
            <w:tcW w:w="17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760" w:type="dxa"/>
            <w:vAlign w:val="bottom"/>
          </w:tcPr>
          <w:p>
            <w:pPr>
              <w:jc w:val="center"/>
              <w:ind w:right="55"/>
              <w:spacing w:after="0"/>
              <w:rPr>
                <w:sz w:val="20"/>
                <w:szCs w:val="20"/>
                <w:color w:val="auto"/>
              </w:rPr>
            </w:pPr>
            <w:r>
              <w:rPr>
                <w:rFonts w:ascii="Times New Roman" w:cs="Times New Roman" w:eastAsia="Times New Roman" w:hAnsi="Times New Roman"/>
                <w:sz w:val="14"/>
                <w:szCs w:val="14"/>
                <w:b w:val="1"/>
                <w:bCs w:val="1"/>
                <w:color w:val="auto"/>
              </w:rPr>
              <w:t>Expense</w:t>
            </w:r>
          </w:p>
        </w:tc>
        <w:tc>
          <w:tcPr>
            <w:tcW w:w="220" w:type="dxa"/>
            <w:vAlign w:val="bottom"/>
          </w:tcPr>
          <w:p>
            <w:pPr>
              <w:spacing w:after="0"/>
              <w:rPr>
                <w:sz w:val="15"/>
                <w:szCs w:val="15"/>
                <w:color w:val="auto"/>
              </w:rPr>
            </w:pPr>
          </w:p>
        </w:tc>
        <w:tc>
          <w:tcPr>
            <w:tcW w:w="1020" w:type="dxa"/>
            <w:vAlign w:val="bottom"/>
            <w:gridSpan w:val="2"/>
            <w:vMerge w:val="continue"/>
          </w:tcPr>
          <w:p>
            <w:pPr>
              <w:spacing w:after="0"/>
              <w:rPr>
                <w:sz w:val="15"/>
                <w:szCs w:val="15"/>
                <w:color w:val="auto"/>
              </w:rPr>
            </w:pPr>
          </w:p>
        </w:tc>
        <w:tc>
          <w:tcPr>
            <w:tcW w:w="22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600" w:type="dxa"/>
            <w:vAlign w:val="bottom"/>
            <w:vMerge w:val="continue"/>
          </w:tcPr>
          <w:p>
            <w:pPr>
              <w:spacing w:after="0"/>
              <w:rPr>
                <w:sz w:val="15"/>
                <w:szCs w:val="15"/>
                <w:color w:val="auto"/>
              </w:rPr>
            </w:pPr>
          </w:p>
        </w:tc>
        <w:tc>
          <w:tcPr>
            <w:tcW w:w="22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68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Expense</w:t>
            </w:r>
          </w:p>
        </w:tc>
        <w:tc>
          <w:tcPr>
            <w:tcW w:w="22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700" w:type="dxa"/>
            <w:vAlign w:val="bottom"/>
          </w:tcPr>
          <w:p>
            <w:pPr>
              <w:jc w:val="center"/>
              <w:ind w:right="35"/>
              <w:spacing w:after="0"/>
              <w:rPr>
                <w:sz w:val="20"/>
                <w:szCs w:val="20"/>
                <w:color w:val="auto"/>
              </w:rPr>
            </w:pPr>
            <w:r>
              <w:rPr>
                <w:rFonts w:ascii="Times New Roman" w:cs="Times New Roman" w:eastAsia="Times New Roman" w:hAnsi="Times New Roman"/>
                <w:sz w:val="14"/>
                <w:szCs w:val="14"/>
                <w:b w:val="1"/>
                <w:bCs w:val="1"/>
                <w:color w:val="auto"/>
              </w:rPr>
              <w:t>Costs</w:t>
            </w:r>
          </w:p>
        </w:tc>
        <w:tc>
          <w:tcPr>
            <w:tcW w:w="2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660" w:type="dxa"/>
            <w:vAlign w:val="bottom"/>
            <w:vMerge w:val="continue"/>
          </w:tcPr>
          <w:p>
            <w:pPr>
              <w:spacing w:after="0"/>
              <w:rPr>
                <w:sz w:val="15"/>
                <w:szCs w:val="15"/>
                <w:color w:val="auto"/>
              </w:rPr>
            </w:pPr>
          </w:p>
        </w:tc>
        <w:tc>
          <w:tcPr>
            <w:tcW w:w="22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70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Expense</w:t>
            </w:r>
          </w:p>
        </w:tc>
        <w:tc>
          <w:tcPr>
            <w:tcW w:w="2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720" w:type="dxa"/>
            <w:vAlign w:val="bottom"/>
          </w:tcPr>
          <w:p>
            <w:pPr>
              <w:jc w:val="center"/>
              <w:ind w:right="35"/>
              <w:spacing w:after="0"/>
              <w:rPr>
                <w:sz w:val="20"/>
                <w:szCs w:val="20"/>
                <w:color w:val="auto"/>
              </w:rPr>
            </w:pPr>
            <w:r>
              <w:rPr>
                <w:rFonts w:ascii="Times New Roman" w:cs="Times New Roman" w:eastAsia="Times New Roman" w:hAnsi="Times New Roman"/>
                <w:sz w:val="14"/>
                <w:szCs w:val="14"/>
                <w:b w:val="1"/>
                <w:bCs w:val="1"/>
                <w:color w:val="auto"/>
                <w:w w:val="97"/>
              </w:rPr>
              <w:t>Costs</w:t>
            </w:r>
          </w:p>
        </w:tc>
        <w:tc>
          <w:tcPr>
            <w:tcW w:w="2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740" w:type="dxa"/>
            <w:vAlign w:val="bottom"/>
            <w:gridSpan w:val="2"/>
            <w:vMerge w:val="continue"/>
          </w:tcPr>
          <w:p>
            <w:pPr>
              <w:spacing w:after="0"/>
              <w:rPr>
                <w:sz w:val="15"/>
                <w:szCs w:val="15"/>
                <w:color w:val="auto"/>
              </w:rPr>
            </w:pPr>
          </w:p>
        </w:tc>
        <w:tc>
          <w:tcPr>
            <w:tcW w:w="0" w:type="dxa"/>
            <w:vAlign w:val="bottom"/>
          </w:tcPr>
          <w:p>
            <w:pPr>
              <w:spacing w:after="0"/>
              <w:rPr>
                <w:sz w:val="1"/>
                <w:szCs w:val="1"/>
                <w:color w:val="auto"/>
              </w:rPr>
            </w:pPr>
          </w:p>
        </w:tc>
      </w:tr>
      <w:tr>
        <w:trPr>
          <w:trHeight w:val="191"/>
        </w:trPr>
        <w:tc>
          <w:tcPr>
            <w:tcW w:w="1760" w:type="dxa"/>
            <w:vAlign w:val="bottom"/>
            <w:shd w:val="clear" w:color="auto" w:fill="CFF0FC"/>
          </w:tcPr>
          <w:p>
            <w:pPr>
              <w:ind w:left="20"/>
              <w:spacing w:after="0" w:line="191" w:lineRule="exact"/>
              <w:rPr>
                <w:sz w:val="20"/>
                <w:szCs w:val="20"/>
                <w:color w:val="auto"/>
              </w:rPr>
            </w:pPr>
            <w:r>
              <w:rPr>
                <w:rFonts w:ascii="Times New Roman" w:cs="Times New Roman" w:eastAsia="Times New Roman" w:hAnsi="Times New Roman"/>
                <w:sz w:val="18"/>
                <w:szCs w:val="18"/>
                <w:color w:val="auto"/>
              </w:rPr>
              <w:t>2025 Convertible</w:t>
            </w:r>
          </w:p>
        </w:tc>
        <w:tc>
          <w:tcPr>
            <w:tcW w:w="140" w:type="dxa"/>
            <w:vAlign w:val="bottom"/>
            <w:tcBorders>
              <w:top w:val="single" w:sz="8" w:color="auto"/>
            </w:tcBorders>
            <w:shd w:val="clear" w:color="auto" w:fill="CFF0FC"/>
          </w:tcPr>
          <w:p>
            <w:pPr>
              <w:spacing w:after="0"/>
              <w:rPr>
                <w:sz w:val="16"/>
                <w:szCs w:val="16"/>
                <w:color w:val="auto"/>
              </w:rPr>
            </w:pPr>
          </w:p>
        </w:tc>
        <w:tc>
          <w:tcPr>
            <w:tcW w:w="760" w:type="dxa"/>
            <w:vAlign w:val="bottom"/>
            <w:tcBorders>
              <w:top w:val="single" w:sz="8" w:color="auto"/>
            </w:tcBorders>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300" w:type="dxa"/>
            <w:vAlign w:val="bottom"/>
            <w:tcBorders>
              <w:top w:val="single" w:sz="8" w:color="auto"/>
            </w:tcBorders>
            <w:shd w:val="clear" w:color="auto" w:fill="CFF0FC"/>
          </w:tcPr>
          <w:p>
            <w:pPr>
              <w:spacing w:after="0"/>
              <w:rPr>
                <w:sz w:val="16"/>
                <w:szCs w:val="16"/>
                <w:color w:val="auto"/>
              </w:rPr>
            </w:pPr>
          </w:p>
        </w:tc>
        <w:tc>
          <w:tcPr>
            <w:tcW w:w="720" w:type="dxa"/>
            <w:vAlign w:val="bottom"/>
            <w:tcBorders>
              <w:top w:val="single" w:sz="8" w:color="auto"/>
            </w:tcBorders>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220" w:type="dxa"/>
            <w:vAlign w:val="bottom"/>
            <w:tcBorders>
              <w:top w:val="single" w:sz="8" w:color="auto"/>
            </w:tcBorders>
            <w:shd w:val="clear" w:color="auto" w:fill="CFF0FC"/>
          </w:tcPr>
          <w:p>
            <w:pPr>
              <w:spacing w:after="0"/>
              <w:rPr>
                <w:sz w:val="16"/>
                <w:szCs w:val="16"/>
                <w:color w:val="auto"/>
              </w:rPr>
            </w:pPr>
          </w:p>
        </w:tc>
        <w:tc>
          <w:tcPr>
            <w:tcW w:w="600" w:type="dxa"/>
            <w:vAlign w:val="bottom"/>
            <w:tcBorders>
              <w:top w:val="single" w:sz="8" w:color="auto"/>
            </w:tcBorders>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120" w:type="dxa"/>
            <w:vAlign w:val="bottom"/>
            <w:tcBorders>
              <w:top w:val="single" w:sz="8" w:color="auto"/>
            </w:tcBorders>
            <w:shd w:val="clear" w:color="auto" w:fill="CFF0FC"/>
          </w:tcPr>
          <w:p>
            <w:pPr>
              <w:spacing w:after="0"/>
              <w:rPr>
                <w:sz w:val="16"/>
                <w:szCs w:val="16"/>
                <w:color w:val="auto"/>
              </w:rPr>
            </w:pPr>
          </w:p>
        </w:tc>
        <w:tc>
          <w:tcPr>
            <w:tcW w:w="680" w:type="dxa"/>
            <w:vAlign w:val="bottom"/>
            <w:tcBorders>
              <w:top w:val="single" w:sz="8" w:color="auto"/>
            </w:tcBorders>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120" w:type="dxa"/>
            <w:vAlign w:val="bottom"/>
            <w:tcBorders>
              <w:top w:val="single" w:sz="8" w:color="auto"/>
            </w:tcBorders>
            <w:shd w:val="clear" w:color="auto" w:fill="CFF0FC"/>
          </w:tcPr>
          <w:p>
            <w:pPr>
              <w:spacing w:after="0"/>
              <w:rPr>
                <w:sz w:val="16"/>
                <w:szCs w:val="16"/>
                <w:color w:val="auto"/>
              </w:rPr>
            </w:pPr>
          </w:p>
        </w:tc>
        <w:tc>
          <w:tcPr>
            <w:tcW w:w="700" w:type="dxa"/>
            <w:vAlign w:val="bottom"/>
            <w:tcBorders>
              <w:top w:val="single" w:sz="8" w:color="auto"/>
            </w:tcBorders>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160" w:type="dxa"/>
            <w:vAlign w:val="bottom"/>
            <w:tcBorders>
              <w:top w:val="single" w:sz="8" w:color="auto"/>
            </w:tcBorders>
            <w:shd w:val="clear" w:color="auto" w:fill="CFF0FC"/>
          </w:tcPr>
          <w:p>
            <w:pPr>
              <w:spacing w:after="0"/>
              <w:rPr>
                <w:sz w:val="16"/>
                <w:szCs w:val="16"/>
                <w:color w:val="auto"/>
              </w:rPr>
            </w:pPr>
          </w:p>
        </w:tc>
        <w:tc>
          <w:tcPr>
            <w:tcW w:w="660" w:type="dxa"/>
            <w:vAlign w:val="bottom"/>
            <w:tcBorders>
              <w:top w:val="single" w:sz="8" w:color="auto"/>
            </w:tcBorders>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120" w:type="dxa"/>
            <w:vAlign w:val="bottom"/>
            <w:tcBorders>
              <w:top w:val="single" w:sz="8" w:color="auto"/>
            </w:tcBorders>
            <w:shd w:val="clear" w:color="auto" w:fill="CFF0FC"/>
          </w:tcPr>
          <w:p>
            <w:pPr>
              <w:spacing w:after="0"/>
              <w:rPr>
                <w:sz w:val="16"/>
                <w:szCs w:val="16"/>
                <w:color w:val="auto"/>
              </w:rPr>
            </w:pPr>
          </w:p>
        </w:tc>
        <w:tc>
          <w:tcPr>
            <w:tcW w:w="700" w:type="dxa"/>
            <w:vAlign w:val="bottom"/>
            <w:tcBorders>
              <w:top w:val="single" w:sz="8" w:color="auto"/>
            </w:tcBorders>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100" w:type="dxa"/>
            <w:vAlign w:val="bottom"/>
            <w:tcBorders>
              <w:top w:val="single" w:sz="8" w:color="auto"/>
            </w:tcBorders>
            <w:shd w:val="clear" w:color="auto" w:fill="CFF0FC"/>
          </w:tcPr>
          <w:p>
            <w:pPr>
              <w:spacing w:after="0"/>
              <w:rPr>
                <w:sz w:val="16"/>
                <w:szCs w:val="16"/>
                <w:color w:val="auto"/>
              </w:rPr>
            </w:pPr>
          </w:p>
        </w:tc>
        <w:tc>
          <w:tcPr>
            <w:tcW w:w="720" w:type="dxa"/>
            <w:vAlign w:val="bottom"/>
            <w:tcBorders>
              <w:top w:val="single" w:sz="8" w:color="auto"/>
            </w:tcBorders>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160" w:type="dxa"/>
            <w:vAlign w:val="bottom"/>
            <w:tcBorders>
              <w:top w:val="single" w:sz="8" w:color="auto"/>
            </w:tcBorders>
            <w:shd w:val="clear" w:color="auto" w:fill="CFF0FC"/>
          </w:tcPr>
          <w:p>
            <w:pPr>
              <w:spacing w:after="0"/>
              <w:rPr>
                <w:sz w:val="16"/>
                <w:szCs w:val="16"/>
                <w:color w:val="auto"/>
              </w:rPr>
            </w:pPr>
          </w:p>
        </w:tc>
        <w:tc>
          <w:tcPr>
            <w:tcW w:w="620" w:type="dxa"/>
            <w:vAlign w:val="bottom"/>
            <w:tcBorders>
              <w:top w:val="single" w:sz="8" w:color="auto"/>
            </w:tcBorders>
            <w:shd w:val="clear" w:color="auto" w:fill="CFF0FC"/>
          </w:tcPr>
          <w:p>
            <w:pPr>
              <w:spacing w:after="0"/>
              <w:rPr>
                <w:sz w:val="16"/>
                <w:szCs w:val="16"/>
                <w:color w:val="auto"/>
              </w:rPr>
            </w:pPr>
          </w:p>
        </w:tc>
        <w:tc>
          <w:tcPr>
            <w:tcW w:w="12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234"/>
        </w:trPr>
        <w:tc>
          <w:tcPr>
            <w:tcW w:w="1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Notes</w:t>
            </w: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2,371</w:t>
            </w:r>
          </w:p>
        </w:tc>
        <w:tc>
          <w:tcPr>
            <w:tcW w:w="5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1,494</w:t>
            </w:r>
          </w:p>
        </w:tc>
        <w:tc>
          <w:tcPr>
            <w:tcW w:w="44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3,865</w:t>
            </w:r>
          </w:p>
        </w:tc>
        <w:tc>
          <w:tcPr>
            <w:tcW w:w="34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4,875</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3,043</w:t>
            </w:r>
          </w:p>
        </w:tc>
        <w:tc>
          <w:tcPr>
            <w:tcW w:w="38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7,918</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4,875</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3,006</w:t>
            </w:r>
          </w:p>
        </w:tc>
        <w:tc>
          <w:tcPr>
            <w:tcW w:w="38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7,881</w:t>
            </w:r>
          </w:p>
        </w:tc>
        <w:tc>
          <w:tcPr>
            <w:tcW w:w="12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198"/>
        </w:trPr>
        <w:tc>
          <w:tcPr>
            <w:tcW w:w="1760" w:type="dxa"/>
            <w:vAlign w:val="bottom"/>
          </w:tcPr>
          <w:p>
            <w:pPr>
              <w:ind w:left="20"/>
              <w:spacing w:after="0" w:line="198" w:lineRule="exact"/>
              <w:rPr>
                <w:sz w:val="20"/>
                <w:szCs w:val="20"/>
                <w:color w:val="auto"/>
              </w:rPr>
            </w:pPr>
            <w:r>
              <w:rPr>
                <w:rFonts w:ascii="Times New Roman" w:cs="Times New Roman" w:eastAsia="Times New Roman" w:hAnsi="Times New Roman"/>
                <w:sz w:val="18"/>
                <w:szCs w:val="18"/>
                <w:color w:val="auto"/>
              </w:rPr>
              <w:t>2027 Convertible</w:t>
            </w:r>
          </w:p>
        </w:tc>
        <w:tc>
          <w:tcPr>
            <w:tcW w:w="140" w:type="dxa"/>
            <w:vAlign w:val="bottom"/>
          </w:tcPr>
          <w:p>
            <w:pPr>
              <w:spacing w:after="0"/>
              <w:rPr>
                <w:sz w:val="17"/>
                <w:szCs w:val="17"/>
                <w:color w:val="auto"/>
              </w:rPr>
            </w:pPr>
          </w:p>
        </w:tc>
        <w:tc>
          <w:tcPr>
            <w:tcW w:w="76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7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6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68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7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66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7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7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6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34"/>
        </w:trPr>
        <w:tc>
          <w:tcPr>
            <w:tcW w:w="1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Notes</w:t>
            </w:r>
          </w:p>
        </w:tc>
        <w:tc>
          <w:tcPr>
            <w:tcW w:w="140" w:type="dxa"/>
            <w:vAlign w:val="bottom"/>
          </w:tcPr>
          <w:p>
            <w:pPr>
              <w:spacing w:after="0"/>
              <w:rPr>
                <w:sz w:val="20"/>
                <w:szCs w:val="20"/>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4,046</w:t>
            </w:r>
          </w:p>
        </w:tc>
        <w:tc>
          <w:tcPr>
            <w:tcW w:w="2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4,046</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4,029</w:t>
            </w:r>
          </w:p>
        </w:tc>
        <w:tc>
          <w:tcPr>
            <w:tcW w:w="22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4,029</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4,014</w:t>
            </w:r>
          </w:p>
        </w:tc>
        <w:tc>
          <w:tcPr>
            <w:tcW w:w="22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4,014</w:t>
            </w:r>
          </w:p>
        </w:tc>
        <w:tc>
          <w:tcPr>
            <w:tcW w:w="12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98"/>
        </w:trPr>
        <w:tc>
          <w:tcPr>
            <w:tcW w:w="1760" w:type="dxa"/>
            <w:vAlign w:val="bottom"/>
            <w:shd w:val="clear" w:color="auto" w:fill="CFF0FC"/>
          </w:tcPr>
          <w:p>
            <w:pPr>
              <w:ind w:left="20"/>
              <w:spacing w:after="0" w:line="198" w:lineRule="exact"/>
              <w:rPr>
                <w:sz w:val="20"/>
                <w:szCs w:val="20"/>
                <w:color w:val="auto"/>
              </w:rPr>
            </w:pPr>
            <w:r>
              <w:rPr>
                <w:rFonts w:ascii="Times New Roman" w:cs="Times New Roman" w:eastAsia="Times New Roman" w:hAnsi="Times New Roman"/>
                <w:sz w:val="18"/>
                <w:szCs w:val="18"/>
                <w:color w:val="auto"/>
              </w:rPr>
              <w:t>2028 Convertible</w:t>
            </w:r>
          </w:p>
        </w:tc>
        <w:tc>
          <w:tcPr>
            <w:tcW w:w="140" w:type="dxa"/>
            <w:vAlign w:val="bottom"/>
            <w:shd w:val="clear" w:color="auto" w:fill="CFF0FC"/>
          </w:tcPr>
          <w:p>
            <w:pPr>
              <w:spacing w:after="0"/>
              <w:rPr>
                <w:sz w:val="17"/>
                <w:szCs w:val="17"/>
                <w:color w:val="auto"/>
              </w:rPr>
            </w:pPr>
          </w:p>
        </w:tc>
        <w:tc>
          <w:tcPr>
            <w:tcW w:w="76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6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68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66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234"/>
        </w:trPr>
        <w:tc>
          <w:tcPr>
            <w:tcW w:w="1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Notes</w:t>
            </w:r>
          </w:p>
        </w:tc>
        <w:tc>
          <w:tcPr>
            <w:tcW w:w="140" w:type="dxa"/>
            <w:vAlign w:val="bottom"/>
            <w:shd w:val="clear" w:color="auto" w:fill="CFF0FC"/>
          </w:tcPr>
          <w:p>
            <w:pPr>
              <w:spacing w:after="0"/>
              <w:rPr>
                <w:sz w:val="20"/>
                <w:szCs w:val="20"/>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1,771</w:t>
            </w:r>
          </w:p>
        </w:tc>
        <w:tc>
          <w:tcPr>
            <w:tcW w:w="220" w:type="dxa"/>
            <w:vAlign w:val="bottom"/>
            <w:shd w:val="clear" w:color="auto" w:fill="CFF0FC"/>
          </w:tcPr>
          <w:p>
            <w:pPr>
              <w:spacing w:after="0"/>
              <w:rPr>
                <w:sz w:val="20"/>
                <w:szCs w:val="20"/>
                <w:color w:val="auto"/>
              </w:rPr>
            </w:pPr>
          </w:p>
        </w:tc>
        <w:tc>
          <w:tcPr>
            <w:tcW w:w="300" w:type="dxa"/>
            <w:vAlign w:val="bottom"/>
            <w:shd w:val="clear" w:color="auto" w:fill="CFF0FC"/>
          </w:tcPr>
          <w:p>
            <w:pPr>
              <w:spacing w:after="0"/>
              <w:rPr>
                <w:sz w:val="20"/>
                <w:szCs w:val="20"/>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1,168</w:t>
            </w:r>
          </w:p>
        </w:tc>
        <w:tc>
          <w:tcPr>
            <w:tcW w:w="22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2,939</w:t>
            </w:r>
          </w:p>
        </w:tc>
        <w:tc>
          <w:tcPr>
            <w:tcW w:w="22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60" w:type="dxa"/>
            <w:vAlign w:val="bottom"/>
            <w:shd w:val="clear" w:color="auto" w:fill="CFF0FC"/>
          </w:tcPr>
          <w:p>
            <w:pPr>
              <w:spacing w:after="0"/>
              <w:rPr>
                <w:sz w:val="20"/>
                <w:szCs w:val="20"/>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60" w:type="dxa"/>
            <w:vAlign w:val="bottom"/>
            <w:shd w:val="clear" w:color="auto" w:fill="CFF0FC"/>
          </w:tcPr>
          <w:p>
            <w:pPr>
              <w:spacing w:after="0"/>
              <w:rPr>
                <w:sz w:val="20"/>
                <w:szCs w:val="20"/>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198"/>
        </w:trPr>
        <w:tc>
          <w:tcPr>
            <w:tcW w:w="1760" w:type="dxa"/>
            <w:vAlign w:val="bottom"/>
          </w:tcPr>
          <w:p>
            <w:pPr>
              <w:ind w:left="20"/>
              <w:spacing w:after="0" w:line="198" w:lineRule="exact"/>
              <w:rPr>
                <w:sz w:val="20"/>
                <w:szCs w:val="20"/>
                <w:color w:val="auto"/>
              </w:rPr>
            </w:pPr>
            <w:r>
              <w:rPr>
                <w:rFonts w:ascii="Times New Roman" w:cs="Times New Roman" w:eastAsia="Times New Roman" w:hAnsi="Times New Roman"/>
                <w:sz w:val="18"/>
                <w:szCs w:val="18"/>
                <w:color w:val="auto"/>
              </w:rPr>
              <w:t>2029 Convertible</w:t>
            </w:r>
          </w:p>
        </w:tc>
        <w:tc>
          <w:tcPr>
            <w:tcW w:w="140" w:type="dxa"/>
            <w:vAlign w:val="bottom"/>
          </w:tcPr>
          <w:p>
            <w:pPr>
              <w:spacing w:after="0"/>
              <w:rPr>
                <w:sz w:val="17"/>
                <w:szCs w:val="17"/>
                <w:color w:val="auto"/>
              </w:rPr>
            </w:pPr>
          </w:p>
        </w:tc>
        <w:tc>
          <w:tcPr>
            <w:tcW w:w="76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7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6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68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7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66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7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7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6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34"/>
        </w:trPr>
        <w:tc>
          <w:tcPr>
            <w:tcW w:w="1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Notes</w:t>
            </w:r>
          </w:p>
        </w:tc>
        <w:tc>
          <w:tcPr>
            <w:tcW w:w="140" w:type="dxa"/>
            <w:vAlign w:val="bottom"/>
          </w:tcPr>
          <w:p>
            <w:pPr>
              <w:spacing w:after="0"/>
              <w:rPr>
                <w:sz w:val="20"/>
                <w:szCs w:val="20"/>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787</w:t>
            </w:r>
          </w:p>
        </w:tc>
        <w:tc>
          <w:tcPr>
            <w:tcW w:w="2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787</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98"/>
        </w:trPr>
        <w:tc>
          <w:tcPr>
            <w:tcW w:w="1760" w:type="dxa"/>
            <w:vAlign w:val="bottom"/>
            <w:shd w:val="clear" w:color="auto" w:fill="CFF0FC"/>
          </w:tcPr>
          <w:p>
            <w:pPr>
              <w:ind w:left="20"/>
              <w:spacing w:after="0" w:line="198" w:lineRule="exact"/>
              <w:rPr>
                <w:sz w:val="20"/>
                <w:szCs w:val="20"/>
                <w:color w:val="auto"/>
              </w:rPr>
            </w:pPr>
            <w:r>
              <w:rPr>
                <w:rFonts w:ascii="Times New Roman" w:cs="Times New Roman" w:eastAsia="Times New Roman" w:hAnsi="Times New Roman"/>
                <w:sz w:val="18"/>
                <w:szCs w:val="18"/>
                <w:color w:val="auto"/>
              </w:rPr>
              <w:t>2030 Convertible</w:t>
            </w:r>
          </w:p>
        </w:tc>
        <w:tc>
          <w:tcPr>
            <w:tcW w:w="140" w:type="dxa"/>
            <w:vAlign w:val="bottom"/>
            <w:shd w:val="clear" w:color="auto" w:fill="CFF0FC"/>
          </w:tcPr>
          <w:p>
            <w:pPr>
              <w:spacing w:after="0"/>
              <w:rPr>
                <w:sz w:val="17"/>
                <w:szCs w:val="17"/>
                <w:color w:val="auto"/>
              </w:rPr>
            </w:pPr>
          </w:p>
        </w:tc>
        <w:tc>
          <w:tcPr>
            <w:tcW w:w="76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6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68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66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234"/>
        </w:trPr>
        <w:tc>
          <w:tcPr>
            <w:tcW w:w="1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Notes</w:t>
            </w:r>
          </w:p>
        </w:tc>
        <w:tc>
          <w:tcPr>
            <w:tcW w:w="140" w:type="dxa"/>
            <w:vAlign w:val="bottom"/>
            <w:shd w:val="clear" w:color="auto" w:fill="CFF0FC"/>
          </w:tcPr>
          <w:p>
            <w:pPr>
              <w:spacing w:after="0"/>
              <w:rPr>
                <w:sz w:val="20"/>
                <w:szCs w:val="20"/>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4,069</w:t>
            </w:r>
          </w:p>
        </w:tc>
        <w:tc>
          <w:tcPr>
            <w:tcW w:w="220" w:type="dxa"/>
            <w:vAlign w:val="bottom"/>
            <w:shd w:val="clear" w:color="auto" w:fill="CFF0FC"/>
          </w:tcPr>
          <w:p>
            <w:pPr>
              <w:spacing w:after="0"/>
              <w:rPr>
                <w:sz w:val="20"/>
                <w:szCs w:val="20"/>
                <w:color w:val="auto"/>
              </w:rPr>
            </w:pPr>
          </w:p>
        </w:tc>
        <w:tc>
          <w:tcPr>
            <w:tcW w:w="300" w:type="dxa"/>
            <w:vAlign w:val="bottom"/>
            <w:shd w:val="clear" w:color="auto" w:fill="CFF0FC"/>
          </w:tcPr>
          <w:p>
            <w:pPr>
              <w:spacing w:after="0"/>
              <w:rPr>
                <w:sz w:val="20"/>
                <w:szCs w:val="20"/>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3,172</w:t>
            </w:r>
          </w:p>
        </w:tc>
        <w:tc>
          <w:tcPr>
            <w:tcW w:w="22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7,241</w:t>
            </w:r>
          </w:p>
        </w:tc>
        <w:tc>
          <w:tcPr>
            <w:tcW w:w="22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60" w:type="dxa"/>
            <w:vAlign w:val="bottom"/>
            <w:shd w:val="clear" w:color="auto" w:fill="CFF0FC"/>
          </w:tcPr>
          <w:p>
            <w:pPr>
              <w:spacing w:after="0"/>
              <w:rPr>
                <w:sz w:val="20"/>
                <w:szCs w:val="20"/>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60" w:type="dxa"/>
            <w:vAlign w:val="bottom"/>
            <w:shd w:val="clear" w:color="auto" w:fill="CFF0FC"/>
          </w:tcPr>
          <w:p>
            <w:pPr>
              <w:spacing w:after="0"/>
              <w:rPr>
                <w:sz w:val="20"/>
                <w:szCs w:val="20"/>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198"/>
        </w:trPr>
        <w:tc>
          <w:tcPr>
            <w:tcW w:w="1760" w:type="dxa"/>
            <w:vAlign w:val="bottom"/>
          </w:tcPr>
          <w:p>
            <w:pPr>
              <w:ind w:left="20"/>
              <w:spacing w:after="0" w:line="198" w:lineRule="exact"/>
              <w:rPr>
                <w:sz w:val="20"/>
                <w:szCs w:val="20"/>
                <w:color w:val="auto"/>
              </w:rPr>
            </w:pPr>
            <w:r>
              <w:rPr>
                <w:rFonts w:ascii="Times New Roman" w:cs="Times New Roman" w:eastAsia="Times New Roman" w:hAnsi="Times New Roman"/>
                <w:sz w:val="18"/>
                <w:szCs w:val="18"/>
                <w:color w:val="auto"/>
              </w:rPr>
              <w:t>2031 Convertible</w:t>
            </w:r>
          </w:p>
        </w:tc>
        <w:tc>
          <w:tcPr>
            <w:tcW w:w="140" w:type="dxa"/>
            <w:vAlign w:val="bottom"/>
          </w:tcPr>
          <w:p>
            <w:pPr>
              <w:spacing w:after="0"/>
              <w:rPr>
                <w:sz w:val="17"/>
                <w:szCs w:val="17"/>
                <w:color w:val="auto"/>
              </w:rPr>
            </w:pPr>
          </w:p>
        </w:tc>
        <w:tc>
          <w:tcPr>
            <w:tcW w:w="76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7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6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68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7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66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7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7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62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34"/>
        </w:trPr>
        <w:tc>
          <w:tcPr>
            <w:tcW w:w="1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Notes</w:t>
            </w:r>
          </w:p>
        </w:tc>
        <w:tc>
          <w:tcPr>
            <w:tcW w:w="140" w:type="dxa"/>
            <w:vAlign w:val="bottom"/>
          </w:tcPr>
          <w:p>
            <w:pPr>
              <w:spacing w:after="0"/>
              <w:rPr>
                <w:sz w:val="20"/>
                <w:szCs w:val="20"/>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4,154</w:t>
            </w:r>
          </w:p>
        </w:tc>
        <w:tc>
          <w:tcPr>
            <w:tcW w:w="22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1,909</w:t>
            </w:r>
          </w:p>
        </w:tc>
        <w:tc>
          <w:tcPr>
            <w:tcW w:w="2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6,063</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98"/>
        </w:trPr>
        <w:tc>
          <w:tcPr>
            <w:tcW w:w="1760" w:type="dxa"/>
            <w:vAlign w:val="bottom"/>
            <w:shd w:val="clear" w:color="auto" w:fill="CFF0FC"/>
          </w:tcPr>
          <w:p>
            <w:pPr>
              <w:ind w:left="20"/>
              <w:spacing w:after="0" w:line="198" w:lineRule="exact"/>
              <w:rPr>
                <w:sz w:val="20"/>
                <w:szCs w:val="20"/>
                <w:color w:val="auto"/>
              </w:rPr>
            </w:pPr>
            <w:r>
              <w:rPr>
                <w:rFonts w:ascii="Times New Roman" w:cs="Times New Roman" w:eastAsia="Times New Roman" w:hAnsi="Times New Roman"/>
                <w:sz w:val="18"/>
                <w:szCs w:val="18"/>
                <w:color w:val="auto"/>
              </w:rPr>
              <w:t>2032 Convertible</w:t>
            </w:r>
          </w:p>
        </w:tc>
        <w:tc>
          <w:tcPr>
            <w:tcW w:w="140" w:type="dxa"/>
            <w:vAlign w:val="bottom"/>
            <w:shd w:val="clear" w:color="auto" w:fill="CFF0FC"/>
          </w:tcPr>
          <w:p>
            <w:pPr>
              <w:spacing w:after="0"/>
              <w:rPr>
                <w:sz w:val="17"/>
                <w:szCs w:val="17"/>
                <w:color w:val="auto"/>
              </w:rPr>
            </w:pPr>
          </w:p>
        </w:tc>
        <w:tc>
          <w:tcPr>
            <w:tcW w:w="76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9,650</w:t>
            </w:r>
          </w:p>
        </w:tc>
        <w:tc>
          <w:tcPr>
            <w:tcW w:w="22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72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1,417</w:t>
            </w:r>
          </w:p>
        </w:tc>
        <w:tc>
          <w:tcPr>
            <w:tcW w:w="22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60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11,067</w:t>
            </w:r>
          </w:p>
        </w:tc>
        <w:tc>
          <w:tcPr>
            <w:tcW w:w="2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68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66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2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62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221"/>
        </w:trPr>
        <w:tc>
          <w:tcPr>
            <w:tcW w:w="176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Notes</w:t>
            </w:r>
          </w:p>
        </w:tc>
        <w:tc>
          <w:tcPr>
            <w:tcW w:w="140" w:type="dxa"/>
            <w:vAlign w:val="bottom"/>
            <w:tcBorders>
              <w:bottom w:val="single" w:sz="8" w:color="auto"/>
            </w:tcBorders>
            <w:shd w:val="clear" w:color="auto" w:fill="CFF0FC"/>
          </w:tcPr>
          <w:p>
            <w:pPr>
              <w:spacing w:after="0"/>
              <w:rPr>
                <w:sz w:val="19"/>
                <w:szCs w:val="19"/>
                <w:color w:val="auto"/>
              </w:rPr>
            </w:pPr>
          </w:p>
        </w:tc>
        <w:tc>
          <w:tcPr>
            <w:tcW w:w="760" w:type="dxa"/>
            <w:vAlign w:val="bottom"/>
            <w:tcBorders>
              <w:bottom w:val="single" w:sz="8" w:color="auto"/>
            </w:tcBorders>
            <w:vMerge w:val="continue"/>
            <w:shd w:val="clear" w:color="auto" w:fill="CFF0FC"/>
          </w:tcPr>
          <w:p>
            <w:pPr>
              <w:spacing w:after="0"/>
              <w:rPr>
                <w:sz w:val="19"/>
                <w:szCs w:val="19"/>
                <w:color w:val="auto"/>
              </w:rPr>
            </w:pPr>
          </w:p>
        </w:tc>
        <w:tc>
          <w:tcPr>
            <w:tcW w:w="220" w:type="dxa"/>
            <w:vAlign w:val="bottom"/>
            <w:tcBorders>
              <w:bottom w:val="single" w:sz="8" w:color="CFF0FC"/>
            </w:tcBorders>
            <w:shd w:val="clear" w:color="auto" w:fill="CFF0FC"/>
          </w:tcPr>
          <w:p>
            <w:pPr>
              <w:spacing w:after="0"/>
              <w:rPr>
                <w:sz w:val="19"/>
                <w:szCs w:val="19"/>
                <w:color w:val="auto"/>
              </w:rPr>
            </w:pPr>
          </w:p>
        </w:tc>
        <w:tc>
          <w:tcPr>
            <w:tcW w:w="300" w:type="dxa"/>
            <w:vAlign w:val="bottom"/>
            <w:tcBorders>
              <w:bottom w:val="single" w:sz="8" w:color="auto"/>
            </w:tcBorders>
            <w:shd w:val="clear" w:color="auto" w:fill="CFF0FC"/>
          </w:tcPr>
          <w:p>
            <w:pPr>
              <w:spacing w:after="0"/>
              <w:rPr>
                <w:sz w:val="19"/>
                <w:szCs w:val="19"/>
                <w:color w:val="auto"/>
              </w:rPr>
            </w:pPr>
          </w:p>
        </w:tc>
        <w:tc>
          <w:tcPr>
            <w:tcW w:w="720" w:type="dxa"/>
            <w:vAlign w:val="bottom"/>
            <w:tcBorders>
              <w:bottom w:val="single" w:sz="8" w:color="auto"/>
            </w:tcBorders>
            <w:vMerge w:val="continue"/>
            <w:shd w:val="clear" w:color="auto" w:fill="CFF0FC"/>
          </w:tcPr>
          <w:p>
            <w:pPr>
              <w:spacing w:after="0"/>
              <w:rPr>
                <w:sz w:val="19"/>
                <w:szCs w:val="19"/>
                <w:color w:val="auto"/>
              </w:rPr>
            </w:pPr>
          </w:p>
        </w:tc>
        <w:tc>
          <w:tcPr>
            <w:tcW w:w="220" w:type="dxa"/>
            <w:vAlign w:val="bottom"/>
            <w:tcBorders>
              <w:bottom w:val="single" w:sz="8" w:color="CFF0FC"/>
            </w:tcBorders>
            <w:shd w:val="clear" w:color="auto" w:fill="CFF0FC"/>
          </w:tcPr>
          <w:p>
            <w:pPr>
              <w:spacing w:after="0"/>
              <w:rPr>
                <w:sz w:val="19"/>
                <w:szCs w:val="19"/>
                <w:color w:val="auto"/>
              </w:rPr>
            </w:pPr>
          </w:p>
        </w:tc>
        <w:tc>
          <w:tcPr>
            <w:tcW w:w="220" w:type="dxa"/>
            <w:vAlign w:val="bottom"/>
            <w:tcBorders>
              <w:bottom w:val="single" w:sz="8" w:color="auto"/>
            </w:tcBorders>
            <w:shd w:val="clear" w:color="auto" w:fill="CFF0FC"/>
          </w:tcPr>
          <w:p>
            <w:pPr>
              <w:spacing w:after="0"/>
              <w:rPr>
                <w:sz w:val="19"/>
                <w:szCs w:val="19"/>
                <w:color w:val="auto"/>
              </w:rPr>
            </w:pPr>
          </w:p>
        </w:tc>
        <w:tc>
          <w:tcPr>
            <w:tcW w:w="600" w:type="dxa"/>
            <w:vAlign w:val="bottom"/>
            <w:tcBorders>
              <w:bottom w:val="single" w:sz="8" w:color="auto"/>
            </w:tcBorders>
            <w:vMerge w:val="continue"/>
            <w:shd w:val="clear" w:color="auto" w:fill="CFF0FC"/>
          </w:tcPr>
          <w:p>
            <w:pPr>
              <w:spacing w:after="0"/>
              <w:rPr>
                <w:sz w:val="19"/>
                <w:szCs w:val="19"/>
                <w:color w:val="auto"/>
              </w:rPr>
            </w:pPr>
          </w:p>
        </w:tc>
        <w:tc>
          <w:tcPr>
            <w:tcW w:w="220" w:type="dxa"/>
            <w:vAlign w:val="bottom"/>
            <w:tcBorders>
              <w:bottom w:val="single" w:sz="8" w:color="CFF0FC"/>
            </w:tcBorders>
            <w:shd w:val="clear" w:color="auto" w:fill="CFF0FC"/>
          </w:tcPr>
          <w:p>
            <w:pPr>
              <w:spacing w:after="0"/>
              <w:rPr>
                <w:sz w:val="19"/>
                <w:szCs w:val="19"/>
                <w:color w:val="auto"/>
              </w:rPr>
            </w:pPr>
          </w:p>
        </w:tc>
        <w:tc>
          <w:tcPr>
            <w:tcW w:w="120" w:type="dxa"/>
            <w:vAlign w:val="bottom"/>
            <w:tcBorders>
              <w:bottom w:val="single" w:sz="8" w:color="auto"/>
            </w:tcBorders>
            <w:shd w:val="clear" w:color="auto" w:fill="CFF0FC"/>
          </w:tcPr>
          <w:p>
            <w:pPr>
              <w:spacing w:after="0"/>
              <w:rPr>
                <w:sz w:val="19"/>
                <w:szCs w:val="19"/>
                <w:color w:val="auto"/>
              </w:rPr>
            </w:pPr>
          </w:p>
        </w:tc>
        <w:tc>
          <w:tcPr>
            <w:tcW w:w="680" w:type="dxa"/>
            <w:vAlign w:val="bottom"/>
            <w:tcBorders>
              <w:bottom w:val="single" w:sz="8" w:color="auto"/>
            </w:tcBorders>
            <w:vMerge w:val="continue"/>
            <w:shd w:val="clear" w:color="auto" w:fill="CFF0FC"/>
          </w:tcPr>
          <w:p>
            <w:pPr>
              <w:spacing w:after="0"/>
              <w:rPr>
                <w:sz w:val="19"/>
                <w:szCs w:val="19"/>
                <w:color w:val="auto"/>
              </w:rPr>
            </w:pPr>
          </w:p>
        </w:tc>
        <w:tc>
          <w:tcPr>
            <w:tcW w:w="220" w:type="dxa"/>
            <w:vAlign w:val="bottom"/>
            <w:tcBorders>
              <w:bottom w:val="single" w:sz="8" w:color="CFF0FC"/>
            </w:tcBorders>
            <w:shd w:val="clear" w:color="auto" w:fill="CFF0FC"/>
          </w:tcPr>
          <w:p>
            <w:pPr>
              <w:spacing w:after="0"/>
              <w:rPr>
                <w:sz w:val="19"/>
                <w:szCs w:val="19"/>
                <w:color w:val="auto"/>
              </w:rPr>
            </w:pPr>
          </w:p>
        </w:tc>
        <w:tc>
          <w:tcPr>
            <w:tcW w:w="120" w:type="dxa"/>
            <w:vAlign w:val="bottom"/>
            <w:tcBorders>
              <w:bottom w:val="single" w:sz="8" w:color="auto"/>
            </w:tcBorders>
            <w:shd w:val="clear" w:color="auto" w:fill="CFF0FC"/>
          </w:tcPr>
          <w:p>
            <w:pPr>
              <w:spacing w:after="0"/>
              <w:rPr>
                <w:sz w:val="19"/>
                <w:szCs w:val="19"/>
                <w:color w:val="auto"/>
              </w:rPr>
            </w:pPr>
          </w:p>
        </w:tc>
        <w:tc>
          <w:tcPr>
            <w:tcW w:w="700" w:type="dxa"/>
            <w:vAlign w:val="bottom"/>
            <w:tcBorders>
              <w:bottom w:val="single" w:sz="8" w:color="auto"/>
            </w:tcBorders>
            <w:vMerge w:val="continue"/>
            <w:shd w:val="clear" w:color="auto" w:fill="CFF0FC"/>
          </w:tcPr>
          <w:p>
            <w:pPr>
              <w:spacing w:after="0"/>
              <w:rPr>
                <w:sz w:val="19"/>
                <w:szCs w:val="19"/>
                <w:color w:val="auto"/>
              </w:rPr>
            </w:pPr>
          </w:p>
        </w:tc>
        <w:tc>
          <w:tcPr>
            <w:tcW w:w="220" w:type="dxa"/>
            <w:vAlign w:val="bottom"/>
            <w:tcBorders>
              <w:bottom w:val="single" w:sz="8" w:color="CFF0FC"/>
            </w:tcBorders>
            <w:shd w:val="clear" w:color="auto" w:fill="CFF0FC"/>
          </w:tcPr>
          <w:p>
            <w:pPr>
              <w:spacing w:after="0"/>
              <w:rPr>
                <w:sz w:val="19"/>
                <w:szCs w:val="19"/>
                <w:color w:val="auto"/>
              </w:rPr>
            </w:pPr>
          </w:p>
        </w:tc>
        <w:tc>
          <w:tcPr>
            <w:tcW w:w="160" w:type="dxa"/>
            <w:vAlign w:val="bottom"/>
            <w:tcBorders>
              <w:bottom w:val="single" w:sz="8" w:color="auto"/>
            </w:tcBorders>
            <w:shd w:val="clear" w:color="auto" w:fill="CFF0FC"/>
          </w:tcPr>
          <w:p>
            <w:pPr>
              <w:spacing w:after="0"/>
              <w:rPr>
                <w:sz w:val="19"/>
                <w:szCs w:val="19"/>
                <w:color w:val="auto"/>
              </w:rPr>
            </w:pPr>
          </w:p>
        </w:tc>
        <w:tc>
          <w:tcPr>
            <w:tcW w:w="660" w:type="dxa"/>
            <w:vAlign w:val="bottom"/>
            <w:tcBorders>
              <w:bottom w:val="single" w:sz="8" w:color="auto"/>
            </w:tcBorders>
            <w:vMerge w:val="continue"/>
            <w:shd w:val="clear" w:color="auto" w:fill="CFF0FC"/>
          </w:tcPr>
          <w:p>
            <w:pPr>
              <w:spacing w:after="0"/>
              <w:rPr>
                <w:sz w:val="19"/>
                <w:szCs w:val="19"/>
                <w:color w:val="auto"/>
              </w:rPr>
            </w:pPr>
          </w:p>
        </w:tc>
        <w:tc>
          <w:tcPr>
            <w:tcW w:w="220" w:type="dxa"/>
            <w:vAlign w:val="bottom"/>
            <w:tcBorders>
              <w:bottom w:val="single" w:sz="8" w:color="CFF0FC"/>
            </w:tcBorders>
            <w:shd w:val="clear" w:color="auto" w:fill="CFF0FC"/>
          </w:tcPr>
          <w:p>
            <w:pPr>
              <w:spacing w:after="0"/>
              <w:rPr>
                <w:sz w:val="19"/>
                <w:szCs w:val="19"/>
                <w:color w:val="auto"/>
              </w:rPr>
            </w:pPr>
          </w:p>
        </w:tc>
        <w:tc>
          <w:tcPr>
            <w:tcW w:w="120" w:type="dxa"/>
            <w:vAlign w:val="bottom"/>
            <w:tcBorders>
              <w:bottom w:val="single" w:sz="8" w:color="auto"/>
            </w:tcBorders>
            <w:shd w:val="clear" w:color="auto" w:fill="CFF0FC"/>
          </w:tcPr>
          <w:p>
            <w:pPr>
              <w:spacing w:after="0"/>
              <w:rPr>
                <w:sz w:val="19"/>
                <w:szCs w:val="19"/>
                <w:color w:val="auto"/>
              </w:rPr>
            </w:pPr>
          </w:p>
        </w:tc>
        <w:tc>
          <w:tcPr>
            <w:tcW w:w="700" w:type="dxa"/>
            <w:vAlign w:val="bottom"/>
            <w:tcBorders>
              <w:bottom w:val="single" w:sz="8" w:color="auto"/>
            </w:tcBorders>
            <w:vMerge w:val="continue"/>
            <w:shd w:val="clear" w:color="auto" w:fill="CFF0FC"/>
          </w:tcPr>
          <w:p>
            <w:pPr>
              <w:spacing w:after="0"/>
              <w:rPr>
                <w:sz w:val="19"/>
                <w:szCs w:val="19"/>
                <w:color w:val="auto"/>
              </w:rPr>
            </w:pPr>
          </w:p>
        </w:tc>
        <w:tc>
          <w:tcPr>
            <w:tcW w:w="220" w:type="dxa"/>
            <w:vAlign w:val="bottom"/>
            <w:tcBorders>
              <w:bottom w:val="single" w:sz="8" w:color="CFF0FC"/>
            </w:tcBorders>
            <w:shd w:val="clear" w:color="auto" w:fill="CFF0FC"/>
          </w:tcPr>
          <w:p>
            <w:pPr>
              <w:spacing w:after="0"/>
              <w:rPr>
                <w:sz w:val="19"/>
                <w:szCs w:val="19"/>
                <w:color w:val="auto"/>
              </w:rPr>
            </w:pPr>
          </w:p>
        </w:tc>
        <w:tc>
          <w:tcPr>
            <w:tcW w:w="100" w:type="dxa"/>
            <w:vAlign w:val="bottom"/>
            <w:tcBorders>
              <w:bottom w:val="single" w:sz="8" w:color="auto"/>
            </w:tcBorders>
            <w:shd w:val="clear" w:color="auto" w:fill="CFF0FC"/>
          </w:tcPr>
          <w:p>
            <w:pPr>
              <w:spacing w:after="0"/>
              <w:rPr>
                <w:sz w:val="19"/>
                <w:szCs w:val="19"/>
                <w:color w:val="auto"/>
              </w:rPr>
            </w:pPr>
          </w:p>
        </w:tc>
        <w:tc>
          <w:tcPr>
            <w:tcW w:w="720" w:type="dxa"/>
            <w:vAlign w:val="bottom"/>
            <w:tcBorders>
              <w:bottom w:val="single" w:sz="8" w:color="auto"/>
            </w:tcBorders>
            <w:vMerge w:val="continue"/>
            <w:shd w:val="clear" w:color="auto" w:fill="CFF0FC"/>
          </w:tcPr>
          <w:p>
            <w:pPr>
              <w:spacing w:after="0"/>
              <w:rPr>
                <w:sz w:val="19"/>
                <w:szCs w:val="19"/>
                <w:color w:val="auto"/>
              </w:rPr>
            </w:pPr>
          </w:p>
        </w:tc>
        <w:tc>
          <w:tcPr>
            <w:tcW w:w="220" w:type="dxa"/>
            <w:vAlign w:val="bottom"/>
            <w:tcBorders>
              <w:bottom w:val="single" w:sz="8" w:color="CFF0FC"/>
            </w:tcBorders>
            <w:shd w:val="clear" w:color="auto" w:fill="CFF0FC"/>
          </w:tcPr>
          <w:p>
            <w:pPr>
              <w:spacing w:after="0"/>
              <w:rPr>
                <w:sz w:val="19"/>
                <w:szCs w:val="19"/>
                <w:color w:val="auto"/>
              </w:rPr>
            </w:pPr>
          </w:p>
        </w:tc>
        <w:tc>
          <w:tcPr>
            <w:tcW w:w="160" w:type="dxa"/>
            <w:vAlign w:val="bottom"/>
            <w:tcBorders>
              <w:bottom w:val="single" w:sz="8" w:color="auto"/>
            </w:tcBorders>
            <w:shd w:val="clear" w:color="auto" w:fill="CFF0FC"/>
          </w:tcPr>
          <w:p>
            <w:pPr>
              <w:spacing w:after="0"/>
              <w:rPr>
                <w:sz w:val="19"/>
                <w:szCs w:val="19"/>
                <w:color w:val="auto"/>
              </w:rPr>
            </w:pPr>
          </w:p>
        </w:tc>
        <w:tc>
          <w:tcPr>
            <w:tcW w:w="620" w:type="dxa"/>
            <w:vAlign w:val="bottom"/>
            <w:tcBorders>
              <w:bottom w:val="single" w:sz="8" w:color="auto"/>
            </w:tcBorders>
            <w:vMerge w:val="continue"/>
            <w:shd w:val="clear" w:color="auto" w:fill="CFF0FC"/>
          </w:tcPr>
          <w:p>
            <w:pPr>
              <w:spacing w:after="0"/>
              <w:rPr>
                <w:sz w:val="19"/>
                <w:szCs w:val="19"/>
                <w:color w:val="auto"/>
              </w:rPr>
            </w:pPr>
          </w:p>
        </w:tc>
        <w:tc>
          <w:tcPr>
            <w:tcW w:w="120" w:type="dxa"/>
            <w:vAlign w:val="bottom"/>
            <w:tcBorders>
              <w:bottom w:val="single" w:sz="8" w:color="CFF0FC"/>
            </w:tcBorders>
            <w:shd w:val="clear" w:color="auto" w:fill="CFF0FC"/>
          </w:tcPr>
          <w:p>
            <w:pPr>
              <w:spacing w:after="0"/>
              <w:rPr>
                <w:sz w:val="19"/>
                <w:szCs w:val="19"/>
                <w:color w:val="auto"/>
              </w:rPr>
            </w:pPr>
          </w:p>
        </w:tc>
        <w:tc>
          <w:tcPr>
            <w:tcW w:w="0" w:type="dxa"/>
            <w:vAlign w:val="bottom"/>
          </w:tcPr>
          <w:p>
            <w:pPr>
              <w:spacing w:after="0"/>
              <w:rPr>
                <w:sz w:val="1"/>
                <w:szCs w:val="1"/>
                <w:color w:val="auto"/>
              </w:rPr>
            </w:pPr>
          </w:p>
        </w:tc>
      </w:tr>
      <w:tr>
        <w:trPr>
          <w:trHeight w:val="210"/>
        </w:trPr>
        <w:tc>
          <w:tcPr>
            <w:tcW w:w="1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22,015</w:t>
            </w:r>
          </w:p>
        </w:tc>
        <w:tc>
          <w:tcPr>
            <w:tcW w:w="52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13,993</w:t>
            </w:r>
          </w:p>
        </w:tc>
        <w:tc>
          <w:tcPr>
            <w:tcW w:w="44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6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36,008</w:t>
            </w:r>
          </w:p>
        </w:tc>
        <w:tc>
          <w:tcPr>
            <w:tcW w:w="34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4,875</w:t>
            </w:r>
          </w:p>
        </w:tc>
        <w:tc>
          <w:tcPr>
            <w:tcW w:w="3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7,072</w:t>
            </w:r>
          </w:p>
        </w:tc>
        <w:tc>
          <w:tcPr>
            <w:tcW w:w="38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11,947</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4,875</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7,020</w:t>
            </w:r>
          </w:p>
        </w:tc>
        <w:tc>
          <w:tcPr>
            <w:tcW w:w="38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11,895</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176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7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300" w:type="dxa"/>
            <w:vAlign w:val="bottom"/>
            <w:tcBorders>
              <w:top w:val="single" w:sz="8" w:color="auto"/>
              <w:bottom w:val="single" w:sz="8" w:color="auto"/>
            </w:tcBorders>
          </w:tcPr>
          <w:p>
            <w:pPr>
              <w:spacing w:after="0" w:line="20" w:lineRule="exact"/>
              <w:rPr>
                <w:sz w:val="1"/>
                <w:szCs w:val="1"/>
                <w:color w:val="auto"/>
              </w:rPr>
            </w:pPr>
          </w:p>
        </w:tc>
        <w:tc>
          <w:tcPr>
            <w:tcW w:w="72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20" w:type="dxa"/>
            <w:vAlign w:val="bottom"/>
            <w:tcBorders>
              <w:top w:val="single" w:sz="8" w:color="auto"/>
              <w:bottom w:val="single" w:sz="8" w:color="auto"/>
            </w:tcBorders>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6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7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6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7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00" w:type="dxa"/>
            <w:vAlign w:val="bottom"/>
            <w:tcBorders>
              <w:top w:val="single" w:sz="8" w:color="auto"/>
              <w:bottom w:val="single" w:sz="8" w:color="auto"/>
            </w:tcBorders>
          </w:tcPr>
          <w:p>
            <w:pPr>
              <w:spacing w:after="0" w:line="20" w:lineRule="exact"/>
              <w:rPr>
                <w:sz w:val="1"/>
                <w:szCs w:val="1"/>
                <w:color w:val="auto"/>
              </w:rPr>
            </w:pPr>
          </w:p>
        </w:tc>
        <w:tc>
          <w:tcPr>
            <w:tcW w:w="72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620" w:type="dxa"/>
            <w:vAlign w:val="bottom"/>
            <w:tcBorders>
              <w:top w:val="single" w:sz="8" w:color="auto"/>
              <w:bottom w:val="single" w:sz="8" w:color="auto"/>
            </w:tcBorders>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1693545</wp:posOffset>
            </wp:positionH>
            <wp:positionV relativeFrom="paragraph">
              <wp:posOffset>-170815</wp:posOffset>
            </wp:positionV>
            <wp:extent cx="68580" cy="8890"/>
            <wp:wrapNone/>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5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2482215</wp:posOffset>
            </wp:positionH>
            <wp:positionV relativeFrom="paragraph">
              <wp:posOffset>-170815</wp:posOffset>
            </wp:positionV>
            <wp:extent cx="68580" cy="8890"/>
            <wp:wrapNone/>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5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3133725</wp:posOffset>
            </wp:positionH>
            <wp:positionV relativeFrom="paragraph">
              <wp:posOffset>-170815</wp:posOffset>
            </wp:positionV>
            <wp:extent cx="68580" cy="8890"/>
            <wp:wrapNone/>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5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3785235</wp:posOffset>
            </wp:positionH>
            <wp:positionV relativeFrom="paragraph">
              <wp:posOffset>-170815</wp:posOffset>
            </wp:positionV>
            <wp:extent cx="68580" cy="8890"/>
            <wp:wrapNone/>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5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4445635</wp:posOffset>
            </wp:positionH>
            <wp:positionV relativeFrom="paragraph">
              <wp:posOffset>-170815</wp:posOffset>
            </wp:positionV>
            <wp:extent cx="68580" cy="8890"/>
            <wp:wrapNone/>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5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5105400</wp:posOffset>
            </wp:positionH>
            <wp:positionV relativeFrom="paragraph">
              <wp:posOffset>-170815</wp:posOffset>
            </wp:positionV>
            <wp:extent cx="68580" cy="8890"/>
            <wp:wrapNone/>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5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5765800</wp:posOffset>
            </wp:positionH>
            <wp:positionV relativeFrom="paragraph">
              <wp:posOffset>-170815</wp:posOffset>
            </wp:positionV>
            <wp:extent cx="68580" cy="8890"/>
            <wp:wrapNone/>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5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6425565</wp:posOffset>
            </wp:positionH>
            <wp:positionV relativeFrom="paragraph">
              <wp:posOffset>-170815</wp:posOffset>
            </wp:positionV>
            <wp:extent cx="68580" cy="8890"/>
            <wp:wrapNone/>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6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-170815</wp:posOffset>
            </wp:positionV>
            <wp:extent cx="77470" cy="8890"/>
            <wp:wrapNone/>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61">
                      <a:extLst>
                        <a:ext uri="{28A0092B-C50C-407E-A947-70E740481C1C}"/>
                      </a:extLst>
                    </a:blip>
                    <a:srcRect/>
                    <a:stretch>
                      <a:fillRect/>
                    </a:stretch>
                  </pic:blipFill>
                  <pic:spPr bwMode="auto">
                    <a:xfrm>
                      <a:off x="0" y="0"/>
                      <a:ext cx="77470" cy="8890"/>
                    </a:xfrm>
                    <a:prstGeom prst="rect">
                      <a:avLst/>
                    </a:prstGeom>
                    <a:noFill/>
                  </pic:spPr>
                </pic:pic>
              </a:graphicData>
            </a:graphic>
          </wp:anchor>
        </w:drawing>
      </w:r>
    </w:p>
    <w:p>
      <w:pPr>
        <w:spacing w:after="0" w:line="17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 paid $16.5 million, $4.9 million and $4.9 million, respectively, in interest related to the Convertible Notes during the years ended December 31, 2024, 2023, and 2022. The Company has not paid any additional interest or special interest related to the Convertible Notes to date.</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Senior Secured Notes</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On June 14, 2021, the Company issued $500.0 million aggregate principal amount of 2028 Secured Notes. The 2028 Secured Notes were sold under a purchase agreement, dated as of June 8, 2021, entered into by and among the Company, MicroStrategy Services Corporation, a wholly owned subsidiary of the Company (the “Guarantor”), and Jefferies LLC, for resale to qualified institutional buyers. The terms of the 2028 Secured Notes were governed by an indenture, dated as of June 14, 2021 (the “2028 Secured Notes Indenture”), among the Company, the Guarantor, and U.S. Bank National Association, as trustee and collateral agent.</w:t>
      </w:r>
    </w:p>
    <w:p>
      <w:pPr>
        <w:spacing w:after="0" w:line="75"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2028 Secured Notes were unconditionally guaranteed, jointly and severally, on a senior secured basis by the Guarantor and certain subsidiaries of the Company (excluding MacroStrategy) (collectively, the “Subsidiary Guarantors”). The 2028 Secured Notes bore interest at a fixed rate of 6.125% per annum, payable semiannually in arrears on June 15 and December 15 of each year, beginning on December 15, 2021. The 2028 Secured Notes had a stated maturity date of June 15, 2028, unless earlier redeemed or repurchased in accordance with their terms and subject to a springing maturity date of September 15, 2025 or November 16, 2026 under certain conditions outlined in the 2028 Secured Notes Indenture. The springing maturity feature was not triggered while the 2028 Secured Notes were outstanding.</w:t>
      </w:r>
    </w:p>
    <w:p>
      <w:pPr>
        <w:spacing w:after="0" w:line="7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redeemed all of the 2028 Secured Notes on September 26, 2024 at a redemption price equal to 103.063% of the principal amount of the 2028 Secured Notes, plus accrued and unpaid interest to, but excluding, September 26, 2024 (the “Redemption Price”). The Redemption Price consisted of a $515.3 million payment to redeem the full $500.0 million outstanding principal amount of the 2028 Secured Notes as of September 26, 2024 and an $8.6 million payment for accrued unpaid interest on the 2028 Secured Notes to but excluding September 26, 2024. The Company also incurred $0.1 million in third party fees in connection with the redemption of the 2028 Secured Notes. The net carrying value of the 2028 Secured Notes as of September 26, 2024, immediately prior to their redemption,</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6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12" w:right="339" w:bottom="1440" w:gutter="0" w:footer="0" w:header="0"/>
        </w:sectPr>
      </w:pPr>
    </w:p>
    <w:bookmarkStart w:id="95" w:name="page96"/>
    <w:bookmarkEnd w:id="95"/>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was $492.5 million, which resulted in a $22.9 million loss on debt extinguishment recognized in the Company’s Consolidated Statement of Operations in the third quarter of 2024.</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While outstanding, the 2028 Secured Notes were secured, on a senior secured basis with the Company’s existing and future senior indebtedness, by a first priority security interest in substantially all of the Company’s and the Subsidiary Guarantors’ assets (the “Collateral”). The Collateral included any bitcoins or other digital assets acquired by the Company or a Subsidiary Guarantor on or after June 14, 2021. As of December 31, 2023, approximately 16,081 of the bitcoins held by the Company served as part of the Collateral. Upon the redemption of the 2028 Secured Notes in September 2024, all collateral securing the 2028 Secured Notes was released.</w:t>
      </w:r>
    </w:p>
    <w:p>
      <w:pPr>
        <w:spacing w:after="0" w:line="7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2028 Secured Notes Indenture contained certain covenants with which the Company was required to comply, including covenants with respect to limitations on (i) additional indebtedness, (ii) liens, (iii) certain payments and investments, (iv) the ability to merge or consolidate with another person, or sell or otherwise dispose of substantially all the Company’s assets, and (v) certain transactions with affiliates. The Company was in compliance with its debt covenants as of December 31, 2023 and through to the redemption of the 2028 Secured Notes in September 2024.</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incurred approximately $12.8 million in customary offering expenses associated with the 2028 Secured Notes. The Company accounted for these issuance costs as a reduction to the principal amount of the 2028 Secured Notes and amortized the issuance costs to interest expense over the contractual term of the 2028 Secured Notes at an effective interest rate of 6.58%. As of December 31, 2023, the net carrying value of the 2028 Secured Notes was classified as a long-term liability in the “Long-term debt, net” line item in the Company’s Consolidated Balance Sheet.</w:t>
      </w:r>
    </w:p>
    <w:p>
      <w:pPr>
        <w:spacing w:after="0" w:line="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is a summary of the 2028 Secured Notes as of December 31, 2023 (in thousands):</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366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120" w:type="dxa"/>
            <w:vAlign w:val="bottom"/>
            <w:tcBorders>
              <w:bottom w:val="single" w:sz="8" w:color="auto"/>
            </w:tcBorders>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140" w:type="dxa"/>
            <w:vAlign w:val="bottom"/>
            <w:tcBorders>
              <w:bottom w:val="single" w:sz="8" w:color="auto"/>
            </w:tcBorders>
          </w:tcPr>
          <w:p>
            <w:pPr>
              <w:spacing w:after="0"/>
              <w:rPr>
                <w:sz w:val="15"/>
                <w:szCs w:val="15"/>
                <w:color w:val="auto"/>
              </w:rPr>
            </w:pPr>
          </w:p>
        </w:tc>
        <w:tc>
          <w:tcPr>
            <w:tcW w:w="1160" w:type="dxa"/>
            <w:vAlign w:val="bottom"/>
            <w:tcBorders>
              <w:bottom w:val="single" w:sz="8" w:color="auto"/>
            </w:tcBorders>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420" w:type="dxa"/>
            <w:vAlign w:val="bottom"/>
            <w:tcBorders>
              <w:bottom w:val="single" w:sz="8" w:color="auto"/>
            </w:tcBorders>
            <w:gridSpan w:val="2"/>
          </w:tcPr>
          <w:p>
            <w:pPr>
              <w:ind w:left="20"/>
              <w:spacing w:after="0"/>
              <w:rPr>
                <w:sz w:val="20"/>
                <w:szCs w:val="20"/>
                <w:color w:val="auto"/>
              </w:rPr>
            </w:pPr>
            <w:r>
              <w:rPr>
                <w:rFonts w:ascii="Times New Roman" w:cs="Times New Roman" w:eastAsia="Times New Roman" w:hAnsi="Times New Roman"/>
                <w:sz w:val="14"/>
                <w:szCs w:val="14"/>
                <w:b w:val="1"/>
                <w:bCs w:val="1"/>
                <w:color w:val="auto"/>
              </w:rPr>
              <w:t>December 31, 2023</w:t>
            </w:r>
          </w:p>
        </w:tc>
        <w:tc>
          <w:tcPr>
            <w:tcW w:w="260" w:type="dxa"/>
            <w:vAlign w:val="bottom"/>
            <w:tcBorders>
              <w:bottom w:val="single" w:sz="8" w:color="auto"/>
            </w:tcBorders>
          </w:tcPr>
          <w:p>
            <w:pPr>
              <w:spacing w:after="0"/>
              <w:rPr>
                <w:sz w:val="15"/>
                <w:szCs w:val="15"/>
                <w:color w:val="auto"/>
              </w:rPr>
            </w:pPr>
          </w:p>
        </w:tc>
        <w:tc>
          <w:tcPr>
            <w:tcW w:w="1060" w:type="dxa"/>
            <w:vAlign w:val="bottom"/>
            <w:tcBorders>
              <w:bottom w:val="single" w:sz="8" w:color="auto"/>
            </w:tcBorders>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360" w:type="dxa"/>
            <w:vAlign w:val="bottom"/>
            <w:tcBorders>
              <w:bottom w:val="single" w:sz="8" w:color="auto"/>
            </w:tcBorders>
          </w:tcPr>
          <w:p>
            <w:pPr>
              <w:spacing w:after="0"/>
              <w:rPr>
                <w:sz w:val="15"/>
                <w:szCs w:val="15"/>
                <w:color w:val="auto"/>
              </w:rPr>
            </w:pPr>
          </w:p>
        </w:tc>
        <w:tc>
          <w:tcPr>
            <w:tcW w:w="1080" w:type="dxa"/>
            <w:vAlign w:val="bottom"/>
            <w:tcBorders>
              <w:bottom w:val="single" w:sz="8" w:color="auto"/>
            </w:tcBorders>
          </w:tcPr>
          <w:p>
            <w:pPr>
              <w:spacing w:after="0"/>
              <w:rPr>
                <w:sz w:val="15"/>
                <w:szCs w:val="15"/>
                <w:color w:val="auto"/>
              </w:rPr>
            </w:pPr>
          </w:p>
        </w:tc>
      </w:tr>
      <w:tr>
        <w:trPr>
          <w:trHeight w:val="142"/>
        </w:trPr>
        <w:tc>
          <w:tcPr>
            <w:tcW w:w="366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120" w:type="dxa"/>
            <w:vAlign w:val="bottom"/>
          </w:tcPr>
          <w:p>
            <w:pPr>
              <w:jc w:val="center"/>
              <w:ind w:right="119"/>
              <w:spacing w:after="0" w:line="142" w:lineRule="exact"/>
              <w:rPr>
                <w:sz w:val="20"/>
                <w:szCs w:val="20"/>
                <w:color w:val="auto"/>
              </w:rPr>
            </w:pPr>
            <w:r>
              <w:rPr>
                <w:rFonts w:ascii="Times New Roman" w:cs="Times New Roman" w:eastAsia="Times New Roman" w:hAnsi="Times New Roman"/>
                <w:sz w:val="14"/>
                <w:szCs w:val="14"/>
                <w:b w:val="1"/>
                <w:bCs w:val="1"/>
                <w:color w:val="auto"/>
              </w:rPr>
              <w:t>Outstanding</w:t>
            </w:r>
          </w:p>
        </w:tc>
        <w:tc>
          <w:tcPr>
            <w:tcW w:w="22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500" w:type="dxa"/>
            <w:vAlign w:val="bottom"/>
            <w:gridSpan w:val="3"/>
          </w:tcPr>
          <w:p>
            <w:pPr>
              <w:jc w:val="center"/>
              <w:ind w:right="500"/>
              <w:spacing w:after="0" w:line="142" w:lineRule="exact"/>
              <w:rPr>
                <w:sz w:val="20"/>
                <w:szCs w:val="20"/>
                <w:color w:val="auto"/>
              </w:rPr>
            </w:pPr>
            <w:r>
              <w:rPr>
                <w:rFonts w:ascii="Times New Roman" w:cs="Times New Roman" w:eastAsia="Times New Roman" w:hAnsi="Times New Roman"/>
                <w:sz w:val="14"/>
                <w:szCs w:val="14"/>
                <w:b w:val="1"/>
                <w:bCs w:val="1"/>
                <w:color w:val="auto"/>
              </w:rPr>
              <w:t>Unamortized</w:t>
            </w:r>
          </w:p>
        </w:tc>
        <w:tc>
          <w:tcPr>
            <w:tcW w:w="1420" w:type="dxa"/>
            <w:vAlign w:val="bottom"/>
            <w:gridSpan w:val="2"/>
          </w:tcPr>
          <w:p>
            <w:pPr>
              <w:jc w:val="center"/>
              <w:ind w:right="360"/>
              <w:spacing w:after="0" w:line="142" w:lineRule="exact"/>
              <w:rPr>
                <w:sz w:val="20"/>
                <w:szCs w:val="20"/>
                <w:color w:val="auto"/>
              </w:rPr>
            </w:pPr>
            <w:r>
              <w:rPr>
                <w:rFonts w:ascii="Times New Roman" w:cs="Times New Roman" w:eastAsia="Times New Roman" w:hAnsi="Times New Roman"/>
                <w:sz w:val="14"/>
                <w:szCs w:val="14"/>
                <w:b w:val="1"/>
                <w:bCs w:val="1"/>
                <w:color w:val="auto"/>
              </w:rPr>
              <w:t>Net Carrying</w:t>
            </w:r>
          </w:p>
        </w:tc>
        <w:tc>
          <w:tcPr>
            <w:tcW w:w="260" w:type="dxa"/>
            <w:vAlign w:val="bottom"/>
            <w:tcBorders>
              <w:bottom w:val="single" w:sz="8" w:color="auto"/>
            </w:tcBorders>
          </w:tcPr>
          <w:p>
            <w:pPr>
              <w:spacing w:after="0"/>
              <w:rPr>
                <w:sz w:val="12"/>
                <w:szCs w:val="12"/>
                <w:color w:val="auto"/>
              </w:rPr>
            </w:pPr>
          </w:p>
        </w:tc>
        <w:tc>
          <w:tcPr>
            <w:tcW w:w="1640" w:type="dxa"/>
            <w:vAlign w:val="bottom"/>
            <w:tcBorders>
              <w:bottom w:val="single" w:sz="8" w:color="auto"/>
            </w:tcBorders>
            <w:gridSpan w:val="3"/>
          </w:tcPr>
          <w:p>
            <w:pPr>
              <w:ind w:left="900"/>
              <w:spacing w:after="0" w:line="142" w:lineRule="exact"/>
              <w:rPr>
                <w:sz w:val="20"/>
                <w:szCs w:val="20"/>
                <w:color w:val="auto"/>
              </w:rPr>
            </w:pPr>
            <w:r>
              <w:rPr>
                <w:rFonts w:ascii="Times New Roman" w:cs="Times New Roman" w:eastAsia="Times New Roman" w:hAnsi="Times New Roman"/>
                <w:sz w:val="14"/>
                <w:szCs w:val="14"/>
                <w:b w:val="1"/>
                <w:bCs w:val="1"/>
                <w:color w:val="auto"/>
              </w:rPr>
              <w:t>Fair Value</w:t>
            </w:r>
          </w:p>
        </w:tc>
        <w:tc>
          <w:tcPr>
            <w:tcW w:w="1080" w:type="dxa"/>
            <w:vAlign w:val="bottom"/>
            <w:tcBorders>
              <w:bottom w:val="single" w:sz="8" w:color="auto"/>
            </w:tcBorders>
          </w:tcPr>
          <w:p>
            <w:pPr>
              <w:spacing w:after="0"/>
              <w:rPr>
                <w:sz w:val="12"/>
                <w:szCs w:val="12"/>
                <w:color w:val="auto"/>
              </w:rPr>
            </w:pPr>
          </w:p>
        </w:tc>
      </w:tr>
      <w:tr>
        <w:trPr>
          <w:trHeight w:val="142"/>
        </w:trPr>
        <w:tc>
          <w:tcPr>
            <w:tcW w:w="3660" w:type="dxa"/>
            <w:vAlign w:val="bottom"/>
          </w:tcPr>
          <w:p>
            <w:pPr>
              <w:spacing w:after="0"/>
              <w:rPr>
                <w:sz w:val="12"/>
                <w:szCs w:val="12"/>
                <w:color w:val="auto"/>
              </w:rPr>
            </w:pPr>
          </w:p>
        </w:tc>
        <w:tc>
          <w:tcPr>
            <w:tcW w:w="1320" w:type="dxa"/>
            <w:vAlign w:val="bottom"/>
            <w:tcBorders>
              <w:bottom w:val="single" w:sz="8" w:color="auto"/>
            </w:tcBorders>
            <w:gridSpan w:val="2"/>
          </w:tcPr>
          <w:p>
            <w:pPr>
              <w:jc w:val="center"/>
              <w:spacing w:after="0" w:line="142" w:lineRule="exact"/>
              <w:rPr>
                <w:sz w:val="20"/>
                <w:szCs w:val="20"/>
                <w:color w:val="auto"/>
              </w:rPr>
            </w:pPr>
            <w:r>
              <w:rPr>
                <w:rFonts w:ascii="Times New Roman" w:cs="Times New Roman" w:eastAsia="Times New Roman" w:hAnsi="Times New Roman"/>
                <w:sz w:val="14"/>
                <w:szCs w:val="14"/>
                <w:b w:val="1"/>
                <w:bCs w:val="1"/>
                <w:color w:val="auto"/>
              </w:rPr>
              <w:t>Principal Amount</w:t>
            </w:r>
          </w:p>
        </w:tc>
        <w:tc>
          <w:tcPr>
            <w:tcW w:w="22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1160" w:type="dxa"/>
            <w:vAlign w:val="bottom"/>
            <w:tcBorders>
              <w:bottom w:val="single" w:sz="8" w:color="auto"/>
            </w:tcBorders>
          </w:tcPr>
          <w:p>
            <w:pPr>
              <w:jc w:val="center"/>
              <w:ind w:right="62"/>
              <w:spacing w:after="0" w:line="142" w:lineRule="exact"/>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1200" w:type="dxa"/>
            <w:vAlign w:val="bottom"/>
            <w:tcBorders>
              <w:bottom w:val="single" w:sz="8" w:color="auto"/>
            </w:tcBorders>
          </w:tcPr>
          <w:p>
            <w:pPr>
              <w:jc w:val="center"/>
              <w:ind w:right="44"/>
              <w:spacing w:after="0" w:line="142" w:lineRule="exact"/>
              <w:rPr>
                <w:sz w:val="20"/>
                <w:szCs w:val="20"/>
                <w:color w:val="auto"/>
              </w:rPr>
            </w:pPr>
            <w:r>
              <w:rPr>
                <w:rFonts w:ascii="Times New Roman" w:cs="Times New Roman" w:eastAsia="Times New Roman" w:hAnsi="Times New Roman"/>
                <w:sz w:val="14"/>
                <w:szCs w:val="14"/>
                <w:b w:val="1"/>
                <w:bCs w:val="1"/>
                <w:color w:val="auto"/>
              </w:rPr>
              <w:t>Value</w:t>
            </w:r>
          </w:p>
        </w:tc>
        <w:tc>
          <w:tcPr>
            <w:tcW w:w="220" w:type="dxa"/>
            <w:vAlign w:val="bottom"/>
          </w:tcPr>
          <w:p>
            <w:pPr>
              <w:spacing w:after="0"/>
              <w:rPr>
                <w:sz w:val="12"/>
                <w:szCs w:val="12"/>
                <w:color w:val="auto"/>
              </w:rPr>
            </w:pPr>
          </w:p>
        </w:tc>
        <w:tc>
          <w:tcPr>
            <w:tcW w:w="260" w:type="dxa"/>
            <w:vAlign w:val="bottom"/>
            <w:tcBorders>
              <w:bottom w:val="single" w:sz="8" w:color="auto"/>
            </w:tcBorders>
          </w:tcPr>
          <w:p>
            <w:pPr>
              <w:spacing w:after="0"/>
              <w:rPr>
                <w:sz w:val="12"/>
                <w:szCs w:val="12"/>
                <w:color w:val="auto"/>
              </w:rPr>
            </w:pPr>
          </w:p>
        </w:tc>
        <w:tc>
          <w:tcPr>
            <w:tcW w:w="1060" w:type="dxa"/>
            <w:vAlign w:val="bottom"/>
            <w:tcBorders>
              <w:bottom w:val="single" w:sz="8" w:color="auto"/>
            </w:tcBorders>
          </w:tcPr>
          <w:p>
            <w:pPr>
              <w:jc w:val="right"/>
              <w:ind w:right="342"/>
              <w:spacing w:after="0" w:line="142" w:lineRule="exact"/>
              <w:rPr>
                <w:sz w:val="20"/>
                <w:szCs w:val="20"/>
                <w:color w:val="auto"/>
              </w:rPr>
            </w:pPr>
            <w:r>
              <w:rPr>
                <w:rFonts w:ascii="Times New Roman" w:cs="Times New Roman" w:eastAsia="Times New Roman" w:hAnsi="Times New Roman"/>
                <w:sz w:val="14"/>
                <w:szCs w:val="14"/>
                <w:b w:val="1"/>
                <w:bCs w:val="1"/>
                <w:color w:val="auto"/>
              </w:rPr>
              <w:t>Amount</w:t>
            </w:r>
          </w:p>
        </w:tc>
        <w:tc>
          <w:tcPr>
            <w:tcW w:w="220" w:type="dxa"/>
            <w:vAlign w:val="bottom"/>
          </w:tcPr>
          <w:p>
            <w:pPr>
              <w:spacing w:after="0"/>
              <w:rPr>
                <w:sz w:val="12"/>
                <w:szCs w:val="12"/>
                <w:color w:val="auto"/>
              </w:rPr>
            </w:pPr>
          </w:p>
        </w:tc>
        <w:tc>
          <w:tcPr>
            <w:tcW w:w="360" w:type="dxa"/>
            <w:vAlign w:val="bottom"/>
            <w:tcBorders>
              <w:bottom w:val="single" w:sz="8" w:color="auto"/>
            </w:tcBorders>
          </w:tcPr>
          <w:p>
            <w:pPr>
              <w:spacing w:after="0"/>
              <w:rPr>
                <w:sz w:val="12"/>
                <w:szCs w:val="12"/>
                <w:color w:val="auto"/>
              </w:rPr>
            </w:pPr>
          </w:p>
        </w:tc>
        <w:tc>
          <w:tcPr>
            <w:tcW w:w="1080" w:type="dxa"/>
            <w:vAlign w:val="bottom"/>
            <w:tcBorders>
              <w:bottom w:val="single" w:sz="8" w:color="auto"/>
            </w:tcBorders>
          </w:tcPr>
          <w:p>
            <w:pPr>
              <w:ind w:left="80"/>
              <w:spacing w:after="0" w:line="142" w:lineRule="exact"/>
              <w:rPr>
                <w:sz w:val="20"/>
                <w:szCs w:val="20"/>
                <w:color w:val="auto"/>
              </w:rPr>
            </w:pPr>
            <w:r>
              <w:rPr>
                <w:rFonts w:ascii="Times New Roman" w:cs="Times New Roman" w:eastAsia="Times New Roman" w:hAnsi="Times New Roman"/>
                <w:sz w:val="14"/>
                <w:szCs w:val="14"/>
                <w:b w:val="1"/>
                <w:bCs w:val="1"/>
                <w:color w:val="auto"/>
              </w:rPr>
              <w:t>Leveling</w:t>
            </w:r>
          </w:p>
        </w:tc>
      </w:tr>
      <w:tr>
        <w:trPr>
          <w:trHeight w:val="210"/>
        </w:trPr>
        <w:tc>
          <w:tcPr>
            <w:tcW w:w="36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2028 Secured Notes</w:t>
            </w:r>
          </w:p>
        </w:tc>
        <w:tc>
          <w:tcPr>
            <w:tcW w:w="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500,000</w:t>
            </w:r>
          </w:p>
        </w:tc>
        <w:tc>
          <w:tcPr>
            <w:tcW w:w="36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1500" w:type="dxa"/>
            <w:vAlign w:val="bottom"/>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(8,807 )  $</w:t>
            </w: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491,193</w:t>
            </w:r>
          </w:p>
        </w:tc>
        <w:tc>
          <w:tcPr>
            <w:tcW w:w="220" w:type="dxa"/>
            <w:vAlign w:val="bottom"/>
            <w:shd w:val="clear" w:color="auto" w:fill="CFF0FC"/>
          </w:tcPr>
          <w:p>
            <w:pPr>
              <w:spacing w:after="0"/>
              <w:rPr>
                <w:sz w:val="18"/>
                <w:szCs w:val="18"/>
                <w:color w:val="auto"/>
              </w:rPr>
            </w:pPr>
          </w:p>
        </w:tc>
        <w:tc>
          <w:tcPr>
            <w:tcW w:w="26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485,070</w:t>
            </w:r>
          </w:p>
        </w:tc>
        <w:tc>
          <w:tcPr>
            <w:tcW w:w="2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108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color w:val="auto"/>
              </w:rPr>
              <w:t>Level 2</w:t>
            </w:r>
          </w:p>
        </w:tc>
      </w:tr>
    </w:tbl>
    <w:p>
      <w:pPr>
        <w:spacing w:after="0" w:line="19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fair value of the 2028 Secured Notes was determined using observable market data other than quoted prices, specifically the last traded price at the end of the reporting period of identical instruments in the over-the-counter market (Level 2).</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the years ended December 31, 2024, 2023, and 2022, interest expense related to the 2028 Secured Notes was as follows (in thousands):</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2220" w:type="dxa"/>
            <w:vAlign w:val="bottom"/>
          </w:tcPr>
          <w:p>
            <w:pPr>
              <w:spacing w:after="0"/>
              <w:rPr>
                <w:sz w:val="15"/>
                <w:szCs w:val="15"/>
                <w:color w:val="auto"/>
              </w:rPr>
            </w:pPr>
          </w:p>
        </w:tc>
        <w:tc>
          <w:tcPr>
            <w:tcW w:w="2860" w:type="dxa"/>
            <w:vAlign w:val="bottom"/>
            <w:gridSpan w:val="6"/>
          </w:tcPr>
          <w:p>
            <w:pPr>
              <w:ind w:left="460"/>
              <w:spacing w:after="0"/>
              <w:rPr>
                <w:sz w:val="20"/>
                <w:szCs w:val="20"/>
                <w:color w:val="auto"/>
              </w:rPr>
            </w:pPr>
            <w:r>
              <w:rPr>
                <w:rFonts w:ascii="Times New Roman" w:cs="Times New Roman" w:eastAsia="Times New Roman" w:hAnsi="Times New Roman"/>
                <w:sz w:val="14"/>
                <w:szCs w:val="14"/>
                <w:b w:val="1"/>
                <w:bCs w:val="1"/>
                <w:color w:val="auto"/>
              </w:rPr>
              <w:t>Year Ended December 31, 2024</w:t>
            </w:r>
          </w:p>
        </w:tc>
        <w:tc>
          <w:tcPr>
            <w:tcW w:w="220" w:type="dxa"/>
            <w:vAlign w:val="bottom"/>
          </w:tcPr>
          <w:p>
            <w:pPr>
              <w:spacing w:after="0"/>
              <w:rPr>
                <w:sz w:val="15"/>
                <w:szCs w:val="15"/>
                <w:color w:val="auto"/>
              </w:rPr>
            </w:pPr>
          </w:p>
        </w:tc>
        <w:tc>
          <w:tcPr>
            <w:tcW w:w="2780" w:type="dxa"/>
            <w:vAlign w:val="bottom"/>
            <w:gridSpan w:val="6"/>
          </w:tcPr>
          <w:p>
            <w:pPr>
              <w:jc w:val="center"/>
              <w:spacing w:after="0"/>
              <w:rPr>
                <w:sz w:val="20"/>
                <w:szCs w:val="20"/>
                <w:color w:val="auto"/>
              </w:rPr>
            </w:pPr>
            <w:r>
              <w:rPr>
                <w:rFonts w:ascii="Times New Roman" w:cs="Times New Roman" w:eastAsia="Times New Roman" w:hAnsi="Times New Roman"/>
                <w:sz w:val="14"/>
                <w:szCs w:val="14"/>
                <w:b w:val="1"/>
                <w:bCs w:val="1"/>
                <w:color w:val="auto"/>
              </w:rPr>
              <w:t>Year Ended December 31, 2023</w:t>
            </w:r>
          </w:p>
        </w:tc>
        <w:tc>
          <w:tcPr>
            <w:tcW w:w="220" w:type="dxa"/>
            <w:vAlign w:val="bottom"/>
          </w:tcPr>
          <w:p>
            <w:pPr>
              <w:spacing w:after="0"/>
              <w:rPr>
                <w:sz w:val="15"/>
                <w:szCs w:val="15"/>
                <w:color w:val="auto"/>
              </w:rPr>
            </w:pPr>
          </w:p>
        </w:tc>
        <w:tc>
          <w:tcPr>
            <w:tcW w:w="2940" w:type="dxa"/>
            <w:vAlign w:val="bottom"/>
            <w:gridSpan w:val="7"/>
          </w:tcPr>
          <w:p>
            <w:pPr>
              <w:ind w:left="440"/>
              <w:spacing w:after="0"/>
              <w:rPr>
                <w:sz w:val="20"/>
                <w:szCs w:val="20"/>
                <w:color w:val="auto"/>
              </w:rPr>
            </w:pPr>
            <w:r>
              <w:rPr>
                <w:rFonts w:ascii="Times New Roman" w:cs="Times New Roman" w:eastAsia="Times New Roman" w:hAnsi="Times New Roman"/>
                <w:sz w:val="14"/>
                <w:szCs w:val="14"/>
                <w:b w:val="1"/>
                <w:bCs w:val="1"/>
                <w:color w:val="auto"/>
              </w:rPr>
              <w:t>Year Ended December 31, 2022</w:t>
            </w:r>
          </w:p>
        </w:tc>
        <w:tc>
          <w:tcPr>
            <w:tcW w:w="0" w:type="dxa"/>
            <w:vAlign w:val="bottom"/>
          </w:tcPr>
          <w:p>
            <w:pPr>
              <w:spacing w:after="0"/>
              <w:rPr>
                <w:sz w:val="1"/>
                <w:szCs w:val="1"/>
                <w:color w:val="auto"/>
              </w:rPr>
            </w:pPr>
          </w:p>
        </w:tc>
      </w:tr>
      <w:tr>
        <w:trPr>
          <w:trHeight w:val="117"/>
        </w:trPr>
        <w:tc>
          <w:tcPr>
            <w:tcW w:w="2220" w:type="dxa"/>
            <w:vAlign w:val="bottom"/>
          </w:tcPr>
          <w:p>
            <w:pPr>
              <w:spacing w:after="0"/>
              <w:rPr>
                <w:sz w:val="10"/>
                <w:szCs w:val="10"/>
                <w:color w:val="auto"/>
              </w:rPr>
            </w:pPr>
          </w:p>
        </w:tc>
        <w:tc>
          <w:tcPr>
            <w:tcW w:w="820" w:type="dxa"/>
            <w:vAlign w:val="bottom"/>
            <w:tcBorders>
              <w:top w:val="single" w:sz="8" w:color="auto"/>
            </w:tcBorders>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Contractual</w:t>
            </w:r>
          </w:p>
        </w:tc>
        <w:tc>
          <w:tcPr>
            <w:tcW w:w="240" w:type="dxa"/>
            <w:vAlign w:val="bottom"/>
            <w:tcBorders>
              <w:top w:val="single" w:sz="8" w:color="auto"/>
            </w:tcBorders>
          </w:tcPr>
          <w:p>
            <w:pPr>
              <w:spacing w:after="0"/>
              <w:rPr>
                <w:sz w:val="10"/>
                <w:szCs w:val="10"/>
                <w:color w:val="auto"/>
              </w:rPr>
            </w:pPr>
          </w:p>
        </w:tc>
        <w:tc>
          <w:tcPr>
            <w:tcW w:w="800" w:type="dxa"/>
            <w:vAlign w:val="bottom"/>
            <w:tcBorders>
              <w:top w:val="single" w:sz="8" w:color="auto"/>
            </w:tcBorders>
            <w:gridSpan w:val="2"/>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Amortizatio</w:t>
            </w:r>
          </w:p>
        </w:tc>
        <w:tc>
          <w:tcPr>
            <w:tcW w:w="220" w:type="dxa"/>
            <w:vAlign w:val="bottom"/>
            <w:tcBorders>
              <w:top w:val="single" w:sz="8" w:color="auto"/>
            </w:tcBorders>
          </w:tcPr>
          <w:p>
            <w:pPr>
              <w:spacing w:after="0"/>
              <w:rPr>
                <w:sz w:val="10"/>
                <w:szCs w:val="10"/>
                <w:color w:val="auto"/>
              </w:rPr>
            </w:pPr>
          </w:p>
        </w:tc>
        <w:tc>
          <w:tcPr>
            <w:tcW w:w="780" w:type="dxa"/>
            <w:vAlign w:val="bottom"/>
            <w:tcBorders>
              <w:top w:val="single" w:sz="8" w:color="auto"/>
            </w:tcBorders>
          </w:tcPr>
          <w:p>
            <w:pPr>
              <w:spacing w:after="0"/>
              <w:rPr>
                <w:sz w:val="10"/>
                <w:szCs w:val="10"/>
                <w:color w:val="auto"/>
              </w:rPr>
            </w:pPr>
          </w:p>
        </w:tc>
        <w:tc>
          <w:tcPr>
            <w:tcW w:w="220" w:type="dxa"/>
            <w:vAlign w:val="bottom"/>
          </w:tcPr>
          <w:p>
            <w:pPr>
              <w:spacing w:after="0"/>
              <w:rPr>
                <w:sz w:val="10"/>
                <w:szCs w:val="10"/>
                <w:color w:val="auto"/>
              </w:rPr>
            </w:pPr>
          </w:p>
        </w:tc>
        <w:tc>
          <w:tcPr>
            <w:tcW w:w="780" w:type="dxa"/>
            <w:vAlign w:val="bottom"/>
            <w:tcBorders>
              <w:top w:val="single" w:sz="8" w:color="auto"/>
            </w:tcBorders>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Contractual</w:t>
            </w:r>
          </w:p>
        </w:tc>
        <w:tc>
          <w:tcPr>
            <w:tcW w:w="220" w:type="dxa"/>
            <w:vAlign w:val="bottom"/>
            <w:tcBorders>
              <w:top w:val="single" w:sz="8" w:color="auto"/>
            </w:tcBorders>
          </w:tcPr>
          <w:p>
            <w:pPr>
              <w:spacing w:after="0"/>
              <w:rPr>
                <w:sz w:val="10"/>
                <w:szCs w:val="10"/>
                <w:color w:val="auto"/>
              </w:rPr>
            </w:pPr>
          </w:p>
        </w:tc>
        <w:tc>
          <w:tcPr>
            <w:tcW w:w="780" w:type="dxa"/>
            <w:vAlign w:val="bottom"/>
            <w:tcBorders>
              <w:top w:val="single" w:sz="8" w:color="auto"/>
            </w:tcBorders>
            <w:gridSpan w:val="2"/>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Amortizatio</w:t>
            </w:r>
          </w:p>
        </w:tc>
        <w:tc>
          <w:tcPr>
            <w:tcW w:w="220" w:type="dxa"/>
            <w:vAlign w:val="bottom"/>
            <w:tcBorders>
              <w:top w:val="single" w:sz="8" w:color="auto"/>
            </w:tcBorders>
          </w:tcPr>
          <w:p>
            <w:pPr>
              <w:spacing w:after="0"/>
              <w:rPr>
                <w:sz w:val="10"/>
                <w:szCs w:val="10"/>
                <w:color w:val="auto"/>
              </w:rPr>
            </w:pPr>
          </w:p>
        </w:tc>
        <w:tc>
          <w:tcPr>
            <w:tcW w:w="780" w:type="dxa"/>
            <w:vAlign w:val="bottom"/>
            <w:tcBorders>
              <w:top w:val="single" w:sz="8" w:color="auto"/>
            </w:tcBorders>
          </w:tcPr>
          <w:p>
            <w:pPr>
              <w:spacing w:after="0"/>
              <w:rPr>
                <w:sz w:val="10"/>
                <w:szCs w:val="10"/>
                <w:color w:val="auto"/>
              </w:rPr>
            </w:pPr>
          </w:p>
        </w:tc>
        <w:tc>
          <w:tcPr>
            <w:tcW w:w="220" w:type="dxa"/>
            <w:vAlign w:val="bottom"/>
          </w:tcPr>
          <w:p>
            <w:pPr>
              <w:spacing w:after="0"/>
              <w:rPr>
                <w:sz w:val="10"/>
                <w:szCs w:val="10"/>
                <w:color w:val="auto"/>
              </w:rPr>
            </w:pPr>
          </w:p>
        </w:tc>
        <w:tc>
          <w:tcPr>
            <w:tcW w:w="780" w:type="dxa"/>
            <w:vAlign w:val="bottom"/>
            <w:tcBorders>
              <w:top w:val="single" w:sz="8" w:color="auto"/>
            </w:tcBorders>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Contractual</w:t>
            </w:r>
          </w:p>
        </w:tc>
        <w:tc>
          <w:tcPr>
            <w:tcW w:w="220" w:type="dxa"/>
            <w:vAlign w:val="bottom"/>
            <w:tcBorders>
              <w:top w:val="single" w:sz="8" w:color="auto"/>
            </w:tcBorders>
          </w:tcPr>
          <w:p>
            <w:pPr>
              <w:spacing w:after="0"/>
              <w:rPr>
                <w:sz w:val="10"/>
                <w:szCs w:val="10"/>
                <w:color w:val="auto"/>
              </w:rPr>
            </w:pPr>
          </w:p>
        </w:tc>
        <w:tc>
          <w:tcPr>
            <w:tcW w:w="780" w:type="dxa"/>
            <w:vAlign w:val="bottom"/>
            <w:tcBorders>
              <w:top w:val="single" w:sz="8" w:color="auto"/>
            </w:tcBorders>
            <w:gridSpan w:val="2"/>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Amortizatio</w:t>
            </w:r>
          </w:p>
        </w:tc>
        <w:tc>
          <w:tcPr>
            <w:tcW w:w="220" w:type="dxa"/>
            <w:vAlign w:val="bottom"/>
            <w:tcBorders>
              <w:top w:val="single" w:sz="8" w:color="auto"/>
            </w:tcBorders>
          </w:tcPr>
          <w:p>
            <w:pPr>
              <w:spacing w:after="0"/>
              <w:rPr>
                <w:sz w:val="10"/>
                <w:szCs w:val="10"/>
                <w:color w:val="auto"/>
              </w:rPr>
            </w:pPr>
          </w:p>
        </w:tc>
        <w:tc>
          <w:tcPr>
            <w:tcW w:w="840" w:type="dxa"/>
            <w:vAlign w:val="bottom"/>
            <w:tcBorders>
              <w:top w:val="single" w:sz="8" w:color="auto"/>
            </w:tcBorders>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8"/>
        </w:trPr>
        <w:tc>
          <w:tcPr>
            <w:tcW w:w="2220" w:type="dxa"/>
            <w:vAlign w:val="bottom"/>
          </w:tcPr>
          <w:p>
            <w:pPr>
              <w:spacing w:after="0"/>
              <w:rPr>
                <w:sz w:val="12"/>
                <w:szCs w:val="12"/>
                <w:color w:val="auto"/>
              </w:rPr>
            </w:pPr>
          </w:p>
        </w:tc>
        <w:tc>
          <w:tcPr>
            <w:tcW w:w="82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700" w:type="dxa"/>
            <w:vAlign w:val="bottom"/>
          </w:tcPr>
          <w:p>
            <w:pPr>
              <w:jc w:val="center"/>
              <w:ind w:right="24"/>
              <w:spacing w:after="0" w:line="149" w:lineRule="exact"/>
              <w:rPr>
                <w:sz w:val="20"/>
                <w:szCs w:val="20"/>
                <w:color w:val="auto"/>
              </w:rPr>
            </w:pPr>
            <w:r>
              <w:rPr>
                <w:rFonts w:ascii="Times New Roman" w:cs="Times New Roman" w:eastAsia="Times New Roman" w:hAnsi="Times New Roman"/>
                <w:sz w:val="14"/>
                <w:szCs w:val="14"/>
                <w:b w:val="1"/>
                <w:bCs w:val="1"/>
                <w:color w:val="auto"/>
              </w:rPr>
              <w:t>n of</w:t>
            </w:r>
          </w:p>
        </w:tc>
        <w:tc>
          <w:tcPr>
            <w:tcW w:w="22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78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680" w:type="dxa"/>
            <w:vAlign w:val="bottom"/>
          </w:tcPr>
          <w:p>
            <w:pPr>
              <w:jc w:val="center"/>
              <w:ind w:right="44"/>
              <w:spacing w:after="0" w:line="149" w:lineRule="exact"/>
              <w:rPr>
                <w:sz w:val="20"/>
                <w:szCs w:val="20"/>
                <w:color w:val="auto"/>
              </w:rPr>
            </w:pPr>
            <w:r>
              <w:rPr>
                <w:rFonts w:ascii="Times New Roman" w:cs="Times New Roman" w:eastAsia="Times New Roman" w:hAnsi="Times New Roman"/>
                <w:sz w:val="14"/>
                <w:szCs w:val="14"/>
                <w:b w:val="1"/>
                <w:bCs w:val="1"/>
                <w:color w:val="auto"/>
              </w:rPr>
              <w:t>n of</w:t>
            </w:r>
          </w:p>
        </w:tc>
        <w:tc>
          <w:tcPr>
            <w:tcW w:w="22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78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680" w:type="dxa"/>
            <w:vAlign w:val="bottom"/>
          </w:tcPr>
          <w:p>
            <w:pPr>
              <w:jc w:val="center"/>
              <w:ind w:right="44"/>
              <w:spacing w:after="0" w:line="149" w:lineRule="exact"/>
              <w:rPr>
                <w:sz w:val="20"/>
                <w:szCs w:val="20"/>
                <w:color w:val="auto"/>
              </w:rPr>
            </w:pPr>
            <w:r>
              <w:rPr>
                <w:rFonts w:ascii="Times New Roman" w:cs="Times New Roman" w:eastAsia="Times New Roman" w:hAnsi="Times New Roman"/>
                <w:sz w:val="14"/>
                <w:szCs w:val="14"/>
                <w:b w:val="1"/>
                <w:bCs w:val="1"/>
                <w:color w:val="auto"/>
              </w:rPr>
              <w:t>n of</w:t>
            </w:r>
          </w:p>
        </w:tc>
        <w:tc>
          <w:tcPr>
            <w:tcW w:w="220" w:type="dxa"/>
            <w:vAlign w:val="bottom"/>
          </w:tcPr>
          <w:p>
            <w:pPr>
              <w:spacing w:after="0"/>
              <w:rPr>
                <w:sz w:val="12"/>
                <w:szCs w:val="12"/>
                <w:color w:val="auto"/>
              </w:rPr>
            </w:pPr>
          </w:p>
        </w:tc>
        <w:tc>
          <w:tcPr>
            <w:tcW w:w="84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9"/>
        </w:trPr>
        <w:tc>
          <w:tcPr>
            <w:tcW w:w="2220" w:type="dxa"/>
            <w:vAlign w:val="bottom"/>
          </w:tcPr>
          <w:p>
            <w:pPr>
              <w:spacing w:after="0"/>
              <w:rPr>
                <w:sz w:val="12"/>
                <w:szCs w:val="12"/>
                <w:color w:val="auto"/>
              </w:rPr>
            </w:pPr>
          </w:p>
        </w:tc>
        <w:tc>
          <w:tcPr>
            <w:tcW w:w="8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Interest</w:t>
            </w:r>
          </w:p>
        </w:tc>
        <w:tc>
          <w:tcPr>
            <w:tcW w:w="24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700" w:type="dxa"/>
            <w:vAlign w:val="bottom"/>
          </w:tcPr>
          <w:p>
            <w:pPr>
              <w:jc w:val="center"/>
              <w:ind w:right="64"/>
              <w:spacing w:after="0" w:line="149" w:lineRule="exact"/>
              <w:rPr>
                <w:sz w:val="20"/>
                <w:szCs w:val="20"/>
                <w:color w:val="auto"/>
              </w:rPr>
            </w:pPr>
            <w:r>
              <w:rPr>
                <w:rFonts w:ascii="Times New Roman" w:cs="Times New Roman" w:eastAsia="Times New Roman" w:hAnsi="Times New Roman"/>
                <w:sz w:val="14"/>
                <w:szCs w:val="14"/>
                <w:b w:val="1"/>
                <w:bCs w:val="1"/>
                <w:color w:val="auto"/>
              </w:rPr>
              <w:t>Issuance</w:t>
            </w:r>
          </w:p>
        </w:tc>
        <w:tc>
          <w:tcPr>
            <w:tcW w:w="220" w:type="dxa"/>
            <w:vAlign w:val="bottom"/>
          </w:tcPr>
          <w:p>
            <w:pPr>
              <w:spacing w:after="0"/>
              <w:rPr>
                <w:sz w:val="12"/>
                <w:szCs w:val="12"/>
                <w:color w:val="auto"/>
              </w:rPr>
            </w:pPr>
          </w:p>
        </w:tc>
        <w:tc>
          <w:tcPr>
            <w:tcW w:w="78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Total</w:t>
            </w:r>
          </w:p>
        </w:tc>
        <w:tc>
          <w:tcPr>
            <w:tcW w:w="220" w:type="dxa"/>
            <w:vAlign w:val="bottom"/>
          </w:tcPr>
          <w:p>
            <w:pPr>
              <w:spacing w:after="0"/>
              <w:rPr>
                <w:sz w:val="12"/>
                <w:szCs w:val="12"/>
                <w:color w:val="auto"/>
              </w:rPr>
            </w:pPr>
          </w:p>
        </w:tc>
        <w:tc>
          <w:tcPr>
            <w:tcW w:w="7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Interest</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680" w:type="dxa"/>
            <w:vAlign w:val="bottom"/>
          </w:tcPr>
          <w:p>
            <w:pPr>
              <w:jc w:val="center"/>
              <w:ind w:right="64"/>
              <w:spacing w:after="0" w:line="149" w:lineRule="exact"/>
              <w:rPr>
                <w:sz w:val="20"/>
                <w:szCs w:val="20"/>
                <w:color w:val="auto"/>
              </w:rPr>
            </w:pPr>
            <w:r>
              <w:rPr>
                <w:rFonts w:ascii="Times New Roman" w:cs="Times New Roman" w:eastAsia="Times New Roman" w:hAnsi="Times New Roman"/>
                <w:sz w:val="14"/>
                <w:szCs w:val="14"/>
                <w:b w:val="1"/>
                <w:bCs w:val="1"/>
                <w:color w:val="auto"/>
              </w:rPr>
              <w:t>Issuance</w:t>
            </w:r>
          </w:p>
        </w:tc>
        <w:tc>
          <w:tcPr>
            <w:tcW w:w="220" w:type="dxa"/>
            <w:vAlign w:val="bottom"/>
          </w:tcPr>
          <w:p>
            <w:pPr>
              <w:spacing w:after="0"/>
              <w:rPr>
                <w:sz w:val="12"/>
                <w:szCs w:val="12"/>
                <w:color w:val="auto"/>
              </w:rPr>
            </w:pPr>
          </w:p>
        </w:tc>
        <w:tc>
          <w:tcPr>
            <w:tcW w:w="78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Total</w:t>
            </w:r>
          </w:p>
        </w:tc>
        <w:tc>
          <w:tcPr>
            <w:tcW w:w="220" w:type="dxa"/>
            <w:vAlign w:val="bottom"/>
          </w:tcPr>
          <w:p>
            <w:pPr>
              <w:spacing w:after="0"/>
              <w:rPr>
                <w:sz w:val="12"/>
                <w:szCs w:val="12"/>
                <w:color w:val="auto"/>
              </w:rPr>
            </w:pPr>
          </w:p>
        </w:tc>
        <w:tc>
          <w:tcPr>
            <w:tcW w:w="7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Interest</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680" w:type="dxa"/>
            <w:vAlign w:val="bottom"/>
          </w:tcPr>
          <w:p>
            <w:pPr>
              <w:jc w:val="center"/>
              <w:ind w:right="84"/>
              <w:spacing w:after="0" w:line="149" w:lineRule="exact"/>
              <w:rPr>
                <w:sz w:val="20"/>
                <w:szCs w:val="20"/>
                <w:color w:val="auto"/>
              </w:rPr>
            </w:pPr>
            <w:r>
              <w:rPr>
                <w:rFonts w:ascii="Times New Roman" w:cs="Times New Roman" w:eastAsia="Times New Roman" w:hAnsi="Times New Roman"/>
                <w:sz w:val="14"/>
                <w:szCs w:val="14"/>
                <w:b w:val="1"/>
                <w:bCs w:val="1"/>
                <w:color w:val="auto"/>
              </w:rPr>
              <w:t>Issuance</w:t>
            </w:r>
          </w:p>
        </w:tc>
        <w:tc>
          <w:tcPr>
            <w:tcW w:w="220" w:type="dxa"/>
            <w:vAlign w:val="bottom"/>
          </w:tcPr>
          <w:p>
            <w:pPr>
              <w:spacing w:after="0"/>
              <w:rPr>
                <w:sz w:val="12"/>
                <w:szCs w:val="12"/>
                <w:color w:val="auto"/>
              </w:rPr>
            </w:pPr>
          </w:p>
        </w:tc>
        <w:tc>
          <w:tcPr>
            <w:tcW w:w="84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vMerge w:val="restart"/>
          </w:tcPr>
          <w:p>
            <w:pPr>
              <w:spacing w:after="0"/>
              <w:rPr>
                <w:sz w:val="12"/>
                <w:szCs w:val="12"/>
                <w:color w:val="auto"/>
              </w:rPr>
            </w:pPr>
          </w:p>
        </w:tc>
        <w:tc>
          <w:tcPr>
            <w:tcW w:w="0" w:type="dxa"/>
            <w:vAlign w:val="bottom"/>
          </w:tcPr>
          <w:p>
            <w:pPr>
              <w:spacing w:after="0"/>
              <w:rPr>
                <w:sz w:val="1"/>
                <w:szCs w:val="1"/>
                <w:color w:val="auto"/>
              </w:rPr>
            </w:pPr>
          </w:p>
        </w:tc>
      </w:tr>
      <w:tr>
        <w:trPr>
          <w:trHeight w:val="173"/>
        </w:trPr>
        <w:tc>
          <w:tcPr>
            <w:tcW w:w="2220" w:type="dxa"/>
            <w:vAlign w:val="bottom"/>
          </w:tcPr>
          <w:p>
            <w:pPr>
              <w:spacing w:after="0"/>
              <w:rPr>
                <w:sz w:val="15"/>
                <w:szCs w:val="15"/>
                <w:color w:val="auto"/>
              </w:rPr>
            </w:pPr>
          </w:p>
        </w:tc>
        <w:tc>
          <w:tcPr>
            <w:tcW w:w="8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Expense</w:t>
            </w:r>
          </w:p>
        </w:tc>
        <w:tc>
          <w:tcPr>
            <w:tcW w:w="24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700" w:type="dxa"/>
            <w:vAlign w:val="bottom"/>
            <w:tcBorders>
              <w:bottom w:val="single" w:sz="8" w:color="auto"/>
            </w:tcBorders>
          </w:tcPr>
          <w:p>
            <w:pPr>
              <w:jc w:val="center"/>
              <w:ind w:right="44"/>
              <w:spacing w:after="0"/>
              <w:rPr>
                <w:sz w:val="20"/>
                <w:szCs w:val="20"/>
                <w:color w:val="auto"/>
              </w:rPr>
            </w:pPr>
            <w:r>
              <w:rPr>
                <w:rFonts w:ascii="Times New Roman" w:cs="Times New Roman" w:eastAsia="Times New Roman" w:hAnsi="Times New Roman"/>
                <w:sz w:val="14"/>
                <w:szCs w:val="14"/>
                <w:b w:val="1"/>
                <w:bCs w:val="1"/>
                <w:color w:val="auto"/>
              </w:rPr>
              <w:t>Costs</w:t>
            </w:r>
          </w:p>
        </w:tc>
        <w:tc>
          <w:tcPr>
            <w:tcW w:w="220" w:type="dxa"/>
            <w:vAlign w:val="bottom"/>
          </w:tcPr>
          <w:p>
            <w:pPr>
              <w:spacing w:after="0"/>
              <w:rPr>
                <w:sz w:val="15"/>
                <w:szCs w:val="15"/>
                <w:color w:val="auto"/>
              </w:rPr>
            </w:pPr>
          </w:p>
        </w:tc>
        <w:tc>
          <w:tcPr>
            <w:tcW w:w="780" w:type="dxa"/>
            <w:vAlign w:val="bottom"/>
            <w:tcBorders>
              <w:bottom w:val="single" w:sz="8" w:color="auto"/>
            </w:tcBorders>
            <w:vMerge w:val="continue"/>
          </w:tcPr>
          <w:p>
            <w:pPr>
              <w:spacing w:after="0"/>
              <w:rPr>
                <w:sz w:val="15"/>
                <w:szCs w:val="15"/>
                <w:color w:val="auto"/>
              </w:rPr>
            </w:pPr>
          </w:p>
        </w:tc>
        <w:tc>
          <w:tcPr>
            <w:tcW w:w="220" w:type="dxa"/>
            <w:vAlign w:val="bottom"/>
          </w:tcPr>
          <w:p>
            <w:pPr>
              <w:spacing w:after="0"/>
              <w:rPr>
                <w:sz w:val="15"/>
                <w:szCs w:val="15"/>
                <w:color w:val="auto"/>
              </w:rPr>
            </w:pPr>
          </w:p>
        </w:tc>
        <w:tc>
          <w:tcPr>
            <w:tcW w:w="7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Expense</w:t>
            </w: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680" w:type="dxa"/>
            <w:vAlign w:val="bottom"/>
            <w:tcBorders>
              <w:bottom w:val="single" w:sz="8" w:color="auto"/>
            </w:tcBorders>
          </w:tcPr>
          <w:p>
            <w:pPr>
              <w:jc w:val="center"/>
              <w:ind w:right="24"/>
              <w:spacing w:after="0"/>
              <w:rPr>
                <w:sz w:val="20"/>
                <w:szCs w:val="20"/>
                <w:color w:val="auto"/>
              </w:rPr>
            </w:pPr>
            <w:r>
              <w:rPr>
                <w:rFonts w:ascii="Times New Roman" w:cs="Times New Roman" w:eastAsia="Times New Roman" w:hAnsi="Times New Roman"/>
                <w:sz w:val="14"/>
                <w:szCs w:val="14"/>
                <w:b w:val="1"/>
                <w:bCs w:val="1"/>
                <w:color w:val="auto"/>
              </w:rPr>
              <w:t>Costs</w:t>
            </w:r>
          </w:p>
        </w:tc>
        <w:tc>
          <w:tcPr>
            <w:tcW w:w="220" w:type="dxa"/>
            <w:vAlign w:val="bottom"/>
          </w:tcPr>
          <w:p>
            <w:pPr>
              <w:spacing w:after="0"/>
              <w:rPr>
                <w:sz w:val="15"/>
                <w:szCs w:val="15"/>
                <w:color w:val="auto"/>
              </w:rPr>
            </w:pPr>
          </w:p>
        </w:tc>
        <w:tc>
          <w:tcPr>
            <w:tcW w:w="780" w:type="dxa"/>
            <w:vAlign w:val="bottom"/>
            <w:tcBorders>
              <w:bottom w:val="single" w:sz="8" w:color="auto"/>
            </w:tcBorders>
            <w:vMerge w:val="continue"/>
          </w:tcPr>
          <w:p>
            <w:pPr>
              <w:spacing w:after="0"/>
              <w:rPr>
                <w:sz w:val="15"/>
                <w:szCs w:val="15"/>
                <w:color w:val="auto"/>
              </w:rPr>
            </w:pPr>
          </w:p>
        </w:tc>
        <w:tc>
          <w:tcPr>
            <w:tcW w:w="220" w:type="dxa"/>
            <w:vAlign w:val="bottom"/>
          </w:tcPr>
          <w:p>
            <w:pPr>
              <w:spacing w:after="0"/>
              <w:rPr>
                <w:sz w:val="15"/>
                <w:szCs w:val="15"/>
                <w:color w:val="auto"/>
              </w:rPr>
            </w:pPr>
          </w:p>
        </w:tc>
        <w:tc>
          <w:tcPr>
            <w:tcW w:w="7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Expense</w:t>
            </w: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680" w:type="dxa"/>
            <w:vAlign w:val="bottom"/>
            <w:tcBorders>
              <w:bottom w:val="single" w:sz="8" w:color="auto"/>
            </w:tcBorders>
          </w:tcPr>
          <w:p>
            <w:pPr>
              <w:jc w:val="center"/>
              <w:ind w:right="44"/>
              <w:spacing w:after="0"/>
              <w:rPr>
                <w:sz w:val="20"/>
                <w:szCs w:val="20"/>
                <w:color w:val="auto"/>
              </w:rPr>
            </w:pPr>
            <w:r>
              <w:rPr>
                <w:rFonts w:ascii="Times New Roman" w:cs="Times New Roman" w:eastAsia="Times New Roman" w:hAnsi="Times New Roman"/>
                <w:sz w:val="14"/>
                <w:szCs w:val="14"/>
                <w:b w:val="1"/>
                <w:bCs w:val="1"/>
                <w:color w:val="auto"/>
                <w:w w:val="97"/>
              </w:rPr>
              <w:t>Costs</w:t>
            </w:r>
          </w:p>
        </w:tc>
        <w:tc>
          <w:tcPr>
            <w:tcW w:w="220" w:type="dxa"/>
            <w:vAlign w:val="bottom"/>
          </w:tcPr>
          <w:p>
            <w:pPr>
              <w:spacing w:after="0"/>
              <w:rPr>
                <w:sz w:val="15"/>
                <w:szCs w:val="15"/>
                <w:color w:val="auto"/>
              </w:rPr>
            </w:pPr>
          </w:p>
        </w:tc>
        <w:tc>
          <w:tcPr>
            <w:tcW w:w="840" w:type="dxa"/>
            <w:vAlign w:val="bottom"/>
            <w:tcBorders>
              <w:bottom w:val="single" w:sz="8" w:color="auto"/>
            </w:tcBorders>
            <w:vMerge w:val="continue"/>
          </w:tcPr>
          <w:p>
            <w:pPr>
              <w:spacing w:after="0"/>
              <w:rPr>
                <w:sz w:val="15"/>
                <w:szCs w:val="15"/>
                <w:color w:val="auto"/>
              </w:rPr>
            </w:pPr>
          </w:p>
        </w:tc>
        <w:tc>
          <w:tcPr>
            <w:tcW w:w="100" w:type="dxa"/>
            <w:vAlign w:val="bottom"/>
            <w:vMerge w:val="continue"/>
          </w:tcPr>
          <w:p>
            <w:pPr>
              <w:spacing w:after="0"/>
              <w:rPr>
                <w:sz w:val="15"/>
                <w:szCs w:val="15"/>
                <w:color w:val="auto"/>
              </w:rPr>
            </w:pPr>
          </w:p>
        </w:tc>
        <w:tc>
          <w:tcPr>
            <w:tcW w:w="0" w:type="dxa"/>
            <w:vAlign w:val="bottom"/>
          </w:tcPr>
          <w:p>
            <w:pPr>
              <w:spacing w:after="0"/>
              <w:rPr>
                <w:sz w:val="1"/>
                <w:szCs w:val="1"/>
                <w:color w:val="auto"/>
              </w:rPr>
            </w:pPr>
          </w:p>
        </w:tc>
      </w:tr>
      <w:tr>
        <w:trPr>
          <w:trHeight w:val="210"/>
        </w:trPr>
        <w:tc>
          <w:tcPr>
            <w:tcW w:w="22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2028 Secured Notes</w:t>
            </w:r>
          </w:p>
        </w:tc>
        <w:tc>
          <w:tcPr>
            <w:tcW w:w="82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8"/>
                <w:szCs w:val="18"/>
                <w:color w:val="auto"/>
              </w:rPr>
              <w:t>$  22,628</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1,287</w:t>
            </w:r>
          </w:p>
        </w:tc>
        <w:tc>
          <w:tcPr>
            <w:tcW w:w="10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  23,915</w:t>
            </w:r>
          </w:p>
        </w:tc>
        <w:tc>
          <w:tcPr>
            <w:tcW w:w="1000" w:type="dxa"/>
            <w:vAlign w:val="bottom"/>
            <w:gridSpan w:val="2"/>
            <w:shd w:val="clear" w:color="auto" w:fill="CFF0FC"/>
          </w:tcPr>
          <w:p>
            <w:pPr>
              <w:jc w:val="center"/>
              <w:ind w:left="130"/>
              <w:spacing w:after="0"/>
              <w:rPr>
                <w:sz w:val="20"/>
                <w:szCs w:val="20"/>
                <w:color w:val="auto"/>
              </w:rPr>
            </w:pPr>
            <w:r>
              <w:rPr>
                <w:rFonts w:ascii="Times New Roman" w:cs="Times New Roman" w:eastAsia="Times New Roman" w:hAnsi="Times New Roman"/>
                <w:sz w:val="18"/>
                <w:szCs w:val="18"/>
                <w:color w:val="auto"/>
              </w:rPr>
              <w:t>$  30,625</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1,646</w:t>
            </w:r>
          </w:p>
        </w:tc>
        <w:tc>
          <w:tcPr>
            <w:tcW w:w="10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  32,271</w:t>
            </w:r>
          </w:p>
        </w:tc>
        <w:tc>
          <w:tcPr>
            <w:tcW w:w="1000" w:type="dxa"/>
            <w:vAlign w:val="bottom"/>
            <w:gridSpan w:val="2"/>
            <w:shd w:val="clear" w:color="auto" w:fill="CFF0FC"/>
          </w:tcPr>
          <w:p>
            <w:pPr>
              <w:jc w:val="center"/>
              <w:ind w:left="130"/>
              <w:spacing w:after="0"/>
              <w:rPr>
                <w:sz w:val="20"/>
                <w:szCs w:val="20"/>
                <w:color w:val="auto"/>
              </w:rPr>
            </w:pPr>
            <w:r>
              <w:rPr>
                <w:rFonts w:ascii="Times New Roman" w:cs="Times New Roman" w:eastAsia="Times New Roman" w:hAnsi="Times New Roman"/>
                <w:sz w:val="18"/>
                <w:szCs w:val="18"/>
                <w:color w:val="auto"/>
              </w:rPr>
              <w:t>$  30,625</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1,541</w:t>
            </w:r>
          </w:p>
        </w:tc>
        <w:tc>
          <w:tcPr>
            <w:tcW w:w="10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   32,166</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bl>
    <w:p>
      <w:pPr>
        <w:spacing w:after="0" w:line="19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 paid $23.9 million, $30.6 million, and $30.6 million, respectively, in interest related to the 2028 Secured Notes during the years ended December 31, 2024, 2023, and 2022.</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Secured Term Loan</w:t>
      </w:r>
    </w:p>
    <w:p>
      <w:pPr>
        <w:spacing w:after="0" w:line="121"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On March 23, 2022, MacroStrategy, a wholly-owned subsidiary of the Company, entered into a Credit and Security Agreement (the “Credit and Security Agreement”) with Silvergate pursuant to which Silvergate issued the $205.0 million 2025 Secured Term Loan to MacroStrategy.</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On March 24, 2023, MacroStrategy and Silvergate entered into a Prepayment, Waiver and Payoff to Credit and Security Agreement, pursuant to which MacroStrategy voluntarily prepaid Silvergate approximately $161.0 million (the “Payoff Amount”), in full repayment, satisfaction, and discharge of the 2025 Secured Term Loan and all other obligations under the Credit and Security Agreement. Upon Silvergate’s receipt of the Payoff Amount on March 24, 2023, the Credit and Security Agreement was terminated and Silvergate released its security interest in all of MacroStrategy’s assets collateralizing the 2025 Secured Term Loan, including the bitcoin that was serving as collateral.</w:t>
      </w:r>
    </w:p>
    <w:p>
      <w:pPr>
        <w:spacing w:after="0" w:line="7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Payoff Amount consisted of a $159.9 million payment to repay the full $205.0 million outstanding principal amount of the 2025 Secured Term Loan as of March 24, 2023 and a $1.1 million payment for accrued unpaid interest on the 2025 Secured Term Loan as of March 24, 2023. The Company also incurred $0.1 million in third party fees in connection with the repayment of the 2025 Secured Term Loan. The net carrying value of the 2025 Secured Term Loan as of March 24, 2023, immediately prior to the loan’s repayment, was $204.7 million, which resulted in a $44.7 million gain on debt extinguishment recognized in the Company’s Consolidated Statement of Operations in the first quarter of 2023.</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6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96" w:name="page97"/>
    <w:bookmarkEnd w:id="96"/>
    <w:p>
      <w:pPr>
        <w:jc w:val="both"/>
        <w:spacing w:after="0" w:line="258" w:lineRule="auto"/>
        <w:rPr>
          <w:sz w:val="20"/>
          <w:szCs w:val="20"/>
          <w:color w:val="auto"/>
        </w:rPr>
      </w:pPr>
      <w:r>
        <w:rPr>
          <w:rFonts w:ascii="Times New Roman" w:cs="Times New Roman" w:eastAsia="Times New Roman" w:hAnsi="Times New Roman"/>
          <w:sz w:val="18"/>
          <w:szCs w:val="18"/>
          <w:color w:val="auto"/>
        </w:rPr>
        <w:t>Prior to the prepayment, the 2025 Secured Term Loan was a senior secured obligation of MacroStrategy that bore interest at a floating rate equal to the Secured Overnight Financing Rate 30 Day Average, as published by the Federal Reserve Bank of New York’s website, plus 3.70%, with a floor of 3.75%, with interest payable monthly in arrears beginning May 2022. The 2025 Secured Term Loan was scheduled to mature on March 23, 2025, unless earlier prepaid or repaid in accordance with the terms of the Credit and Security Agreement. The total net proceeds from the 2025 Secured Term Loan, after deducting lender fees and third-party costs, were approximately $204.6 million.</w:t>
      </w:r>
    </w:p>
    <w:p>
      <w:pPr>
        <w:spacing w:after="0" w:line="7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In accordance with the terms of the Credit and Security Agreement, the 2025 Secured Term Loan was initially collateralized at closing by bitcoin with a value of approximately $820.0 million placed in a collateral account (the “Bitcoin Collateral Account”) with a custodian mutually authorized by Silvergate and MacroStrategy. While the 2025 Secured Term Loan was outstanding, MacroStrategy was required to maintain a loan to collateral value ratio (“LTV Ratio”) of less than 50%. As a result, MacroStrategy was required to maintain more than $410.0 million of bitcoin in the Bitcoin Collateral Account, assuming the full $205.0 million of 2025 Secured Term Loan principal remained outstanding.</w:t>
      </w:r>
    </w:p>
    <w:p>
      <w:pPr>
        <w:spacing w:after="0" w:line="7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incurred approximately $0.4 million in lender fees and third-party costs (“issuance costs”) associated with the 2025 Secured Term Loan. The Company accounted for these issuance costs as a reduction to the principal amount of the 2025 Secured Term Loan and amortized the issuance costs to interest expense over the contractual term of the 2025 Secured Term Loan at an effective interest rate of 3.87% until the 2025 Secured Term Loan's prepayment in March 2023.</w:t>
      </w:r>
    </w:p>
    <w:p>
      <w:pPr>
        <w:spacing w:after="0" w:line="72"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No interest expense related to the 2025 Secured Term Loan was recognized after the debt was repaid in full during the first quarter of 2023. For the years ended December 31, 2023 and 2022, interest expense related to the 2025 Secured Term Loan was as follows (in thousands):</w:t>
      </w:r>
    </w:p>
    <w:p>
      <w:pPr>
        <w:spacing w:after="0" w:line="155"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262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3180" w:type="dxa"/>
            <w:vAlign w:val="bottom"/>
            <w:tcBorders>
              <w:bottom w:val="single" w:sz="8" w:color="auto"/>
            </w:tcBorders>
            <w:gridSpan w:val="6"/>
          </w:tcPr>
          <w:p>
            <w:pPr>
              <w:jc w:val="right"/>
              <w:ind w:right="220"/>
              <w:spacing w:after="0"/>
              <w:rPr>
                <w:sz w:val="20"/>
                <w:szCs w:val="20"/>
                <w:color w:val="auto"/>
              </w:rPr>
            </w:pPr>
            <w:r>
              <w:rPr>
                <w:rFonts w:ascii="Times New Roman" w:cs="Times New Roman" w:eastAsia="Times New Roman" w:hAnsi="Times New Roman"/>
                <w:sz w:val="14"/>
                <w:szCs w:val="14"/>
                <w:b w:val="1"/>
                <w:bCs w:val="1"/>
                <w:color w:val="auto"/>
              </w:rPr>
              <w:t>Year Ended December 31, 2023</w:t>
            </w:r>
          </w:p>
        </w:tc>
        <w:tc>
          <w:tcPr>
            <w:tcW w:w="960" w:type="dxa"/>
            <w:vAlign w:val="bottom"/>
            <w:tcBorders>
              <w:bottom w:val="single" w:sz="8" w:color="auto"/>
            </w:tcBorders>
          </w:tcPr>
          <w:p>
            <w:pPr>
              <w:spacing w:after="0"/>
              <w:rPr>
                <w:sz w:val="15"/>
                <w:szCs w:val="15"/>
                <w:color w:val="auto"/>
              </w:rPr>
            </w:pP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3040" w:type="dxa"/>
            <w:vAlign w:val="bottom"/>
            <w:tcBorders>
              <w:bottom w:val="single" w:sz="8" w:color="auto"/>
            </w:tcBorders>
            <w:gridSpan w:val="6"/>
          </w:tcPr>
          <w:p>
            <w:pPr>
              <w:jc w:val="right"/>
              <w:ind w:right="160"/>
              <w:spacing w:after="0"/>
              <w:rPr>
                <w:sz w:val="20"/>
                <w:szCs w:val="20"/>
                <w:color w:val="auto"/>
              </w:rPr>
            </w:pPr>
            <w:r>
              <w:rPr>
                <w:rFonts w:ascii="Times New Roman" w:cs="Times New Roman" w:eastAsia="Times New Roman" w:hAnsi="Times New Roman"/>
                <w:sz w:val="14"/>
                <w:szCs w:val="14"/>
                <w:b w:val="1"/>
                <w:bCs w:val="1"/>
                <w:color w:val="auto"/>
              </w:rPr>
              <w:t>Year Ended December 31, 2022</w:t>
            </w:r>
          </w:p>
        </w:tc>
        <w:tc>
          <w:tcPr>
            <w:tcW w:w="90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17"/>
        </w:trPr>
        <w:tc>
          <w:tcPr>
            <w:tcW w:w="26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1220" w:type="dxa"/>
            <w:vAlign w:val="bottom"/>
          </w:tcPr>
          <w:p>
            <w:pPr>
              <w:jc w:val="center"/>
              <w:ind w:right="45"/>
              <w:spacing w:after="0" w:line="118" w:lineRule="exact"/>
              <w:rPr>
                <w:sz w:val="20"/>
                <w:szCs w:val="20"/>
                <w:color w:val="auto"/>
              </w:rPr>
            </w:pPr>
            <w:r>
              <w:rPr>
                <w:rFonts w:ascii="Times New Roman" w:cs="Times New Roman" w:eastAsia="Times New Roman" w:hAnsi="Times New Roman"/>
                <w:sz w:val="13"/>
                <w:szCs w:val="13"/>
                <w:b w:val="1"/>
                <w:bCs w:val="1"/>
                <w:color w:val="auto"/>
              </w:rPr>
              <w:t>Contractual</w:t>
            </w:r>
          </w:p>
        </w:tc>
        <w:tc>
          <w:tcPr>
            <w:tcW w:w="2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1120" w:type="dxa"/>
            <w:vAlign w:val="bottom"/>
          </w:tcPr>
          <w:p>
            <w:pPr>
              <w:jc w:val="center"/>
              <w:ind w:right="64"/>
              <w:spacing w:after="0" w:line="118" w:lineRule="exact"/>
              <w:rPr>
                <w:sz w:val="20"/>
                <w:szCs w:val="20"/>
                <w:color w:val="auto"/>
              </w:rPr>
            </w:pPr>
            <w:r>
              <w:rPr>
                <w:rFonts w:ascii="Times New Roman" w:cs="Times New Roman" w:eastAsia="Times New Roman" w:hAnsi="Times New Roman"/>
                <w:sz w:val="13"/>
                <w:szCs w:val="13"/>
                <w:b w:val="1"/>
                <w:bCs w:val="1"/>
                <w:color w:val="auto"/>
              </w:rPr>
              <w:t>Amortization of</w:t>
            </w:r>
          </w:p>
        </w:tc>
        <w:tc>
          <w:tcPr>
            <w:tcW w:w="22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960" w:type="dxa"/>
            <w:vAlign w:val="bottom"/>
            <w:vMerge w:val="restart"/>
          </w:tcPr>
          <w:p>
            <w:pPr>
              <w:jc w:val="right"/>
              <w:ind w:right="379"/>
              <w:spacing w:after="0"/>
              <w:rPr>
                <w:sz w:val="20"/>
                <w:szCs w:val="20"/>
                <w:color w:val="auto"/>
              </w:rPr>
            </w:pPr>
            <w:r>
              <w:rPr>
                <w:rFonts w:ascii="Times New Roman" w:cs="Times New Roman" w:eastAsia="Times New Roman" w:hAnsi="Times New Roman"/>
                <w:sz w:val="14"/>
                <w:szCs w:val="14"/>
                <w:b w:val="1"/>
                <w:bCs w:val="1"/>
                <w:color w:val="auto"/>
              </w:rPr>
              <w:t>Total</w:t>
            </w:r>
          </w:p>
        </w:tc>
        <w:tc>
          <w:tcPr>
            <w:tcW w:w="2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1180" w:type="dxa"/>
            <w:vAlign w:val="bottom"/>
          </w:tcPr>
          <w:p>
            <w:pPr>
              <w:jc w:val="center"/>
              <w:ind w:right="45"/>
              <w:spacing w:after="0" w:line="118" w:lineRule="exact"/>
              <w:rPr>
                <w:sz w:val="20"/>
                <w:szCs w:val="20"/>
                <w:color w:val="auto"/>
              </w:rPr>
            </w:pPr>
            <w:r>
              <w:rPr>
                <w:rFonts w:ascii="Times New Roman" w:cs="Times New Roman" w:eastAsia="Times New Roman" w:hAnsi="Times New Roman"/>
                <w:sz w:val="13"/>
                <w:szCs w:val="13"/>
                <w:b w:val="1"/>
                <w:bCs w:val="1"/>
                <w:color w:val="auto"/>
              </w:rPr>
              <w:t>Contractual</w:t>
            </w:r>
          </w:p>
        </w:tc>
        <w:tc>
          <w:tcPr>
            <w:tcW w:w="220" w:type="dxa"/>
            <w:vAlign w:val="bottom"/>
          </w:tcPr>
          <w:p>
            <w:pPr>
              <w:spacing w:after="0"/>
              <w:rPr>
                <w:sz w:val="10"/>
                <w:szCs w:val="10"/>
                <w:color w:val="auto"/>
              </w:rPr>
            </w:pPr>
          </w:p>
        </w:tc>
        <w:tc>
          <w:tcPr>
            <w:tcW w:w="1180" w:type="dxa"/>
            <w:vAlign w:val="bottom"/>
            <w:gridSpan w:val="2"/>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Amortization of</w:t>
            </w:r>
          </w:p>
        </w:tc>
        <w:tc>
          <w:tcPr>
            <w:tcW w:w="2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900" w:type="dxa"/>
            <w:vAlign w:val="bottom"/>
            <w:vMerge w:val="restart"/>
          </w:tcPr>
          <w:p>
            <w:pPr>
              <w:jc w:val="right"/>
              <w:ind w:right="339"/>
              <w:spacing w:after="0"/>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vMerge w:val="restart"/>
          </w:tcPr>
          <w:p>
            <w:pPr>
              <w:spacing w:after="0"/>
              <w:rPr>
                <w:sz w:val="10"/>
                <w:szCs w:val="10"/>
                <w:color w:val="auto"/>
              </w:rPr>
            </w:pPr>
          </w:p>
        </w:tc>
        <w:tc>
          <w:tcPr>
            <w:tcW w:w="0" w:type="dxa"/>
            <w:vAlign w:val="bottom"/>
          </w:tcPr>
          <w:p>
            <w:pPr>
              <w:spacing w:after="0"/>
              <w:rPr>
                <w:sz w:val="1"/>
                <w:szCs w:val="1"/>
                <w:color w:val="auto"/>
              </w:rPr>
            </w:pPr>
          </w:p>
        </w:tc>
      </w:tr>
      <w:tr>
        <w:trPr>
          <w:trHeight w:val="173"/>
        </w:trPr>
        <w:tc>
          <w:tcPr>
            <w:tcW w:w="262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220" w:type="dxa"/>
            <w:vAlign w:val="bottom"/>
            <w:tcBorders>
              <w:bottom w:val="single" w:sz="8" w:color="auto"/>
            </w:tcBorders>
          </w:tcPr>
          <w:p>
            <w:pPr>
              <w:jc w:val="center"/>
              <w:ind w:right="65"/>
              <w:spacing w:after="0"/>
              <w:rPr>
                <w:sz w:val="20"/>
                <w:szCs w:val="20"/>
                <w:color w:val="auto"/>
              </w:rPr>
            </w:pPr>
            <w:r>
              <w:rPr>
                <w:rFonts w:ascii="Times New Roman" w:cs="Times New Roman" w:eastAsia="Times New Roman" w:hAnsi="Times New Roman"/>
                <w:sz w:val="14"/>
                <w:szCs w:val="14"/>
                <w:b w:val="1"/>
                <w:bCs w:val="1"/>
                <w:color w:val="auto"/>
              </w:rPr>
              <w:t>Interest Expense</w:t>
            </w:r>
          </w:p>
        </w:tc>
        <w:tc>
          <w:tcPr>
            <w:tcW w:w="22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120" w:type="dxa"/>
            <w:vAlign w:val="bottom"/>
            <w:tcBorders>
              <w:bottom w:val="single" w:sz="8" w:color="auto"/>
            </w:tcBorders>
          </w:tcPr>
          <w:p>
            <w:pPr>
              <w:jc w:val="center"/>
              <w:ind w:right="64"/>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5"/>
                <w:szCs w:val="15"/>
                <w:color w:val="auto"/>
              </w:rPr>
            </w:pPr>
          </w:p>
        </w:tc>
        <w:tc>
          <w:tcPr>
            <w:tcW w:w="280" w:type="dxa"/>
            <w:vAlign w:val="bottom"/>
            <w:tcBorders>
              <w:bottom w:val="single" w:sz="8" w:color="auto"/>
            </w:tcBorders>
          </w:tcPr>
          <w:p>
            <w:pPr>
              <w:spacing w:after="0"/>
              <w:rPr>
                <w:sz w:val="15"/>
                <w:szCs w:val="15"/>
                <w:color w:val="auto"/>
              </w:rPr>
            </w:pPr>
          </w:p>
        </w:tc>
        <w:tc>
          <w:tcPr>
            <w:tcW w:w="960" w:type="dxa"/>
            <w:vAlign w:val="bottom"/>
            <w:tcBorders>
              <w:bottom w:val="single" w:sz="8" w:color="auto"/>
            </w:tcBorders>
            <w:vMerge w:val="continue"/>
          </w:tcPr>
          <w:p>
            <w:pPr>
              <w:spacing w:after="0"/>
              <w:rPr>
                <w:sz w:val="15"/>
                <w:szCs w:val="15"/>
                <w:color w:val="auto"/>
              </w:rPr>
            </w:pP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1180" w:type="dxa"/>
            <w:vAlign w:val="bottom"/>
            <w:tcBorders>
              <w:bottom w:val="single" w:sz="8" w:color="auto"/>
            </w:tcBorders>
          </w:tcPr>
          <w:p>
            <w:pPr>
              <w:jc w:val="center"/>
              <w:ind w:right="45"/>
              <w:spacing w:after="0"/>
              <w:rPr>
                <w:sz w:val="20"/>
                <w:szCs w:val="20"/>
                <w:color w:val="auto"/>
              </w:rPr>
            </w:pPr>
            <w:r>
              <w:rPr>
                <w:rFonts w:ascii="Times New Roman" w:cs="Times New Roman" w:eastAsia="Times New Roman" w:hAnsi="Times New Roman"/>
                <w:sz w:val="14"/>
                <w:szCs w:val="14"/>
                <w:b w:val="1"/>
                <w:bCs w:val="1"/>
                <w:color w:val="auto"/>
              </w:rPr>
              <w:t>Interest Expense</w:t>
            </w:r>
          </w:p>
        </w:tc>
        <w:tc>
          <w:tcPr>
            <w:tcW w:w="22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060" w:type="dxa"/>
            <w:vAlign w:val="bottom"/>
            <w:tcBorders>
              <w:bottom w:val="single" w:sz="8" w:color="auto"/>
            </w:tcBorders>
          </w:tcPr>
          <w:p>
            <w:pPr>
              <w:jc w:val="center"/>
              <w:ind w:right="39"/>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900" w:type="dxa"/>
            <w:vAlign w:val="bottom"/>
            <w:tcBorders>
              <w:bottom w:val="single" w:sz="8" w:color="auto"/>
            </w:tcBorders>
            <w:vMerge w:val="continue"/>
          </w:tcPr>
          <w:p>
            <w:pPr>
              <w:spacing w:after="0"/>
              <w:rPr>
                <w:sz w:val="15"/>
                <w:szCs w:val="15"/>
                <w:color w:val="auto"/>
              </w:rPr>
            </w:pPr>
          </w:p>
        </w:tc>
        <w:tc>
          <w:tcPr>
            <w:tcW w:w="100" w:type="dxa"/>
            <w:vAlign w:val="bottom"/>
            <w:vMerge w:val="continue"/>
          </w:tcPr>
          <w:p>
            <w:pPr>
              <w:spacing w:after="0"/>
              <w:rPr>
                <w:sz w:val="15"/>
                <w:szCs w:val="15"/>
                <w:color w:val="auto"/>
              </w:rPr>
            </w:pPr>
          </w:p>
        </w:tc>
        <w:tc>
          <w:tcPr>
            <w:tcW w:w="0" w:type="dxa"/>
            <w:vAlign w:val="bottom"/>
          </w:tcPr>
          <w:p>
            <w:pPr>
              <w:spacing w:after="0"/>
              <w:rPr>
                <w:sz w:val="1"/>
                <w:szCs w:val="1"/>
                <w:color w:val="auto"/>
              </w:rPr>
            </w:pPr>
          </w:p>
        </w:tc>
      </w:tr>
      <w:tr>
        <w:trPr>
          <w:trHeight w:val="210"/>
        </w:trPr>
        <w:tc>
          <w:tcPr>
            <w:tcW w:w="2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 Secured Term Loan</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3,781</w:t>
            </w:r>
          </w:p>
        </w:tc>
        <w:tc>
          <w:tcPr>
            <w:tcW w:w="34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w:t>
            </w:r>
          </w:p>
        </w:tc>
        <w:tc>
          <w:tcPr>
            <w:tcW w:w="50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3,812</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9,006</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103</w:t>
            </w:r>
          </w:p>
        </w:tc>
        <w:tc>
          <w:tcPr>
            <w:tcW w:w="4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9,109</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bl>
    <w:p>
      <w:pPr>
        <w:spacing w:after="0" w:line="22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paid a final $5.1 million in interest related to the 2025 Secured Term Loan during the first quarter of 2023, $1.1 million of which was included in the Payoff Amount. The Company paid $7.7 million in interest related to the 2025 Secured Term Loan during the year ended December 31, 2022.</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Other long-term secured debt</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In June 2022, the Company, through a wholly-owned subsidiary, entered into a secured term loan agreement in the amount of $11.1 million, bearing interest at an annual rate of 5.2%, and maturing in June 2027. The loan is secured by certain non-bitcoin assets of the Company that are not otherwise serving as collateral for any of the Company’s other indebtedness. After monthly payments made under the terms of the agreement, the loan had a net carrying value of $9.7 million and $10.2 million as of December 31, 2024 and 2023, respectively, and an outstanding principal balance of $9.8 million and $10.3 million as of December 31, 2024 and 2023, respectively. As of December 31, 2024 and 2023, $0.5 million and $0.5 million of the respective net carrying values were short-term and presented in "Current portion of long-term debt, net" in the Consolidated Balance Sheets.</w:t>
      </w: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Maturities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following table shows the maturities of the Company’s debt instruments as of December 31, 2024 (in thousands). The principal payments related to the 2028 Convertible Notes, 2029 Convertible Notes, 2030 Convertible Notes, 2031 Convertible Notes, and 2032 Convertible Notes are included in the table below as if the holders exercised their right to require the Company to repurchase all of the respective convertible notes on their respective Date of Holder Put Option.</w:t>
      </w:r>
    </w:p>
    <w:p>
      <w:pPr>
        <w:spacing w:after="0" w:line="161"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262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720" w:type="dxa"/>
            <w:vAlign w:val="bottom"/>
          </w:tcPr>
          <w:p>
            <w:pPr>
              <w:jc w:val="center"/>
              <w:ind w:right="133"/>
              <w:spacing w:after="0"/>
              <w:rPr>
                <w:sz w:val="20"/>
                <w:szCs w:val="20"/>
                <w:color w:val="auto"/>
              </w:rPr>
            </w:pPr>
            <w:r>
              <w:rPr>
                <w:rFonts w:ascii="Times New Roman" w:cs="Times New Roman" w:eastAsia="Times New Roman" w:hAnsi="Times New Roman"/>
                <w:sz w:val="14"/>
                <w:szCs w:val="14"/>
                <w:b w:val="1"/>
                <w:bCs w:val="1"/>
                <w:color w:val="auto"/>
              </w:rPr>
              <w:t>2027</w:t>
            </w:r>
          </w:p>
        </w:tc>
        <w:tc>
          <w:tcPr>
            <w:tcW w:w="22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720" w:type="dxa"/>
            <w:vAlign w:val="bottom"/>
          </w:tcPr>
          <w:p>
            <w:pPr>
              <w:jc w:val="center"/>
              <w:ind w:right="113"/>
              <w:spacing w:after="0"/>
              <w:rPr>
                <w:sz w:val="20"/>
                <w:szCs w:val="20"/>
                <w:color w:val="auto"/>
              </w:rPr>
            </w:pPr>
            <w:r>
              <w:rPr>
                <w:rFonts w:ascii="Times New Roman" w:cs="Times New Roman" w:eastAsia="Times New Roman" w:hAnsi="Times New Roman"/>
                <w:sz w:val="14"/>
                <w:szCs w:val="14"/>
                <w:b w:val="1"/>
                <w:bCs w:val="1"/>
                <w:color w:val="auto"/>
                <w:w w:val="99"/>
              </w:rPr>
              <w:t>2028</w:t>
            </w:r>
          </w:p>
        </w:tc>
        <w:tc>
          <w:tcPr>
            <w:tcW w:w="20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720" w:type="dxa"/>
            <w:vAlign w:val="bottom"/>
          </w:tcPr>
          <w:p>
            <w:pPr>
              <w:jc w:val="center"/>
              <w:ind w:right="113"/>
              <w:spacing w:after="0"/>
              <w:rPr>
                <w:sz w:val="20"/>
                <w:szCs w:val="20"/>
                <w:color w:val="auto"/>
              </w:rPr>
            </w:pPr>
            <w:r>
              <w:rPr>
                <w:rFonts w:ascii="Times New Roman" w:cs="Times New Roman" w:eastAsia="Times New Roman" w:hAnsi="Times New Roman"/>
                <w:sz w:val="14"/>
                <w:szCs w:val="14"/>
                <w:b w:val="1"/>
                <w:bCs w:val="1"/>
                <w:color w:val="auto"/>
                <w:w w:val="99"/>
              </w:rPr>
              <w:t>2029</w:t>
            </w:r>
          </w:p>
        </w:tc>
        <w:tc>
          <w:tcPr>
            <w:tcW w:w="20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700" w:type="dxa"/>
            <w:vAlign w:val="bottom"/>
          </w:tcPr>
          <w:p>
            <w:pPr>
              <w:jc w:val="center"/>
              <w:ind w:right="134"/>
              <w:spacing w:after="0"/>
              <w:rPr>
                <w:sz w:val="20"/>
                <w:szCs w:val="20"/>
                <w:color w:val="auto"/>
              </w:rPr>
            </w:pPr>
            <w:r>
              <w:rPr>
                <w:rFonts w:ascii="Times New Roman" w:cs="Times New Roman" w:eastAsia="Times New Roman" w:hAnsi="Times New Roman"/>
                <w:sz w:val="14"/>
                <w:szCs w:val="14"/>
                <w:b w:val="1"/>
                <w:bCs w:val="1"/>
                <w:color w:val="auto"/>
                <w:w w:val="99"/>
              </w:rPr>
              <w:t>2030</w:t>
            </w:r>
          </w:p>
        </w:tc>
        <w:tc>
          <w:tcPr>
            <w:tcW w:w="20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700" w:type="dxa"/>
            <w:vAlign w:val="bottom"/>
          </w:tcPr>
          <w:p>
            <w:pPr>
              <w:jc w:val="center"/>
              <w:ind w:right="134"/>
              <w:spacing w:after="0"/>
              <w:rPr>
                <w:sz w:val="20"/>
                <w:szCs w:val="20"/>
                <w:color w:val="auto"/>
              </w:rPr>
            </w:pPr>
            <w:r>
              <w:rPr>
                <w:rFonts w:ascii="Times New Roman" w:cs="Times New Roman" w:eastAsia="Times New Roman" w:hAnsi="Times New Roman"/>
                <w:sz w:val="14"/>
                <w:szCs w:val="14"/>
                <w:b w:val="1"/>
                <w:bCs w:val="1"/>
                <w:color w:val="auto"/>
                <w:w w:val="99"/>
              </w:rPr>
              <w:t>2031</w:t>
            </w:r>
          </w:p>
        </w:tc>
        <w:tc>
          <w:tcPr>
            <w:tcW w:w="20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700" w:type="dxa"/>
            <w:vAlign w:val="bottom"/>
          </w:tcPr>
          <w:p>
            <w:pPr>
              <w:jc w:val="center"/>
              <w:ind w:right="134"/>
              <w:spacing w:after="0"/>
              <w:rPr>
                <w:sz w:val="20"/>
                <w:szCs w:val="20"/>
                <w:color w:val="auto"/>
              </w:rPr>
            </w:pPr>
            <w:r>
              <w:rPr>
                <w:rFonts w:ascii="Times New Roman" w:cs="Times New Roman" w:eastAsia="Times New Roman" w:hAnsi="Times New Roman"/>
                <w:sz w:val="14"/>
                <w:szCs w:val="14"/>
                <w:b w:val="1"/>
                <w:bCs w:val="1"/>
                <w:color w:val="auto"/>
                <w:w w:val="99"/>
              </w:rPr>
              <w:t>2032</w:t>
            </w:r>
          </w:p>
        </w:tc>
        <w:tc>
          <w:tcPr>
            <w:tcW w:w="200" w:type="dxa"/>
            <w:vAlign w:val="bottom"/>
          </w:tcPr>
          <w:p>
            <w:pPr>
              <w:spacing w:after="0"/>
              <w:rPr>
                <w:sz w:val="13"/>
                <w:szCs w:val="13"/>
                <w:color w:val="auto"/>
              </w:rPr>
            </w:pPr>
          </w:p>
        </w:tc>
        <w:tc>
          <w:tcPr>
            <w:tcW w:w="880" w:type="dxa"/>
            <w:vAlign w:val="bottom"/>
            <w:gridSpan w:val="2"/>
          </w:tcPr>
          <w:p>
            <w:pPr>
              <w:jc w:val="right"/>
              <w:spacing w:after="0"/>
              <w:rPr>
                <w:sz w:val="20"/>
                <w:szCs w:val="20"/>
                <w:color w:val="auto"/>
              </w:rPr>
            </w:pPr>
            <w:r>
              <w:rPr>
                <w:rFonts w:ascii="Times New Roman" w:cs="Times New Roman" w:eastAsia="Times New Roman" w:hAnsi="Times New Roman"/>
                <w:sz w:val="14"/>
                <w:szCs w:val="14"/>
                <w:b w:val="1"/>
                <w:bCs w:val="1"/>
                <w:color w:val="auto"/>
              </w:rPr>
              <w:t>Other long-</w:t>
            </w:r>
          </w:p>
        </w:tc>
        <w:tc>
          <w:tcPr>
            <w:tcW w:w="20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60"/>
        </w:trPr>
        <w:tc>
          <w:tcPr>
            <w:tcW w:w="2620" w:type="dxa"/>
            <w:vAlign w:val="bottom"/>
          </w:tcPr>
          <w:p>
            <w:pPr>
              <w:ind w:left="20"/>
              <w:spacing w:after="0" w:line="160" w:lineRule="exact"/>
              <w:rPr>
                <w:sz w:val="20"/>
                <w:szCs w:val="20"/>
                <w:color w:val="auto"/>
              </w:rPr>
            </w:pPr>
            <w:r>
              <w:rPr>
                <w:rFonts w:ascii="Times New Roman" w:cs="Times New Roman" w:eastAsia="Times New Roman" w:hAnsi="Times New Roman"/>
                <w:sz w:val="14"/>
                <w:szCs w:val="14"/>
                <w:b w:val="1"/>
                <w:bCs w:val="1"/>
                <w:color w:val="auto"/>
              </w:rPr>
              <w:t>Payments due by period ended</w:t>
            </w:r>
          </w:p>
        </w:tc>
        <w:tc>
          <w:tcPr>
            <w:tcW w:w="900" w:type="dxa"/>
            <w:vAlign w:val="bottom"/>
            <w:gridSpan w:val="2"/>
          </w:tcPr>
          <w:p>
            <w:pPr>
              <w:jc w:val="center"/>
              <w:spacing w:after="0" w:line="160"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220" w:type="dxa"/>
            <w:vAlign w:val="bottom"/>
          </w:tcPr>
          <w:p>
            <w:pPr>
              <w:spacing w:after="0"/>
              <w:rPr>
                <w:sz w:val="13"/>
                <w:szCs w:val="13"/>
                <w:color w:val="auto"/>
              </w:rPr>
            </w:pPr>
          </w:p>
        </w:tc>
        <w:tc>
          <w:tcPr>
            <w:tcW w:w="880" w:type="dxa"/>
            <w:vAlign w:val="bottom"/>
            <w:gridSpan w:val="2"/>
          </w:tcPr>
          <w:p>
            <w:pPr>
              <w:jc w:val="center"/>
              <w:spacing w:after="0" w:line="160"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200" w:type="dxa"/>
            <w:vAlign w:val="bottom"/>
          </w:tcPr>
          <w:p>
            <w:pPr>
              <w:spacing w:after="0"/>
              <w:rPr>
                <w:sz w:val="13"/>
                <w:szCs w:val="13"/>
                <w:color w:val="auto"/>
              </w:rPr>
            </w:pPr>
          </w:p>
        </w:tc>
        <w:tc>
          <w:tcPr>
            <w:tcW w:w="1080" w:type="dxa"/>
            <w:vAlign w:val="bottom"/>
            <w:gridSpan w:val="3"/>
          </w:tcPr>
          <w:p>
            <w:pPr>
              <w:jc w:val="center"/>
              <w:ind w:right="240"/>
              <w:spacing w:after="0" w:line="160"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880" w:type="dxa"/>
            <w:vAlign w:val="bottom"/>
            <w:gridSpan w:val="2"/>
          </w:tcPr>
          <w:p>
            <w:pPr>
              <w:jc w:val="center"/>
              <w:spacing w:after="0" w:line="160"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200" w:type="dxa"/>
            <w:vAlign w:val="bottom"/>
          </w:tcPr>
          <w:p>
            <w:pPr>
              <w:spacing w:after="0"/>
              <w:rPr>
                <w:sz w:val="13"/>
                <w:szCs w:val="13"/>
                <w:color w:val="auto"/>
              </w:rPr>
            </w:pPr>
          </w:p>
        </w:tc>
        <w:tc>
          <w:tcPr>
            <w:tcW w:w="880" w:type="dxa"/>
            <w:vAlign w:val="bottom"/>
            <w:gridSpan w:val="2"/>
          </w:tcPr>
          <w:p>
            <w:pPr>
              <w:jc w:val="center"/>
              <w:spacing w:after="0" w:line="160"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200" w:type="dxa"/>
            <w:vAlign w:val="bottom"/>
          </w:tcPr>
          <w:p>
            <w:pPr>
              <w:spacing w:after="0"/>
              <w:rPr>
                <w:sz w:val="13"/>
                <w:szCs w:val="13"/>
                <w:color w:val="auto"/>
              </w:rPr>
            </w:pPr>
          </w:p>
        </w:tc>
        <w:tc>
          <w:tcPr>
            <w:tcW w:w="880" w:type="dxa"/>
            <w:vAlign w:val="bottom"/>
            <w:gridSpan w:val="2"/>
          </w:tcPr>
          <w:p>
            <w:pPr>
              <w:jc w:val="center"/>
              <w:spacing w:after="0" w:line="160"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200" w:type="dxa"/>
            <w:vAlign w:val="bottom"/>
          </w:tcPr>
          <w:p>
            <w:pPr>
              <w:spacing w:after="0"/>
              <w:rPr>
                <w:sz w:val="13"/>
                <w:szCs w:val="13"/>
                <w:color w:val="auto"/>
              </w:rPr>
            </w:pPr>
          </w:p>
        </w:tc>
        <w:tc>
          <w:tcPr>
            <w:tcW w:w="880" w:type="dxa"/>
            <w:vAlign w:val="bottom"/>
            <w:gridSpan w:val="2"/>
          </w:tcPr>
          <w:p>
            <w:pPr>
              <w:ind w:left="20"/>
              <w:spacing w:after="0" w:line="160" w:lineRule="exact"/>
              <w:rPr>
                <w:sz w:val="20"/>
                <w:szCs w:val="20"/>
                <w:color w:val="auto"/>
              </w:rPr>
            </w:pPr>
            <w:r>
              <w:rPr>
                <w:rFonts w:ascii="Times New Roman" w:cs="Times New Roman" w:eastAsia="Times New Roman" w:hAnsi="Times New Roman"/>
                <w:sz w:val="14"/>
                <w:szCs w:val="14"/>
                <w:b w:val="1"/>
                <w:bCs w:val="1"/>
                <w:color w:val="auto"/>
              </w:rPr>
              <w:t>term secured</w:t>
            </w:r>
          </w:p>
        </w:tc>
        <w:tc>
          <w:tcPr>
            <w:tcW w:w="20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780" w:type="dxa"/>
            <w:vAlign w:val="bottom"/>
            <w:vMerge w:val="restart"/>
          </w:tcPr>
          <w:p>
            <w:pPr>
              <w:jc w:val="right"/>
              <w:ind w:right="212"/>
              <w:spacing w:after="0"/>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vMerge w:val="restart"/>
          </w:tcPr>
          <w:p>
            <w:pPr>
              <w:spacing w:after="0"/>
              <w:rPr>
                <w:sz w:val="13"/>
                <w:szCs w:val="13"/>
                <w:color w:val="auto"/>
              </w:rPr>
            </w:pPr>
          </w:p>
        </w:tc>
        <w:tc>
          <w:tcPr>
            <w:tcW w:w="0" w:type="dxa"/>
            <w:vAlign w:val="bottom"/>
          </w:tcPr>
          <w:p>
            <w:pPr>
              <w:spacing w:after="0"/>
              <w:rPr>
                <w:sz w:val="1"/>
                <w:szCs w:val="1"/>
                <w:color w:val="auto"/>
              </w:rPr>
            </w:pPr>
          </w:p>
        </w:tc>
      </w:tr>
      <w:tr>
        <w:trPr>
          <w:trHeight w:val="162"/>
        </w:trPr>
        <w:tc>
          <w:tcPr>
            <w:tcW w:w="262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180" w:type="dxa"/>
            <w:vAlign w:val="bottom"/>
            <w:tcBorders>
              <w:bottom w:val="single" w:sz="8" w:color="auto"/>
            </w:tcBorders>
          </w:tcPr>
          <w:p>
            <w:pPr>
              <w:spacing w:after="0"/>
              <w:rPr>
                <w:sz w:val="14"/>
                <w:szCs w:val="14"/>
                <w:color w:val="auto"/>
              </w:rPr>
            </w:pPr>
          </w:p>
        </w:tc>
        <w:tc>
          <w:tcPr>
            <w:tcW w:w="720" w:type="dxa"/>
            <w:vAlign w:val="bottom"/>
            <w:tcBorders>
              <w:bottom w:val="single" w:sz="8" w:color="auto"/>
            </w:tcBorders>
          </w:tcPr>
          <w:p>
            <w:pPr>
              <w:jc w:val="center"/>
              <w:ind w:right="93"/>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20" w:type="dxa"/>
            <w:vAlign w:val="bottom"/>
          </w:tcPr>
          <w:p>
            <w:pPr>
              <w:spacing w:after="0"/>
              <w:rPr>
                <w:sz w:val="14"/>
                <w:szCs w:val="14"/>
                <w:color w:val="auto"/>
              </w:rPr>
            </w:pPr>
          </w:p>
        </w:tc>
        <w:tc>
          <w:tcPr>
            <w:tcW w:w="160" w:type="dxa"/>
            <w:vAlign w:val="bottom"/>
            <w:tcBorders>
              <w:bottom w:val="single" w:sz="8" w:color="auto"/>
            </w:tcBorders>
          </w:tcPr>
          <w:p>
            <w:pPr>
              <w:spacing w:after="0"/>
              <w:rPr>
                <w:sz w:val="14"/>
                <w:szCs w:val="14"/>
                <w:color w:val="auto"/>
              </w:rPr>
            </w:pPr>
          </w:p>
        </w:tc>
        <w:tc>
          <w:tcPr>
            <w:tcW w:w="720" w:type="dxa"/>
            <w:vAlign w:val="bottom"/>
            <w:tcBorders>
              <w:bottom w:val="single" w:sz="8" w:color="auto"/>
            </w:tcBorders>
          </w:tcPr>
          <w:p>
            <w:pPr>
              <w:jc w:val="center"/>
              <w:ind w:right="93"/>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00" w:type="dxa"/>
            <w:vAlign w:val="bottom"/>
          </w:tcPr>
          <w:p>
            <w:pPr>
              <w:spacing w:after="0"/>
              <w:rPr>
                <w:sz w:val="14"/>
                <w:szCs w:val="14"/>
                <w:color w:val="auto"/>
              </w:rPr>
            </w:pPr>
          </w:p>
        </w:tc>
        <w:tc>
          <w:tcPr>
            <w:tcW w:w="160" w:type="dxa"/>
            <w:vAlign w:val="bottom"/>
            <w:tcBorders>
              <w:bottom w:val="single" w:sz="8" w:color="auto"/>
            </w:tcBorders>
          </w:tcPr>
          <w:p>
            <w:pPr>
              <w:spacing w:after="0"/>
              <w:rPr>
                <w:sz w:val="14"/>
                <w:szCs w:val="14"/>
                <w:color w:val="auto"/>
              </w:rPr>
            </w:pPr>
          </w:p>
        </w:tc>
        <w:tc>
          <w:tcPr>
            <w:tcW w:w="720" w:type="dxa"/>
            <w:vAlign w:val="bottom"/>
            <w:tcBorders>
              <w:bottom w:val="single" w:sz="8" w:color="auto"/>
            </w:tcBorders>
          </w:tcPr>
          <w:p>
            <w:pPr>
              <w:jc w:val="center"/>
              <w:ind w:right="93"/>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00" w:type="dxa"/>
            <w:vAlign w:val="bottom"/>
          </w:tcPr>
          <w:p>
            <w:pPr>
              <w:spacing w:after="0"/>
              <w:rPr>
                <w:sz w:val="14"/>
                <w:szCs w:val="14"/>
                <w:color w:val="auto"/>
              </w:rPr>
            </w:pPr>
          </w:p>
        </w:tc>
        <w:tc>
          <w:tcPr>
            <w:tcW w:w="180" w:type="dxa"/>
            <w:vAlign w:val="bottom"/>
            <w:tcBorders>
              <w:bottom w:val="single" w:sz="8" w:color="auto"/>
            </w:tcBorders>
          </w:tcPr>
          <w:p>
            <w:pPr>
              <w:spacing w:after="0"/>
              <w:rPr>
                <w:sz w:val="14"/>
                <w:szCs w:val="14"/>
                <w:color w:val="auto"/>
              </w:rPr>
            </w:pPr>
          </w:p>
        </w:tc>
        <w:tc>
          <w:tcPr>
            <w:tcW w:w="700" w:type="dxa"/>
            <w:vAlign w:val="bottom"/>
            <w:tcBorders>
              <w:bottom w:val="single" w:sz="8" w:color="auto"/>
            </w:tcBorders>
          </w:tcPr>
          <w:p>
            <w:pPr>
              <w:jc w:val="center"/>
              <w:ind w:right="114"/>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00" w:type="dxa"/>
            <w:vAlign w:val="bottom"/>
          </w:tcPr>
          <w:p>
            <w:pPr>
              <w:spacing w:after="0"/>
              <w:rPr>
                <w:sz w:val="14"/>
                <w:szCs w:val="14"/>
                <w:color w:val="auto"/>
              </w:rPr>
            </w:pPr>
          </w:p>
        </w:tc>
        <w:tc>
          <w:tcPr>
            <w:tcW w:w="180" w:type="dxa"/>
            <w:vAlign w:val="bottom"/>
            <w:tcBorders>
              <w:bottom w:val="single" w:sz="8" w:color="auto"/>
            </w:tcBorders>
          </w:tcPr>
          <w:p>
            <w:pPr>
              <w:spacing w:after="0"/>
              <w:rPr>
                <w:sz w:val="14"/>
                <w:szCs w:val="14"/>
                <w:color w:val="auto"/>
              </w:rPr>
            </w:pPr>
          </w:p>
        </w:tc>
        <w:tc>
          <w:tcPr>
            <w:tcW w:w="700" w:type="dxa"/>
            <w:vAlign w:val="bottom"/>
            <w:tcBorders>
              <w:bottom w:val="single" w:sz="8" w:color="auto"/>
            </w:tcBorders>
          </w:tcPr>
          <w:p>
            <w:pPr>
              <w:jc w:val="center"/>
              <w:ind w:right="114"/>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00" w:type="dxa"/>
            <w:vAlign w:val="bottom"/>
          </w:tcPr>
          <w:p>
            <w:pPr>
              <w:spacing w:after="0"/>
              <w:rPr>
                <w:sz w:val="14"/>
                <w:szCs w:val="14"/>
                <w:color w:val="auto"/>
              </w:rPr>
            </w:pPr>
          </w:p>
        </w:tc>
        <w:tc>
          <w:tcPr>
            <w:tcW w:w="180" w:type="dxa"/>
            <w:vAlign w:val="bottom"/>
            <w:tcBorders>
              <w:bottom w:val="single" w:sz="8" w:color="auto"/>
            </w:tcBorders>
          </w:tcPr>
          <w:p>
            <w:pPr>
              <w:spacing w:after="0"/>
              <w:rPr>
                <w:sz w:val="14"/>
                <w:szCs w:val="14"/>
                <w:color w:val="auto"/>
              </w:rPr>
            </w:pPr>
          </w:p>
        </w:tc>
        <w:tc>
          <w:tcPr>
            <w:tcW w:w="700" w:type="dxa"/>
            <w:vAlign w:val="bottom"/>
            <w:tcBorders>
              <w:bottom w:val="single" w:sz="8" w:color="auto"/>
            </w:tcBorders>
          </w:tcPr>
          <w:p>
            <w:pPr>
              <w:jc w:val="center"/>
              <w:ind w:right="114"/>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00" w:type="dxa"/>
            <w:vAlign w:val="bottom"/>
          </w:tcPr>
          <w:p>
            <w:pPr>
              <w:spacing w:after="0"/>
              <w:rPr>
                <w:sz w:val="14"/>
                <w:szCs w:val="14"/>
                <w:color w:val="auto"/>
              </w:rPr>
            </w:pPr>
          </w:p>
        </w:tc>
        <w:tc>
          <w:tcPr>
            <w:tcW w:w="200" w:type="dxa"/>
            <w:vAlign w:val="bottom"/>
            <w:tcBorders>
              <w:bottom w:val="single" w:sz="8" w:color="auto"/>
            </w:tcBorders>
          </w:tcPr>
          <w:p>
            <w:pPr>
              <w:spacing w:after="0"/>
              <w:rPr>
                <w:sz w:val="14"/>
                <w:szCs w:val="14"/>
                <w:color w:val="auto"/>
              </w:rPr>
            </w:pPr>
          </w:p>
        </w:tc>
        <w:tc>
          <w:tcPr>
            <w:tcW w:w="680" w:type="dxa"/>
            <w:vAlign w:val="bottom"/>
            <w:tcBorders>
              <w:bottom w:val="single" w:sz="8" w:color="auto"/>
            </w:tcBorders>
          </w:tcPr>
          <w:p>
            <w:pPr>
              <w:jc w:val="right"/>
              <w:ind w:right="232"/>
              <w:spacing w:after="0"/>
              <w:rPr>
                <w:sz w:val="20"/>
                <w:szCs w:val="20"/>
                <w:color w:val="auto"/>
              </w:rPr>
            </w:pPr>
            <w:r>
              <w:rPr>
                <w:rFonts w:ascii="Times New Roman" w:cs="Times New Roman" w:eastAsia="Times New Roman" w:hAnsi="Times New Roman"/>
                <w:sz w:val="14"/>
                <w:szCs w:val="14"/>
                <w:b w:val="1"/>
                <w:bCs w:val="1"/>
                <w:color w:val="auto"/>
              </w:rPr>
              <w:t>debt</w:t>
            </w:r>
          </w:p>
        </w:tc>
        <w:tc>
          <w:tcPr>
            <w:tcW w:w="200" w:type="dxa"/>
            <w:vAlign w:val="bottom"/>
          </w:tcPr>
          <w:p>
            <w:pPr>
              <w:spacing w:after="0"/>
              <w:rPr>
                <w:sz w:val="14"/>
                <w:szCs w:val="14"/>
                <w:color w:val="auto"/>
              </w:rPr>
            </w:pPr>
          </w:p>
        </w:tc>
        <w:tc>
          <w:tcPr>
            <w:tcW w:w="140" w:type="dxa"/>
            <w:vAlign w:val="bottom"/>
            <w:tcBorders>
              <w:bottom w:val="single" w:sz="8" w:color="auto"/>
            </w:tcBorders>
          </w:tcPr>
          <w:p>
            <w:pPr>
              <w:spacing w:after="0"/>
              <w:rPr>
                <w:sz w:val="14"/>
                <w:szCs w:val="14"/>
                <w:color w:val="auto"/>
              </w:rPr>
            </w:pPr>
          </w:p>
        </w:tc>
        <w:tc>
          <w:tcPr>
            <w:tcW w:w="780" w:type="dxa"/>
            <w:vAlign w:val="bottom"/>
            <w:tcBorders>
              <w:bottom w:val="single" w:sz="8" w:color="auto"/>
            </w:tcBorders>
            <w:vMerge w:val="continue"/>
          </w:tcPr>
          <w:p>
            <w:pPr>
              <w:spacing w:after="0"/>
              <w:rPr>
                <w:sz w:val="14"/>
                <w:szCs w:val="14"/>
                <w:color w:val="auto"/>
              </w:rPr>
            </w:pPr>
          </w:p>
        </w:tc>
        <w:tc>
          <w:tcPr>
            <w:tcW w:w="10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210"/>
        </w:trPr>
        <w:tc>
          <w:tcPr>
            <w:tcW w:w="2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18"/>
                <w:szCs w:val="18"/>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569</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569</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2026</w:t>
            </w:r>
          </w:p>
        </w:tc>
        <w:tc>
          <w:tcPr>
            <w:tcW w:w="180" w:type="dxa"/>
            <w:vAlign w:val="bottom"/>
          </w:tcPr>
          <w:p>
            <w:pPr>
              <w:spacing w:after="0"/>
              <w:rPr>
                <w:sz w:val="18"/>
                <w:szCs w:val="18"/>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600</w:t>
            </w:r>
          </w:p>
        </w:tc>
        <w:tc>
          <w:tcPr>
            <w:tcW w:w="2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198"/>
        </w:trPr>
        <w:tc>
          <w:tcPr>
            <w:tcW w:w="262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line="198" w:lineRule="exact"/>
              <w:rPr>
                <w:sz w:val="20"/>
                <w:szCs w:val="20"/>
                <w:color w:val="auto"/>
              </w:rPr>
            </w:pPr>
            <w:r>
              <w:rPr>
                <w:rFonts w:ascii="Times New Roman" w:cs="Times New Roman" w:eastAsia="Times New Roman" w:hAnsi="Times New Roman"/>
                <w:sz w:val="18"/>
                <w:szCs w:val="18"/>
                <w:color w:val="auto"/>
              </w:rPr>
              <w:t>1,050,00</w:t>
            </w:r>
          </w:p>
        </w:tc>
        <w:tc>
          <w:tcPr>
            <w:tcW w:w="2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line="198" w:lineRule="exact"/>
              <w:rPr>
                <w:sz w:val="20"/>
                <w:szCs w:val="20"/>
                <w:color w:val="auto"/>
              </w:rPr>
            </w:pPr>
            <w:r>
              <w:rPr>
                <w:rFonts w:ascii="Times New Roman" w:cs="Times New Roman" w:eastAsia="Times New Roman" w:hAnsi="Times New Roman"/>
                <w:sz w:val="18"/>
                <w:szCs w:val="18"/>
                <w:color w:val="auto"/>
              </w:rPr>
              <w:t>1,010,00</w:t>
            </w:r>
          </w:p>
        </w:tc>
        <w:tc>
          <w:tcPr>
            <w:tcW w:w="20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0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0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0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68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7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234"/>
        </w:trPr>
        <w:tc>
          <w:tcPr>
            <w:tcW w:w="2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2027</w:t>
            </w:r>
          </w:p>
        </w:tc>
        <w:tc>
          <w:tcPr>
            <w:tcW w:w="180" w:type="dxa"/>
            <w:vAlign w:val="bottom"/>
            <w:shd w:val="clear" w:color="auto" w:fill="CFF0FC"/>
          </w:tcPr>
          <w:p>
            <w:pPr>
              <w:spacing w:after="0"/>
              <w:rPr>
                <w:sz w:val="20"/>
                <w:szCs w:val="20"/>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0"/>
                <w:szCs w:val="20"/>
                <w:color w:val="auto"/>
              </w:rPr>
            </w:pPr>
          </w:p>
        </w:tc>
        <w:tc>
          <w:tcPr>
            <w:tcW w:w="160" w:type="dxa"/>
            <w:vAlign w:val="bottom"/>
            <w:shd w:val="clear" w:color="auto" w:fill="CFF0FC"/>
          </w:tcPr>
          <w:p>
            <w:pPr>
              <w:spacing w:after="0"/>
              <w:rPr>
                <w:sz w:val="20"/>
                <w:szCs w:val="20"/>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20"/>
                <w:szCs w:val="20"/>
                <w:color w:val="auto"/>
              </w:rPr>
            </w:pPr>
          </w:p>
        </w:tc>
        <w:tc>
          <w:tcPr>
            <w:tcW w:w="160" w:type="dxa"/>
            <w:vAlign w:val="bottom"/>
            <w:shd w:val="clear" w:color="auto" w:fill="CFF0FC"/>
          </w:tcPr>
          <w:p>
            <w:pPr>
              <w:spacing w:after="0"/>
              <w:rPr>
                <w:sz w:val="20"/>
                <w:szCs w:val="20"/>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20"/>
                <w:szCs w:val="20"/>
                <w:color w:val="auto"/>
              </w:rPr>
            </w:pPr>
          </w:p>
        </w:tc>
        <w:tc>
          <w:tcPr>
            <w:tcW w:w="180" w:type="dxa"/>
            <w:vAlign w:val="bottom"/>
            <w:shd w:val="clear" w:color="auto" w:fill="CFF0FC"/>
          </w:tcPr>
          <w:p>
            <w:pPr>
              <w:spacing w:after="0"/>
              <w:rPr>
                <w:sz w:val="20"/>
                <w:szCs w:val="20"/>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20"/>
                <w:szCs w:val="20"/>
                <w:color w:val="auto"/>
              </w:rPr>
            </w:pPr>
          </w:p>
        </w:tc>
        <w:tc>
          <w:tcPr>
            <w:tcW w:w="180" w:type="dxa"/>
            <w:vAlign w:val="bottom"/>
            <w:shd w:val="clear" w:color="auto" w:fill="CFF0FC"/>
          </w:tcPr>
          <w:p>
            <w:pPr>
              <w:spacing w:after="0"/>
              <w:rPr>
                <w:sz w:val="20"/>
                <w:szCs w:val="20"/>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20"/>
                <w:szCs w:val="20"/>
                <w:color w:val="auto"/>
              </w:rPr>
            </w:pPr>
          </w:p>
        </w:tc>
        <w:tc>
          <w:tcPr>
            <w:tcW w:w="180" w:type="dxa"/>
            <w:vAlign w:val="bottom"/>
            <w:shd w:val="clear" w:color="auto" w:fill="CFF0FC"/>
          </w:tcPr>
          <w:p>
            <w:pPr>
              <w:spacing w:after="0"/>
              <w:rPr>
                <w:sz w:val="20"/>
                <w:szCs w:val="20"/>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8,634</w:t>
            </w:r>
          </w:p>
        </w:tc>
        <w:tc>
          <w:tcPr>
            <w:tcW w:w="200" w:type="dxa"/>
            <w:vAlign w:val="bottom"/>
            <w:shd w:val="clear" w:color="auto" w:fill="CFF0FC"/>
          </w:tcPr>
          <w:p>
            <w:pPr>
              <w:spacing w:after="0"/>
              <w:rPr>
                <w:sz w:val="20"/>
                <w:szCs w:val="20"/>
                <w:color w:val="auto"/>
              </w:rPr>
            </w:pPr>
          </w:p>
        </w:tc>
        <w:tc>
          <w:tcPr>
            <w:tcW w:w="140" w:type="dxa"/>
            <w:vAlign w:val="bottom"/>
            <w:shd w:val="clear" w:color="auto" w:fill="CFF0FC"/>
          </w:tcPr>
          <w:p>
            <w:pPr>
              <w:spacing w:after="0"/>
              <w:rPr>
                <w:sz w:val="20"/>
                <w:szCs w:val="20"/>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9"/>
              </w:rPr>
              <w:t>2,068,634</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198"/>
        </w:trPr>
        <w:tc>
          <w:tcPr>
            <w:tcW w:w="262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72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72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720" w:type="dxa"/>
            <w:vAlign w:val="bottom"/>
          </w:tcPr>
          <w:p>
            <w:pPr>
              <w:jc w:val="right"/>
              <w:spacing w:after="0" w:line="198" w:lineRule="exact"/>
              <w:rPr>
                <w:sz w:val="20"/>
                <w:szCs w:val="20"/>
                <w:color w:val="auto"/>
              </w:rPr>
            </w:pPr>
            <w:r>
              <w:rPr>
                <w:rFonts w:ascii="Times New Roman" w:cs="Times New Roman" w:eastAsia="Times New Roman" w:hAnsi="Times New Roman"/>
                <w:sz w:val="18"/>
                <w:szCs w:val="18"/>
                <w:color w:val="auto"/>
              </w:rPr>
              <w:t>3,000,00</w:t>
            </w:r>
          </w:p>
        </w:tc>
        <w:tc>
          <w:tcPr>
            <w:tcW w:w="20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70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70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70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68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78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34"/>
        </w:trPr>
        <w:tc>
          <w:tcPr>
            <w:tcW w:w="2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2028</w:t>
            </w:r>
          </w:p>
        </w:tc>
        <w:tc>
          <w:tcPr>
            <w:tcW w:w="180" w:type="dxa"/>
            <w:vAlign w:val="bottom"/>
          </w:tcPr>
          <w:p>
            <w:pPr>
              <w:spacing w:after="0"/>
              <w:rPr>
                <w:sz w:val="20"/>
                <w:szCs w:val="20"/>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20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603,750</w:t>
            </w:r>
          </w:p>
        </w:tc>
        <w:tc>
          <w:tcPr>
            <w:tcW w:w="20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99"/>
              </w:rPr>
              <w:t>4,403,750</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16"/>
        </w:trPr>
        <w:tc>
          <w:tcPr>
            <w:tcW w:w="2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2029</w:t>
            </w:r>
          </w:p>
        </w:tc>
        <w:tc>
          <w:tcPr>
            <w:tcW w:w="180" w:type="dxa"/>
            <w:vAlign w:val="bottom"/>
            <w:shd w:val="clear" w:color="auto" w:fill="CFF0FC"/>
          </w:tcPr>
          <w:p>
            <w:pPr>
              <w:spacing w:after="0"/>
              <w:rPr>
                <w:sz w:val="18"/>
                <w:szCs w:val="18"/>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20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Thereafter</w:t>
            </w:r>
          </w:p>
        </w:tc>
        <w:tc>
          <w:tcPr>
            <w:tcW w:w="180" w:type="dxa"/>
            <w:vAlign w:val="bottom"/>
            <w:tcBorders>
              <w:bottom w:val="single" w:sz="8" w:color="auto"/>
            </w:tcBorders>
          </w:tcPr>
          <w:p>
            <w:pPr>
              <w:spacing w:after="0"/>
              <w:rPr>
                <w:sz w:val="18"/>
                <w:szCs w:val="18"/>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180" w:type="dxa"/>
            <w:vAlign w:val="bottom"/>
            <w:tcBorders>
              <w:bottom w:val="single" w:sz="8" w:color="auto"/>
            </w:tcBorders>
          </w:tcPr>
          <w:p>
            <w:pPr>
              <w:spacing w:after="0"/>
              <w:rPr>
                <w:sz w:val="18"/>
                <w:szCs w:val="18"/>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180" w:type="dxa"/>
            <w:vAlign w:val="bottom"/>
            <w:tcBorders>
              <w:bottom w:val="single" w:sz="8" w:color="auto"/>
            </w:tcBorders>
          </w:tcPr>
          <w:p>
            <w:pPr>
              <w:spacing w:after="0"/>
              <w:rPr>
                <w:sz w:val="18"/>
                <w:szCs w:val="18"/>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180" w:type="dxa"/>
            <w:vAlign w:val="bottom"/>
            <w:tcBorders>
              <w:bottom w:val="single" w:sz="8" w:color="auto"/>
            </w:tcBorders>
          </w:tcPr>
          <w:p>
            <w:pPr>
              <w:spacing w:after="0"/>
              <w:rPr>
                <w:sz w:val="18"/>
                <w:szCs w:val="18"/>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200" w:type="dxa"/>
            <w:vAlign w:val="bottom"/>
            <w:tcBorders>
              <w:bottom w:val="single" w:sz="8" w:color="auto"/>
            </w:tcBorders>
          </w:tcPr>
          <w:p>
            <w:pPr>
              <w:spacing w:after="0"/>
              <w:rPr>
                <w:sz w:val="18"/>
                <w:szCs w:val="18"/>
                <w:color w:val="auto"/>
              </w:rPr>
            </w:pPr>
          </w:p>
        </w:tc>
        <w:tc>
          <w:tcPr>
            <w:tcW w:w="6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18"/>
                <w:szCs w:val="18"/>
                <w:color w:val="auto"/>
              </w:rPr>
            </w:pPr>
          </w:p>
        </w:tc>
        <w:tc>
          <w:tcPr>
            <w:tcW w:w="140" w:type="dxa"/>
            <w:vAlign w:val="bottom"/>
            <w:tcBorders>
              <w:bottom w:val="single" w:sz="8" w:color="auto"/>
            </w:tcBorders>
          </w:tcPr>
          <w:p>
            <w:pPr>
              <w:spacing w:after="0"/>
              <w:rPr>
                <w:sz w:val="18"/>
                <w:szCs w:val="18"/>
                <w:color w:val="auto"/>
              </w:rPr>
            </w:pPr>
          </w:p>
        </w:tc>
        <w:tc>
          <w:tcPr>
            <w:tcW w:w="7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191"/>
        </w:trPr>
        <w:tc>
          <w:tcPr>
            <w:tcW w:w="262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720" w:type="dxa"/>
            <w:vAlign w:val="bottom"/>
            <w:shd w:val="clear" w:color="auto" w:fill="CFF0FC"/>
          </w:tcPr>
          <w:p>
            <w:pPr>
              <w:jc w:val="right"/>
              <w:spacing w:after="0" w:line="191" w:lineRule="exact"/>
              <w:rPr>
                <w:sz w:val="20"/>
                <w:szCs w:val="20"/>
                <w:color w:val="auto"/>
              </w:rPr>
            </w:pPr>
            <w:r>
              <w:rPr>
                <w:rFonts w:ascii="Times New Roman" w:cs="Times New Roman" w:eastAsia="Times New Roman" w:hAnsi="Times New Roman"/>
                <w:sz w:val="18"/>
                <w:szCs w:val="18"/>
                <w:color w:val="auto"/>
              </w:rPr>
              <w:t>1,050,00</w:t>
            </w:r>
          </w:p>
        </w:tc>
        <w:tc>
          <w:tcPr>
            <w:tcW w:w="22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720" w:type="dxa"/>
            <w:vAlign w:val="bottom"/>
            <w:shd w:val="clear" w:color="auto" w:fill="CFF0FC"/>
          </w:tcPr>
          <w:p>
            <w:pPr>
              <w:jc w:val="right"/>
              <w:spacing w:after="0" w:line="191" w:lineRule="exact"/>
              <w:rPr>
                <w:sz w:val="20"/>
                <w:szCs w:val="20"/>
                <w:color w:val="auto"/>
              </w:rPr>
            </w:pPr>
            <w:r>
              <w:rPr>
                <w:rFonts w:ascii="Times New Roman" w:cs="Times New Roman" w:eastAsia="Times New Roman" w:hAnsi="Times New Roman"/>
                <w:sz w:val="18"/>
                <w:szCs w:val="18"/>
                <w:color w:val="auto"/>
              </w:rPr>
              <w:t>1,010,00</w:t>
            </w:r>
          </w:p>
        </w:tc>
        <w:tc>
          <w:tcPr>
            <w:tcW w:w="20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720" w:type="dxa"/>
            <w:vAlign w:val="bottom"/>
            <w:shd w:val="clear" w:color="auto" w:fill="CFF0FC"/>
          </w:tcPr>
          <w:p>
            <w:pPr>
              <w:jc w:val="right"/>
              <w:spacing w:after="0" w:line="191" w:lineRule="exact"/>
              <w:rPr>
                <w:sz w:val="20"/>
                <w:szCs w:val="20"/>
                <w:color w:val="auto"/>
              </w:rPr>
            </w:pPr>
            <w:r>
              <w:rPr>
                <w:rFonts w:ascii="Times New Roman" w:cs="Times New Roman" w:eastAsia="Times New Roman" w:hAnsi="Times New Roman"/>
                <w:sz w:val="18"/>
                <w:szCs w:val="18"/>
                <w:color w:val="auto"/>
              </w:rPr>
              <w:t>3,000,00</w:t>
            </w:r>
          </w:p>
        </w:tc>
        <w:tc>
          <w:tcPr>
            <w:tcW w:w="20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700" w:type="dxa"/>
            <w:vAlign w:val="bottom"/>
            <w:shd w:val="clear" w:color="auto" w:fill="CFF0FC"/>
          </w:tcPr>
          <w:p>
            <w:pPr>
              <w:spacing w:after="0"/>
              <w:rPr>
                <w:sz w:val="16"/>
                <w:szCs w:val="16"/>
                <w:color w:val="auto"/>
              </w:rPr>
            </w:pPr>
          </w:p>
        </w:tc>
        <w:tc>
          <w:tcPr>
            <w:tcW w:w="20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700" w:type="dxa"/>
            <w:vAlign w:val="bottom"/>
            <w:shd w:val="clear" w:color="auto" w:fill="CFF0FC"/>
          </w:tcPr>
          <w:p>
            <w:pPr>
              <w:spacing w:after="0"/>
              <w:rPr>
                <w:sz w:val="16"/>
                <w:szCs w:val="16"/>
                <w:color w:val="auto"/>
              </w:rPr>
            </w:pPr>
          </w:p>
        </w:tc>
        <w:tc>
          <w:tcPr>
            <w:tcW w:w="20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700" w:type="dxa"/>
            <w:vAlign w:val="bottom"/>
            <w:shd w:val="clear" w:color="auto" w:fill="CFF0FC"/>
          </w:tcPr>
          <w:p>
            <w:pPr>
              <w:spacing w:after="0"/>
              <w:rPr>
                <w:sz w:val="16"/>
                <w:szCs w:val="16"/>
                <w:color w:val="auto"/>
              </w:rPr>
            </w:pPr>
          </w:p>
        </w:tc>
        <w:tc>
          <w:tcPr>
            <w:tcW w:w="200" w:type="dxa"/>
            <w:vAlign w:val="bottom"/>
            <w:shd w:val="clear" w:color="auto" w:fill="CFF0FC"/>
          </w:tcPr>
          <w:p>
            <w:pPr>
              <w:spacing w:after="0"/>
              <w:rPr>
                <w:sz w:val="16"/>
                <w:szCs w:val="16"/>
                <w:color w:val="auto"/>
              </w:rPr>
            </w:pPr>
          </w:p>
        </w:tc>
        <w:tc>
          <w:tcPr>
            <w:tcW w:w="200" w:type="dxa"/>
            <w:vAlign w:val="bottom"/>
            <w:shd w:val="clear" w:color="auto" w:fill="CFF0FC"/>
          </w:tcPr>
          <w:p>
            <w:pPr>
              <w:spacing w:after="0"/>
              <w:rPr>
                <w:sz w:val="16"/>
                <w:szCs w:val="16"/>
                <w:color w:val="auto"/>
              </w:rPr>
            </w:pPr>
          </w:p>
        </w:tc>
        <w:tc>
          <w:tcPr>
            <w:tcW w:w="680" w:type="dxa"/>
            <w:vAlign w:val="bottom"/>
            <w:shd w:val="clear" w:color="auto" w:fill="CFF0FC"/>
          </w:tcPr>
          <w:p>
            <w:pPr>
              <w:spacing w:after="0"/>
              <w:rPr>
                <w:sz w:val="16"/>
                <w:szCs w:val="16"/>
                <w:color w:val="auto"/>
              </w:rPr>
            </w:pPr>
          </w:p>
        </w:tc>
        <w:tc>
          <w:tcPr>
            <w:tcW w:w="20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7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274"/>
        </w:trPr>
        <w:tc>
          <w:tcPr>
            <w:tcW w:w="26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w:t>
            </w:r>
          </w:p>
        </w:tc>
        <w:tc>
          <w:tcPr>
            <w:tcW w:w="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Borders>
              <w:bottom w:val="single" w:sz="8" w:color="CFF0FC"/>
            </w:tcBorders>
            <w:shd w:val="clear" w:color="auto" w:fill="CFF0FC"/>
          </w:tcPr>
          <w:p>
            <w:pPr>
              <w:spacing w:after="0"/>
              <w:rPr>
                <w:sz w:val="23"/>
                <w:szCs w:val="23"/>
                <w:color w:val="auto"/>
              </w:rPr>
            </w:pPr>
          </w:p>
        </w:tc>
        <w:tc>
          <w:tcPr>
            <w:tcW w:w="1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Borders>
              <w:bottom w:val="single" w:sz="8" w:color="CFF0FC"/>
            </w:tcBorders>
            <w:shd w:val="clear" w:color="auto" w:fill="CFF0FC"/>
          </w:tcPr>
          <w:p>
            <w:pPr>
              <w:spacing w:after="0"/>
              <w:rPr>
                <w:sz w:val="23"/>
                <w:szCs w:val="23"/>
                <w:color w:val="auto"/>
              </w:rPr>
            </w:pPr>
          </w:p>
        </w:tc>
        <w:tc>
          <w:tcPr>
            <w:tcW w:w="1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Borders>
              <w:bottom w:val="single" w:sz="8" w:color="CFF0FC"/>
            </w:tcBorders>
            <w:shd w:val="clear" w:color="auto" w:fill="CFF0FC"/>
          </w:tcPr>
          <w:p>
            <w:pPr>
              <w:spacing w:after="0"/>
              <w:rPr>
                <w:sz w:val="23"/>
                <w:szCs w:val="23"/>
                <w:color w:val="auto"/>
              </w:rPr>
            </w:pPr>
          </w:p>
        </w:tc>
        <w:tc>
          <w:tcPr>
            <w:tcW w:w="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200" w:type="dxa"/>
            <w:vAlign w:val="bottom"/>
            <w:tcBorders>
              <w:bottom w:val="single" w:sz="8" w:color="CFF0FC"/>
            </w:tcBorders>
            <w:shd w:val="clear" w:color="auto" w:fill="CFF0FC"/>
          </w:tcPr>
          <w:p>
            <w:pPr>
              <w:spacing w:after="0"/>
              <w:rPr>
                <w:sz w:val="23"/>
                <w:szCs w:val="23"/>
                <w:color w:val="auto"/>
              </w:rPr>
            </w:pPr>
          </w:p>
        </w:tc>
        <w:tc>
          <w:tcPr>
            <w:tcW w:w="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603,750</w:t>
            </w:r>
          </w:p>
        </w:tc>
        <w:tc>
          <w:tcPr>
            <w:tcW w:w="200" w:type="dxa"/>
            <w:vAlign w:val="bottom"/>
            <w:tcBorders>
              <w:bottom w:val="single" w:sz="8" w:color="CFF0FC"/>
            </w:tcBorders>
            <w:shd w:val="clear" w:color="auto" w:fill="CFF0FC"/>
          </w:tcPr>
          <w:p>
            <w:pPr>
              <w:spacing w:after="0"/>
              <w:rPr>
                <w:sz w:val="23"/>
                <w:szCs w:val="23"/>
                <w:color w:val="auto"/>
              </w:rPr>
            </w:pPr>
          </w:p>
        </w:tc>
        <w:tc>
          <w:tcPr>
            <w:tcW w:w="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200" w:type="dxa"/>
            <w:vAlign w:val="bottom"/>
            <w:tcBorders>
              <w:bottom w:val="single" w:sz="8" w:color="CFF0FC"/>
            </w:tcBorders>
            <w:shd w:val="clear" w:color="auto" w:fill="CFF0FC"/>
          </w:tcPr>
          <w:p>
            <w:pPr>
              <w:spacing w:after="0"/>
              <w:rPr>
                <w:sz w:val="23"/>
                <w:szCs w:val="23"/>
                <w:color w:val="auto"/>
              </w:rPr>
            </w:pPr>
          </w:p>
        </w:tc>
        <w:tc>
          <w:tcPr>
            <w:tcW w:w="200" w:type="dxa"/>
            <w:vAlign w:val="bottom"/>
            <w:tcBorders>
              <w:bottom w:val="single" w:sz="8" w:color="auto"/>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w:t>
            </w:r>
          </w:p>
        </w:tc>
        <w:tc>
          <w:tcPr>
            <w:tcW w:w="6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9,803</w:t>
            </w:r>
          </w:p>
        </w:tc>
        <w:tc>
          <w:tcPr>
            <w:tcW w:w="200" w:type="dxa"/>
            <w:vAlign w:val="bottom"/>
            <w:tcBorders>
              <w:bottom w:val="single" w:sz="8" w:color="CFF0FC"/>
            </w:tcBorders>
            <w:shd w:val="clear" w:color="auto" w:fill="CFF0FC"/>
          </w:tcPr>
          <w:p>
            <w:pPr>
              <w:spacing w:after="0"/>
              <w:rPr>
                <w:sz w:val="23"/>
                <w:szCs w:val="23"/>
                <w:color w:val="auto"/>
              </w:rPr>
            </w:pPr>
          </w:p>
        </w:tc>
        <w:tc>
          <w:tcPr>
            <w:tcW w:w="1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9"/>
              </w:rPr>
              <w:t>7,273,553</w:t>
            </w:r>
          </w:p>
        </w:tc>
        <w:tc>
          <w:tcPr>
            <w:tcW w:w="100" w:type="dxa"/>
            <w:vAlign w:val="bottom"/>
            <w:tcBorders>
              <w:bottom w:val="single" w:sz="8" w:color="CFF0FC"/>
            </w:tcBorders>
            <w:shd w:val="clear" w:color="auto" w:fill="CFF0FC"/>
          </w:tcPr>
          <w:p>
            <w:pPr>
              <w:spacing w:after="0"/>
              <w:rPr>
                <w:sz w:val="23"/>
                <w:szCs w:val="23"/>
                <w:color w:val="auto"/>
              </w:rPr>
            </w:pPr>
          </w:p>
        </w:tc>
        <w:tc>
          <w:tcPr>
            <w:tcW w:w="0" w:type="dxa"/>
            <w:vAlign w:val="bottom"/>
          </w:tcPr>
          <w:p>
            <w:pPr>
              <w:spacing w:after="0"/>
              <w:rPr>
                <w:sz w:val="1"/>
                <w:szCs w:val="1"/>
                <w:color w:val="auto"/>
              </w:rPr>
            </w:pPr>
          </w:p>
        </w:tc>
      </w:tr>
      <w:tr>
        <w:trPr>
          <w:trHeight w:val="628"/>
        </w:trPr>
        <w:tc>
          <w:tcPr>
            <w:tcW w:w="262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72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72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92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97</w:t>
            </w:r>
          </w:p>
        </w:tc>
        <w:tc>
          <w:tcPr>
            <w:tcW w:w="18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68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63"/>
        </w:trPr>
        <w:tc>
          <w:tcPr>
            <w:tcW w:w="262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72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72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72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70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70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70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68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7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2233930</wp:posOffset>
            </wp:positionH>
            <wp:positionV relativeFrom="paragraph">
              <wp:posOffset>-933450</wp:posOffset>
            </wp:positionV>
            <wp:extent cx="76835" cy="8890"/>
            <wp:wrapNone/>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64">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2233930</wp:posOffset>
            </wp:positionH>
            <wp:positionV relativeFrom="paragraph">
              <wp:posOffset>-916305</wp:posOffset>
            </wp:positionV>
            <wp:extent cx="76835" cy="8890"/>
            <wp:wrapNone/>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65">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2927985</wp:posOffset>
            </wp:positionH>
            <wp:positionV relativeFrom="paragraph">
              <wp:posOffset>-933450</wp:posOffset>
            </wp:positionV>
            <wp:extent cx="68580" cy="8890"/>
            <wp:wrapNone/>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6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2927985</wp:posOffset>
            </wp:positionH>
            <wp:positionV relativeFrom="paragraph">
              <wp:posOffset>-916305</wp:posOffset>
            </wp:positionV>
            <wp:extent cx="68580" cy="8890"/>
            <wp:wrapNone/>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6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3613785</wp:posOffset>
            </wp:positionH>
            <wp:positionV relativeFrom="paragraph">
              <wp:posOffset>-933450</wp:posOffset>
            </wp:positionV>
            <wp:extent cx="68580" cy="8890"/>
            <wp:wrapNone/>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6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3613785</wp:posOffset>
            </wp:positionH>
            <wp:positionV relativeFrom="paragraph">
              <wp:posOffset>-916305</wp:posOffset>
            </wp:positionV>
            <wp:extent cx="68580" cy="8890"/>
            <wp:wrapNone/>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6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4299585</wp:posOffset>
            </wp:positionH>
            <wp:positionV relativeFrom="paragraph">
              <wp:posOffset>-933450</wp:posOffset>
            </wp:positionV>
            <wp:extent cx="68580" cy="8890"/>
            <wp:wrapNone/>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7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4299585</wp:posOffset>
            </wp:positionH>
            <wp:positionV relativeFrom="paragraph">
              <wp:posOffset>-916305</wp:posOffset>
            </wp:positionV>
            <wp:extent cx="68580" cy="8890"/>
            <wp:wrapNone/>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7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4985385</wp:posOffset>
            </wp:positionH>
            <wp:positionV relativeFrom="paragraph">
              <wp:posOffset>-933450</wp:posOffset>
            </wp:positionV>
            <wp:extent cx="68580" cy="8890"/>
            <wp:wrapNone/>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7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4985385</wp:posOffset>
            </wp:positionH>
            <wp:positionV relativeFrom="paragraph">
              <wp:posOffset>-916305</wp:posOffset>
            </wp:positionV>
            <wp:extent cx="68580" cy="8890"/>
            <wp:wrapNone/>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7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5671185</wp:posOffset>
            </wp:positionH>
            <wp:positionV relativeFrom="paragraph">
              <wp:posOffset>-933450</wp:posOffset>
            </wp:positionV>
            <wp:extent cx="68580" cy="8890"/>
            <wp:wrapNone/>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37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5671185</wp:posOffset>
            </wp:positionH>
            <wp:positionV relativeFrom="paragraph">
              <wp:posOffset>-916305</wp:posOffset>
            </wp:positionV>
            <wp:extent cx="68580" cy="8890"/>
            <wp:wrapNone/>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7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6356985</wp:posOffset>
            </wp:positionH>
            <wp:positionV relativeFrom="paragraph">
              <wp:posOffset>-933450</wp:posOffset>
            </wp:positionV>
            <wp:extent cx="68580" cy="8890"/>
            <wp:wrapNone/>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7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6356985</wp:posOffset>
            </wp:positionH>
            <wp:positionV relativeFrom="paragraph">
              <wp:posOffset>-916305</wp:posOffset>
            </wp:positionV>
            <wp:extent cx="68580" cy="8890"/>
            <wp:wrapNone/>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37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-933450</wp:posOffset>
            </wp:positionV>
            <wp:extent cx="68580" cy="8890"/>
            <wp:wrapNone/>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7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-916305</wp:posOffset>
            </wp:positionV>
            <wp:extent cx="68580" cy="8890"/>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7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380">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81">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97" w:name="page98"/>
    <w:bookmarkEnd w:id="97"/>
    <w:p>
      <w:pPr>
        <w:jc w:val="both"/>
        <w:spacing w:after="0" w:line="253" w:lineRule="auto"/>
        <w:rPr>
          <w:sz w:val="20"/>
          <w:szCs w:val="20"/>
          <w:color w:val="auto"/>
        </w:rPr>
      </w:pPr>
      <w:r>
        <w:rPr>
          <w:rFonts w:ascii="Times New Roman" w:cs="Times New Roman" w:eastAsia="Times New Roman" w:hAnsi="Times New Roman"/>
          <w:sz w:val="18"/>
          <w:szCs w:val="18"/>
          <w:color w:val="auto"/>
        </w:rPr>
        <w:t>As part of the Company’s bitcoin strategy, the Company expects to incur or continue to incur additional indebtedness and other fixed charges for the purposes of acquiring additional bitcoin and to satisfy its financial and other obligations. The Company’s ability to obtain equity and debt financing is subject to market conditions and other factors outside of its control, and the Company may not be able to secure equity or debt financing in a timely manner, on favorable terms, or at all. If the Company is unable to obtain equity or debt financing, the Company could seek to use proceeds from the sale of its bitcoin to meet its obligations. Historically, the bitcoin market has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inherent in its entirely electronic, virtual form and decentralized network. During times of market instability, the Company may not be able to sell its bitcoin at favorable prices or at all. As a result, the Company’s bitcoin holdings may not be able to serve as a source of liquidity for the Company to the same extent as cash and cash equivalents. Further, the Company’s bitcoin holdings do not enjoy the same protections as are available to cash or securities deposited with or transacted by institutions subject to regulation by the Federal Deposit Insurance Corporation or the Securities Investor Protection Corporation.</w:t>
      </w:r>
    </w:p>
    <w:p>
      <w:pPr>
        <w:spacing w:after="0" w:line="1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(9) Commitments and Contingencies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(a) Commitments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From time to time, the Company enters into certain types of contracts that require it to indemnify parties against third-party claims. These contracts primarily relate to agreements under which the Company assumes indemnity obligations for intellectual property infringement, as well as other obligations from time to time depending on arrangements negotiated with customers and other third parties. The conditions of these obligations vary. Thus, the overall maximum amount of the Company’s indemnification obligations cannot be reasonably estimated. Historically, the Company has not been obligated to make significant payments for these obligations and does not currently expect to incur any material obligations in the future. Accordingly, the Company has not recorded an indemnification liability on its Consolidated Balance Sheets as of December 31, 2024 or December 31, 2023.</w:t>
      </w:r>
    </w:p>
    <w:p>
      <w:pPr>
        <w:spacing w:after="0" w:line="7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following table shows future minimum payments related to noncancelable purchase agreements with initial terms of greater than one year and anticipated payments related to the mandatory deemed repatriation transition tax resulting from the U.S. Tax Cuts and Jobs Act (“Transition Tax”) based on the expected due dates of the various installments as of December 31, 2024 (in thousands):</w:t>
      </w:r>
    </w:p>
    <w:p>
      <w:pPr>
        <w:spacing w:after="0" w:line="157"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5960" w:type="dxa"/>
            <w:vAlign w:val="bottom"/>
            <w:vMerge w:val="restart"/>
          </w:tcPr>
          <w:p>
            <w:pPr>
              <w:ind w:left="20"/>
              <w:spacing w:after="0"/>
              <w:rPr>
                <w:sz w:val="20"/>
                <w:szCs w:val="20"/>
                <w:color w:val="auto"/>
              </w:rPr>
            </w:pPr>
            <w:r>
              <w:rPr>
                <w:rFonts w:ascii="Times New Roman" w:cs="Times New Roman" w:eastAsia="Times New Roman" w:hAnsi="Times New Roman"/>
                <w:sz w:val="14"/>
                <w:szCs w:val="14"/>
                <w:b w:val="1"/>
                <w:bCs w:val="1"/>
                <w:color w:val="auto"/>
              </w:rPr>
              <w:t>Year</w:t>
            </w:r>
          </w:p>
        </w:tc>
        <w:tc>
          <w:tcPr>
            <w:tcW w:w="260" w:type="dxa"/>
            <w:vAlign w:val="bottom"/>
          </w:tcPr>
          <w:p>
            <w:pPr>
              <w:spacing w:after="0"/>
              <w:rPr>
                <w:sz w:val="13"/>
                <w:szCs w:val="13"/>
                <w:color w:val="auto"/>
              </w:rPr>
            </w:pPr>
          </w:p>
        </w:tc>
        <w:tc>
          <w:tcPr>
            <w:tcW w:w="1560" w:type="dxa"/>
            <w:vAlign w:val="bottom"/>
          </w:tcPr>
          <w:p>
            <w:pPr>
              <w:jc w:val="right"/>
              <w:ind w:right="82"/>
              <w:spacing w:after="0"/>
              <w:rPr>
                <w:sz w:val="20"/>
                <w:szCs w:val="20"/>
                <w:color w:val="auto"/>
              </w:rPr>
            </w:pPr>
            <w:r>
              <w:rPr>
                <w:rFonts w:ascii="Times New Roman" w:cs="Times New Roman" w:eastAsia="Times New Roman" w:hAnsi="Times New Roman"/>
                <w:sz w:val="14"/>
                <w:szCs w:val="14"/>
                <w:b w:val="1"/>
                <w:bCs w:val="1"/>
                <w:color w:val="auto"/>
              </w:rPr>
              <w:t>Purchase</w:t>
            </w:r>
          </w:p>
        </w:tc>
        <w:tc>
          <w:tcPr>
            <w:tcW w:w="700" w:type="dxa"/>
            <w:vAlign w:val="bottom"/>
          </w:tcPr>
          <w:p>
            <w:pPr>
              <w:spacing w:after="0"/>
              <w:rPr>
                <w:sz w:val="13"/>
                <w:szCs w:val="13"/>
                <w:color w:val="auto"/>
              </w:rPr>
            </w:pPr>
          </w:p>
        </w:tc>
        <w:tc>
          <w:tcPr>
            <w:tcW w:w="380" w:type="dxa"/>
            <w:vAlign w:val="bottom"/>
          </w:tcPr>
          <w:p>
            <w:pPr>
              <w:spacing w:after="0"/>
              <w:rPr>
                <w:sz w:val="13"/>
                <w:szCs w:val="13"/>
                <w:color w:val="auto"/>
              </w:rPr>
            </w:pPr>
          </w:p>
        </w:tc>
        <w:tc>
          <w:tcPr>
            <w:tcW w:w="440" w:type="dxa"/>
            <w:vAlign w:val="bottom"/>
          </w:tcPr>
          <w:p>
            <w:pPr>
              <w:spacing w:after="0"/>
              <w:rPr>
                <w:sz w:val="13"/>
                <w:szCs w:val="13"/>
                <w:color w:val="auto"/>
              </w:rPr>
            </w:pPr>
          </w:p>
        </w:tc>
        <w:tc>
          <w:tcPr>
            <w:tcW w:w="1940" w:type="dxa"/>
            <w:vAlign w:val="bottom"/>
            <w:gridSpan w:val="2"/>
          </w:tcPr>
          <w:p>
            <w:pPr>
              <w:ind w:left="360"/>
              <w:spacing w:after="0"/>
              <w:rPr>
                <w:sz w:val="20"/>
                <w:szCs w:val="20"/>
                <w:color w:val="auto"/>
              </w:rPr>
            </w:pPr>
            <w:r>
              <w:rPr>
                <w:rFonts w:ascii="Times New Roman" w:cs="Times New Roman" w:eastAsia="Times New Roman" w:hAnsi="Times New Roman"/>
                <w:sz w:val="14"/>
                <w:szCs w:val="14"/>
                <w:b w:val="1"/>
                <w:bCs w:val="1"/>
                <w:color w:val="auto"/>
              </w:rPr>
              <w:t>Transition</w:t>
            </w:r>
          </w:p>
        </w:tc>
        <w:tc>
          <w:tcPr>
            <w:tcW w:w="0" w:type="dxa"/>
            <w:vAlign w:val="bottom"/>
          </w:tcPr>
          <w:p>
            <w:pPr>
              <w:spacing w:after="0"/>
              <w:rPr>
                <w:sz w:val="1"/>
                <w:szCs w:val="1"/>
                <w:color w:val="auto"/>
              </w:rPr>
            </w:pPr>
          </w:p>
        </w:tc>
      </w:tr>
      <w:tr>
        <w:trPr>
          <w:trHeight w:val="173"/>
        </w:trPr>
        <w:tc>
          <w:tcPr>
            <w:tcW w:w="5960" w:type="dxa"/>
            <w:vAlign w:val="bottom"/>
            <w:tcBorders>
              <w:bottom w:val="single" w:sz="8" w:color="auto"/>
            </w:tcBorders>
            <w:vMerge w:val="continue"/>
          </w:tcPr>
          <w:p>
            <w:pPr>
              <w:spacing w:after="0"/>
              <w:rPr>
                <w:sz w:val="15"/>
                <w:szCs w:val="15"/>
                <w:color w:val="auto"/>
              </w:rPr>
            </w:pPr>
          </w:p>
        </w:tc>
        <w:tc>
          <w:tcPr>
            <w:tcW w:w="260" w:type="dxa"/>
            <w:vAlign w:val="bottom"/>
          </w:tcPr>
          <w:p>
            <w:pPr>
              <w:spacing w:after="0"/>
              <w:rPr>
                <w:sz w:val="15"/>
                <w:szCs w:val="15"/>
                <w:color w:val="auto"/>
              </w:rPr>
            </w:pPr>
          </w:p>
        </w:tc>
        <w:tc>
          <w:tcPr>
            <w:tcW w:w="1560" w:type="dxa"/>
            <w:vAlign w:val="bottom"/>
            <w:tcBorders>
              <w:bottom w:val="single" w:sz="8" w:color="auto"/>
            </w:tcBorders>
          </w:tcPr>
          <w:p>
            <w:pPr>
              <w:jc w:val="right"/>
              <w:ind w:right="2"/>
              <w:spacing w:after="0"/>
              <w:rPr>
                <w:sz w:val="20"/>
                <w:szCs w:val="20"/>
                <w:color w:val="auto"/>
              </w:rPr>
            </w:pPr>
            <w:r>
              <w:rPr>
                <w:rFonts w:ascii="Times New Roman" w:cs="Times New Roman" w:eastAsia="Times New Roman" w:hAnsi="Times New Roman"/>
                <w:sz w:val="14"/>
                <w:szCs w:val="14"/>
                <w:b w:val="1"/>
                <w:bCs w:val="1"/>
                <w:color w:val="auto"/>
              </w:rPr>
              <w:t>Obligations</w:t>
            </w:r>
          </w:p>
        </w:tc>
        <w:tc>
          <w:tcPr>
            <w:tcW w:w="700" w:type="dxa"/>
            <w:vAlign w:val="bottom"/>
            <w:tcBorders>
              <w:bottom w:val="single" w:sz="8" w:color="auto"/>
            </w:tcBorders>
          </w:tcPr>
          <w:p>
            <w:pPr>
              <w:spacing w:after="0"/>
              <w:rPr>
                <w:sz w:val="15"/>
                <w:szCs w:val="15"/>
                <w:color w:val="auto"/>
              </w:rPr>
            </w:pPr>
          </w:p>
        </w:tc>
        <w:tc>
          <w:tcPr>
            <w:tcW w:w="380" w:type="dxa"/>
            <w:vAlign w:val="bottom"/>
          </w:tcPr>
          <w:p>
            <w:pPr>
              <w:spacing w:after="0"/>
              <w:rPr>
                <w:sz w:val="15"/>
                <w:szCs w:val="15"/>
                <w:color w:val="auto"/>
              </w:rPr>
            </w:pPr>
          </w:p>
        </w:tc>
        <w:tc>
          <w:tcPr>
            <w:tcW w:w="440" w:type="dxa"/>
            <w:vAlign w:val="bottom"/>
            <w:tcBorders>
              <w:bottom w:val="single" w:sz="8" w:color="auto"/>
            </w:tcBorders>
          </w:tcPr>
          <w:p>
            <w:pPr>
              <w:spacing w:after="0"/>
              <w:rPr>
                <w:sz w:val="15"/>
                <w:szCs w:val="15"/>
                <w:color w:val="auto"/>
              </w:rPr>
            </w:pPr>
          </w:p>
        </w:tc>
        <w:tc>
          <w:tcPr>
            <w:tcW w:w="1820" w:type="dxa"/>
            <w:vAlign w:val="bottom"/>
            <w:tcBorders>
              <w:bottom w:val="single" w:sz="8" w:color="auto"/>
            </w:tcBorders>
          </w:tcPr>
          <w:p>
            <w:pPr>
              <w:jc w:val="right"/>
              <w:ind w:right="934"/>
              <w:spacing w:after="0"/>
              <w:rPr>
                <w:sz w:val="20"/>
                <w:szCs w:val="20"/>
                <w:color w:val="auto"/>
              </w:rPr>
            </w:pPr>
            <w:r>
              <w:rPr>
                <w:rFonts w:ascii="Times New Roman" w:cs="Times New Roman" w:eastAsia="Times New Roman" w:hAnsi="Times New Roman"/>
                <w:sz w:val="14"/>
                <w:szCs w:val="14"/>
                <w:b w:val="1"/>
                <w:bCs w:val="1"/>
                <w:color w:val="auto"/>
              </w:rPr>
              <w:t>Tax</w:t>
            </w:r>
          </w:p>
        </w:tc>
        <w:tc>
          <w:tcPr>
            <w:tcW w:w="12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10"/>
        </w:trPr>
        <w:tc>
          <w:tcPr>
            <w:tcW w:w="59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w:t>
            </w:r>
          </w:p>
        </w:tc>
        <w:tc>
          <w:tcPr>
            <w:tcW w:w="1820" w:type="dxa"/>
            <w:vAlign w:val="bottom"/>
            <w:gridSpan w:val="2"/>
            <w:shd w:val="clear" w:color="auto" w:fill="CFF0FC"/>
          </w:tcPr>
          <w:p>
            <w:pPr>
              <w:jc w:val="right"/>
              <w:ind w:right="1382"/>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64,215</w:t>
            </w:r>
          </w:p>
        </w:tc>
        <w:tc>
          <w:tcPr>
            <w:tcW w:w="820" w:type="dxa"/>
            <w:vAlign w:val="bottom"/>
            <w:gridSpan w:val="2"/>
            <w:shd w:val="clear" w:color="auto" w:fill="CFF0FC"/>
          </w:tcPr>
          <w:p>
            <w:pPr>
              <w:jc w:val="right"/>
              <w:ind w:right="250"/>
              <w:spacing w:after="0"/>
              <w:rPr>
                <w:sz w:val="20"/>
                <w:szCs w:val="20"/>
                <w:color w:val="auto"/>
              </w:rPr>
            </w:pPr>
            <w:r>
              <w:rPr>
                <w:rFonts w:ascii="Times New Roman" w:cs="Times New Roman" w:eastAsia="Times New Roman" w:hAnsi="Times New Roman"/>
                <w:sz w:val="18"/>
                <w:szCs w:val="18"/>
                <w:color w:val="auto"/>
              </w:rPr>
              <w:t>$</w:t>
            </w: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9,223</w:t>
            </w:r>
          </w:p>
        </w:tc>
        <w:tc>
          <w:tcPr>
            <w:tcW w:w="12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2026</w:t>
            </w:r>
          </w:p>
        </w:tc>
        <w:tc>
          <w:tcPr>
            <w:tcW w:w="26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84,205</w:t>
            </w:r>
          </w:p>
        </w:tc>
        <w:tc>
          <w:tcPr>
            <w:tcW w:w="380" w:type="dxa"/>
            <w:vAlign w:val="bottom"/>
          </w:tcPr>
          <w:p>
            <w:pPr>
              <w:spacing w:after="0"/>
              <w:rPr>
                <w:sz w:val="18"/>
                <w:szCs w:val="18"/>
                <w:color w:val="auto"/>
              </w:rPr>
            </w:pPr>
          </w:p>
        </w:tc>
        <w:tc>
          <w:tcPr>
            <w:tcW w:w="440" w:type="dxa"/>
            <w:vAlign w:val="bottom"/>
          </w:tcPr>
          <w:p>
            <w:pPr>
              <w:spacing w:after="0"/>
              <w:rPr>
                <w:sz w:val="18"/>
                <w:szCs w:val="18"/>
                <w:color w:val="auto"/>
              </w:rPr>
            </w:pPr>
          </w:p>
        </w:tc>
        <w:tc>
          <w:tcPr>
            <w:tcW w:w="1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2027</w:t>
            </w:r>
          </w:p>
        </w:tc>
        <w:tc>
          <w:tcPr>
            <w:tcW w:w="260" w:type="dxa"/>
            <w:vAlign w:val="bottom"/>
            <w:shd w:val="clear" w:color="auto" w:fill="CFF0FC"/>
          </w:tcPr>
          <w:p>
            <w:pPr>
              <w:spacing w:after="0"/>
              <w:rPr>
                <w:sz w:val="18"/>
                <w:szCs w:val="18"/>
                <w:color w:val="auto"/>
              </w:rPr>
            </w:pPr>
          </w:p>
        </w:tc>
        <w:tc>
          <w:tcPr>
            <w:tcW w:w="1560" w:type="dxa"/>
            <w:vAlign w:val="bottom"/>
            <w:shd w:val="clear" w:color="auto" w:fill="CFF0FC"/>
          </w:tcPr>
          <w:p>
            <w:pPr>
              <w:spacing w:after="0"/>
              <w:rPr>
                <w:sz w:val="18"/>
                <w:szCs w:val="18"/>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32,747</w:t>
            </w:r>
          </w:p>
        </w:tc>
        <w:tc>
          <w:tcPr>
            <w:tcW w:w="380" w:type="dxa"/>
            <w:vAlign w:val="bottom"/>
            <w:shd w:val="clear" w:color="auto" w:fill="CFF0FC"/>
          </w:tcPr>
          <w:p>
            <w:pPr>
              <w:spacing w:after="0"/>
              <w:rPr>
                <w:sz w:val="18"/>
                <w:szCs w:val="18"/>
                <w:color w:val="auto"/>
              </w:rPr>
            </w:pPr>
          </w:p>
        </w:tc>
        <w:tc>
          <w:tcPr>
            <w:tcW w:w="440" w:type="dxa"/>
            <w:vAlign w:val="bottom"/>
            <w:shd w:val="clear" w:color="auto" w:fill="CFF0FC"/>
          </w:tcPr>
          <w:p>
            <w:pPr>
              <w:spacing w:after="0"/>
              <w:rPr>
                <w:sz w:val="18"/>
                <w:szCs w:val="18"/>
                <w:color w:val="auto"/>
              </w:rPr>
            </w:pP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2028</w:t>
            </w:r>
          </w:p>
        </w:tc>
        <w:tc>
          <w:tcPr>
            <w:tcW w:w="26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288</w:t>
            </w:r>
          </w:p>
        </w:tc>
        <w:tc>
          <w:tcPr>
            <w:tcW w:w="380" w:type="dxa"/>
            <w:vAlign w:val="bottom"/>
          </w:tcPr>
          <w:p>
            <w:pPr>
              <w:spacing w:after="0"/>
              <w:rPr>
                <w:sz w:val="18"/>
                <w:szCs w:val="18"/>
                <w:color w:val="auto"/>
              </w:rPr>
            </w:pPr>
          </w:p>
        </w:tc>
        <w:tc>
          <w:tcPr>
            <w:tcW w:w="440" w:type="dxa"/>
            <w:vAlign w:val="bottom"/>
          </w:tcPr>
          <w:p>
            <w:pPr>
              <w:spacing w:after="0"/>
              <w:rPr>
                <w:sz w:val="18"/>
                <w:szCs w:val="18"/>
                <w:color w:val="auto"/>
              </w:rPr>
            </w:pPr>
          </w:p>
        </w:tc>
        <w:tc>
          <w:tcPr>
            <w:tcW w:w="1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2029</w:t>
            </w:r>
          </w:p>
        </w:tc>
        <w:tc>
          <w:tcPr>
            <w:tcW w:w="260" w:type="dxa"/>
            <w:vAlign w:val="bottom"/>
            <w:shd w:val="clear" w:color="auto" w:fill="CFF0FC"/>
          </w:tcPr>
          <w:p>
            <w:pPr>
              <w:spacing w:after="0"/>
              <w:rPr>
                <w:sz w:val="18"/>
                <w:szCs w:val="18"/>
                <w:color w:val="auto"/>
              </w:rPr>
            </w:pPr>
          </w:p>
        </w:tc>
        <w:tc>
          <w:tcPr>
            <w:tcW w:w="1560" w:type="dxa"/>
            <w:vAlign w:val="bottom"/>
            <w:shd w:val="clear" w:color="auto" w:fill="CFF0FC"/>
          </w:tcPr>
          <w:p>
            <w:pPr>
              <w:spacing w:after="0"/>
              <w:rPr>
                <w:sz w:val="18"/>
                <w:szCs w:val="18"/>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80" w:type="dxa"/>
            <w:vAlign w:val="bottom"/>
            <w:shd w:val="clear" w:color="auto" w:fill="CFF0FC"/>
          </w:tcPr>
          <w:p>
            <w:pPr>
              <w:spacing w:after="0"/>
              <w:rPr>
                <w:sz w:val="18"/>
                <w:szCs w:val="18"/>
                <w:color w:val="auto"/>
              </w:rPr>
            </w:pPr>
          </w:p>
        </w:tc>
        <w:tc>
          <w:tcPr>
            <w:tcW w:w="440" w:type="dxa"/>
            <w:vAlign w:val="bottom"/>
            <w:shd w:val="clear" w:color="auto" w:fill="CFF0FC"/>
          </w:tcPr>
          <w:p>
            <w:pPr>
              <w:spacing w:after="0"/>
              <w:rPr>
                <w:sz w:val="18"/>
                <w:szCs w:val="18"/>
                <w:color w:val="auto"/>
              </w:rPr>
            </w:pP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Thereafter</w:t>
            </w:r>
          </w:p>
        </w:tc>
        <w:tc>
          <w:tcPr>
            <w:tcW w:w="260" w:type="dxa"/>
            <w:vAlign w:val="bottom"/>
          </w:tcPr>
          <w:p>
            <w:pPr>
              <w:spacing w:after="0"/>
              <w:rPr>
                <w:sz w:val="18"/>
                <w:szCs w:val="18"/>
                <w:color w:val="auto"/>
              </w:rPr>
            </w:pPr>
          </w:p>
        </w:tc>
        <w:tc>
          <w:tcPr>
            <w:tcW w:w="1560" w:type="dxa"/>
            <w:vAlign w:val="bottom"/>
            <w:tcBorders>
              <w:bottom w:val="single" w:sz="8" w:color="auto"/>
            </w:tcBorders>
          </w:tcPr>
          <w:p>
            <w:pPr>
              <w:spacing w:after="0"/>
              <w:rPr>
                <w:sz w:val="18"/>
                <w:szCs w:val="18"/>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80" w:type="dxa"/>
            <w:vAlign w:val="bottom"/>
          </w:tcPr>
          <w:p>
            <w:pPr>
              <w:spacing w:after="0"/>
              <w:rPr>
                <w:sz w:val="18"/>
                <w:szCs w:val="18"/>
                <w:color w:val="auto"/>
              </w:rPr>
            </w:pPr>
          </w:p>
        </w:tc>
        <w:tc>
          <w:tcPr>
            <w:tcW w:w="440" w:type="dxa"/>
            <w:vAlign w:val="bottom"/>
            <w:tcBorders>
              <w:bottom w:val="single" w:sz="8" w:color="auto"/>
            </w:tcBorders>
          </w:tcPr>
          <w:p>
            <w:pPr>
              <w:spacing w:after="0"/>
              <w:rPr>
                <w:sz w:val="18"/>
                <w:szCs w:val="18"/>
                <w:color w:val="auto"/>
              </w:rPr>
            </w:pPr>
          </w:p>
        </w:tc>
        <w:tc>
          <w:tcPr>
            <w:tcW w:w="18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50"/>
        </w:trPr>
        <w:tc>
          <w:tcPr>
            <w:tcW w:w="5960" w:type="dxa"/>
            <w:vAlign w:val="bottom"/>
            <w:tcBorders>
              <w:bottom w:val="single" w:sz="8" w:color="CFF0FC"/>
            </w:tcBorders>
            <w:shd w:val="clear" w:color="auto" w:fill="CFF0FC"/>
          </w:tcPr>
          <w:p>
            <w:pPr>
              <w:spacing w:after="0"/>
              <w:rPr>
                <w:sz w:val="21"/>
                <w:szCs w:val="21"/>
                <w:color w:val="auto"/>
              </w:rPr>
            </w:pPr>
          </w:p>
        </w:tc>
        <w:tc>
          <w:tcPr>
            <w:tcW w:w="260" w:type="dxa"/>
            <w:vAlign w:val="bottom"/>
            <w:tcBorders>
              <w:bottom w:val="single" w:sz="8" w:color="CFF0FC"/>
            </w:tcBorders>
            <w:shd w:val="clear" w:color="auto" w:fill="CFF0FC"/>
          </w:tcPr>
          <w:p>
            <w:pPr>
              <w:spacing w:after="0"/>
              <w:rPr>
                <w:sz w:val="21"/>
                <w:szCs w:val="21"/>
                <w:color w:val="auto"/>
              </w:rPr>
            </w:pPr>
          </w:p>
        </w:tc>
        <w:tc>
          <w:tcPr>
            <w:tcW w:w="1560" w:type="dxa"/>
            <w:vAlign w:val="bottom"/>
            <w:tcBorders>
              <w:bottom w:val="single" w:sz="8" w:color="auto"/>
            </w:tcBorders>
            <w:shd w:val="clear" w:color="auto" w:fill="CFF0FC"/>
          </w:tcPr>
          <w:p>
            <w:pPr>
              <w:jc w:val="right"/>
              <w:ind w:right="1382"/>
              <w:spacing w:after="0"/>
              <w:rPr>
                <w:sz w:val="20"/>
                <w:szCs w:val="20"/>
                <w:color w:val="auto"/>
              </w:rPr>
            </w:pPr>
            <w:r>
              <w:rPr>
                <w:rFonts w:ascii="Times New Roman" w:cs="Times New Roman" w:eastAsia="Times New Roman" w:hAnsi="Times New Roman"/>
                <w:sz w:val="18"/>
                <w:szCs w:val="18"/>
                <w:color w:val="auto"/>
                <w:w w:val="88"/>
              </w:rPr>
              <w:t>$</w:t>
            </w: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181,455</w:t>
            </w:r>
          </w:p>
        </w:tc>
        <w:tc>
          <w:tcPr>
            <w:tcW w:w="380" w:type="dxa"/>
            <w:vAlign w:val="bottom"/>
            <w:tcBorders>
              <w:bottom w:val="single" w:sz="8" w:color="CFF0FC"/>
            </w:tcBorders>
            <w:shd w:val="clear" w:color="auto" w:fill="CFF0FC"/>
          </w:tcPr>
          <w:p>
            <w:pPr>
              <w:spacing w:after="0"/>
              <w:rPr>
                <w:sz w:val="21"/>
                <w:szCs w:val="21"/>
                <w:color w:val="auto"/>
              </w:rPr>
            </w:pPr>
          </w:p>
        </w:tc>
        <w:tc>
          <w:tcPr>
            <w:tcW w:w="440" w:type="dxa"/>
            <w:vAlign w:val="bottom"/>
            <w:tcBorders>
              <w:bottom w:val="single" w:sz="8" w:color="auto"/>
            </w:tcBorders>
            <w:shd w:val="clear" w:color="auto" w:fill="CFF0FC"/>
          </w:tcPr>
          <w:p>
            <w:pPr>
              <w:jc w:val="right"/>
              <w:ind w:right="25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9,223</w:t>
            </w:r>
          </w:p>
        </w:tc>
        <w:tc>
          <w:tcPr>
            <w:tcW w:w="12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5388610</wp:posOffset>
            </wp:positionH>
            <wp:positionV relativeFrom="paragraph">
              <wp:posOffset>-24765</wp:posOffset>
            </wp:positionV>
            <wp:extent cx="68580" cy="8255"/>
            <wp:wrapNone/>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8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5388610</wp:posOffset>
            </wp:positionH>
            <wp:positionV relativeFrom="paragraph">
              <wp:posOffset>-7620</wp:posOffset>
            </wp:positionV>
            <wp:extent cx="68580" cy="8255"/>
            <wp:wrapNone/>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8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-24765</wp:posOffset>
            </wp:positionV>
            <wp:extent cx="77470" cy="8255"/>
            <wp:wrapNone/>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84">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-7620</wp:posOffset>
            </wp:positionV>
            <wp:extent cx="77470" cy="8255"/>
            <wp:wrapNone/>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85">
                      <a:extLst>
                        <a:ext uri="{28A0092B-C50C-407E-A947-70E740481C1C}"/>
                      </a:extLst>
                    </a:blip>
                    <a:srcRect/>
                    <a:stretch>
                      <a:fillRect/>
                    </a:stretch>
                  </pic:blipFill>
                  <pic:spPr bwMode="auto">
                    <a:xfrm>
                      <a:off x="0" y="0"/>
                      <a:ext cx="77470" cy="8255"/>
                    </a:xfrm>
                    <a:prstGeom prst="rect">
                      <a:avLst/>
                    </a:prstGeom>
                    <a:noFill/>
                  </pic:spPr>
                </pic:pic>
              </a:graphicData>
            </a:graphic>
          </wp:anchor>
        </w:drawing>
      </w:r>
    </w:p>
    <w:p>
      <w:pPr>
        <w:spacing w:after="0" w:line="28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(b) Contingencies</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u w:val="single" w:color="auto"/>
          <w:color w:val="auto"/>
        </w:rPr>
        <w:t>Brazil Matter</w:t>
      </w:r>
    </w:p>
    <w:p>
      <w:pPr>
        <w:spacing w:after="0" w:line="11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Following an internal review initiated in 2018, the Company disclosed its belief that its Brazilian subsidiary failed or likely failed to comply with local procurement regulations in conducting business with certain Brazilian government entities.</w:t>
      </w:r>
    </w:p>
    <w:p>
      <w:pPr>
        <w:spacing w:after="0" w:line="5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2020 the Company learned that the Brazilian Federal Police were investigating alleged corruption and procurement fraud involving certain government officials, including a transaction that was part of the basis of the Company’s previously reported failure or likely failure of its Brazilian subsidiary to comply with local procurement regulations. To the best of the Company’s knowledge, this investigation was concluded in 2023. Neither employees of the Company’s Brazilian subsidiary nor the subsidiary itself were targets of the Federal Police investigation.</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Company’s Brazilian subsidiary voluntarily disclosed information from its 2018 internal review to Brazil’s General Superintendence of the Administrative Council for Economic Defense (“SG/CADE”) and to the Federal Comptroller General (“CGU”). Following this voluntary disclosure and cooperation with these agencies, the Company’s Brazilian subsidiary signed leniency agreements with the SG/CADE in September 2020 and with the CGU and the Federal General Attorney’s Office (“AGU”) in July 2024.</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2023, the SG/CADE launched a public administrative proceeding to investigate potentially anticompetitive conduct by various entities and individuals in Brazil based in part on the information voluntarily disclosed by the Company’s Brazilian subsidiary, which is also one of the defendants in the proceeding. If at the end of the proceeding, SG/CADE’s Tribunal confirms that the Brazilian subsidiary’s</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38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98" w:name="page99"/>
    <w:bookmarkEnd w:id="98"/>
    <w:p>
      <w:pPr>
        <w:spacing w:after="0"/>
        <w:rPr>
          <w:sz w:val="20"/>
          <w:szCs w:val="20"/>
          <w:color w:val="auto"/>
        </w:rPr>
      </w:pPr>
      <w:r>
        <w:rPr>
          <w:rFonts w:ascii="Times New Roman" w:cs="Times New Roman" w:eastAsia="Times New Roman" w:hAnsi="Times New Roman"/>
          <w:sz w:val="18"/>
          <w:szCs w:val="18"/>
          <w:color w:val="auto"/>
        </w:rPr>
        <w:t>obligations under the leniency agreement it signed with SG/CADE have been fulfilled, the Brazilian subsidiary will receive full immunity from fines.</w:t>
      </w:r>
    </w:p>
    <w:p>
      <w:pPr>
        <w:spacing w:after="0" w:line="117"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Pursuant to its leniency agreement with the CGU and the AGU, the Brazilian subsidiary (i) paid approximately BRL 6.16 million (equivalent to approximately $1.1 million) in July 2024, (ii) agreed to certain undertakings regarding its compliance program, and (iii) has been granted immunity from debarment and other sanctions. As a result of this leniency agreement, the CGU dismissed its pending administrative action against the Brazilian subsidiary over alleged procurement violations.</w:t>
      </w:r>
    </w:p>
    <w:p>
      <w:pPr>
        <w:spacing w:after="0" w:line="72"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In 2023, the Company accrued $1.2 million in respect of losses that might be incurred in connection with these matters, with such accrued amount included as a component of “Accounts payable, accrued expenses, and operating lease liabilities” in the Consolidated Balance Sheet as of December 31, 2023. During 2024, the Company paid approximately $1.1 million in cash in respect of these matters as indicated above and accrued an additional $0.3 million in respect of losses that might be incurred with respect to these matters, resulting in a net accrual of $0.4 million as of December 31, 2024, with such accrued amount included as a component of “Accounts payable, accrued expenses, and operating lease liabilities” in the Consolidated Balance Sheet as of December 31, 2024.</w:t>
      </w:r>
    </w:p>
    <w:p>
      <w:pPr>
        <w:spacing w:after="0" w:line="7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Company’s Brazilian subsidiary continues to cooperate with requests from government authorities related to the above matters. As of December 31, 2024, the Company remained unable to reasonably estimate a range of loss beyond the third quarter payment described above.</w:t>
      </w:r>
    </w:p>
    <w:p>
      <w:pPr>
        <w:spacing w:after="0" w:line="16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u w:val="single" w:color="auto"/>
          <w:color w:val="auto"/>
        </w:rPr>
        <w:t>Daedalus Matter</w:t>
      </w:r>
    </w:p>
    <w:p>
      <w:pPr>
        <w:spacing w:after="0" w:line="11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On November 4, 2020, a complaint was filed against the Company in the U.S. District Court for the Eastern District of Virginia by a patent assertion entity called Daedalus Blue, LLC (“Daedalus”). In its complaint, Daedalus alleged that the Company infringed U.S. Patent Nos. 8,341,172 (the “’172 Patent”) and 9,032,076 (the “’076 Patent”) based on specific functionality in the Strategy platform. The ’172 Patent relates to a method for providing aggregate data access in response to a query, whereas the ’076 Patent relates to a role-based access control system.</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On January 29, 2024, the parties executed a settlement agreement pursuant to which the Company received a fully paid-up license to all patents owned by Daedalus as of January 5, 2024, including the ’172 Patent and the ’076 Patent and filed a stipulation of dismissal with the court on February 27, 2024, which the court entered the same day thereby dismissing the case with prejudice.</w:t>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u w:val="single" w:color="auto"/>
          <w:color w:val="auto"/>
        </w:rPr>
        <w:t>False Claims Act Matter</w:t>
      </w:r>
    </w:p>
    <w:p>
      <w:pPr>
        <w:spacing w:after="0" w:line="11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On August 31, 2022, the District of Columbia (the “District”), through its Office of the Attorney General, filed a civil complaint in the Superior Court of the District of Columbia naming as defendants (i) Michael J. Saylor, the Chairman of the Company’s Board of Directors and the Company’s Executive Chairman, in his personal capacity, and (ii) the Company. The District sought, among other relief, monetary damages under the District’s False Claims Act for the alleged failure of Mr. Saylor to pay personal income taxes to the District over a number of years together with penalties, interest, and treble damages. The complaint alleged in the sole claim against the Company that it violated the District’s False Claims Act by conspiring to assist Mr. Saylor’s alleged failure to pay personal income taxes.</w:t>
      </w:r>
    </w:p>
    <w:p>
      <w:pPr>
        <w:spacing w:after="0" w:line="79"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On May 31, 2024, the District, Mr. Saylor, and the Company stipulated to the entry of a Consent Order and Judgment (“Consent Order”) with the court pursuant to which the District, upon receipt of all amounts due under the Consent Order, released Mr. Saylor and the Company from all claims and liabilities that the District asserted, could have asserted, or may assert in the future based on the conduct described in the complaints filed in the case. Under the Consent Order, Mr. Saylor and the Company did not admit to any of the allegations encompassed by the conduct described in the complaint, any violation of law or regulation, any other matter of fact or law, or any liability or wrongdoing, and agreed to pay $40,000,000 to the District to settle the case and resolve the litigation with the District. Pursuant to a separate agreement between Mr. Saylor and the Company, Mr. Saylor paid this settlement amount to the District in full and the Company is not obligated to make any contribution to this settlement payment. On July 15, 2024, Mr. Saylor and the Company entered into a separate agreement with counsel to Tributum, LLC, the relator in the case (“Relator”), to resolve the amount due to such counsel in satisfaction of Relator’s claims for statutory expenses, attorneys’ fees and costs. Pursuant to the separate agreement between Mr. Saylor and the Company, Mr. Saylor paid this settlement amount in full and the Company is not obligated to make any contribution to this settlement payment.</w:t>
      </w:r>
    </w:p>
    <w:p>
      <w:pPr>
        <w:spacing w:after="0" w:line="1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8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99" w:name="page100"/>
    <w:bookmarkEnd w:id="99"/>
    <w:p>
      <w:pPr>
        <w:spacing w:after="0"/>
        <w:rPr>
          <w:sz w:val="20"/>
          <w:szCs w:val="20"/>
          <w:color w:val="auto"/>
        </w:rPr>
      </w:pPr>
      <w:r>
        <w:rPr>
          <w:rFonts w:ascii="Times New Roman" w:cs="Times New Roman" w:eastAsia="Times New Roman" w:hAnsi="Times New Roman"/>
          <w:sz w:val="18"/>
          <w:szCs w:val="18"/>
          <w:i w:val="1"/>
          <w:iCs w:val="1"/>
          <w:color w:val="auto"/>
        </w:rPr>
        <w:t>Various Legal Proceedings and Contingent Liabilities</w:t>
      </w:r>
    </w:p>
    <w:p>
      <w:pPr>
        <w:spacing w:after="0" w:line="11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is also involved in various legal proceedings arising in the normal course of business. Although the outcomes of these legal proceedings are inherently difficult to predict, management does not expect the resolution of these legal proceedings to have a material adverse effect on the Company’s financial position, results of operations, or cash flows.</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has contingent liabilities that, in management’s judgment, are not probable of assertion. If such unasserted contingent liabilities were to be asserted, or become probable of assertion, the Company may be required to record significant expenses and liabilities in the period in which these liabilities are asserted or become probable of assertion.</w:t>
      </w:r>
    </w:p>
    <w:p>
      <w:pPr>
        <w:spacing w:after="0" w:line="3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(10) Income Taxes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U.S. and international components of (loss) income before income taxes (in thousands) were comprised of the following for the periods indicated:</w:t>
      </w:r>
    </w:p>
    <w:p>
      <w:pPr>
        <w:spacing w:after="0" w:line="219" w:lineRule="exact"/>
        <w:rPr>
          <w:sz w:val="20"/>
          <w:szCs w:val="20"/>
          <w:color w:val="auto"/>
        </w:rPr>
      </w:pPr>
    </w:p>
    <w:tbl>
      <w:tblPr>
        <w:tblLayout w:type="fixed"/>
        <w:tblInd w:w="1140" w:type="dxa"/>
        <w:tblCellMar>
          <w:top w:w="0" w:type="dxa"/>
          <w:left w:w="0" w:type="dxa"/>
          <w:bottom w:w="0" w:type="dxa"/>
          <w:right w:w="0" w:type="dxa"/>
        </w:tblCellMar>
      </w:tblPr>
      <w:tr>
        <w:trPr>
          <w:trHeight w:val="173"/>
        </w:trPr>
        <w:tc>
          <w:tcPr>
            <w:tcW w:w="5220" w:type="dxa"/>
            <w:vAlign w:val="bottom"/>
          </w:tcPr>
          <w:p>
            <w:pPr>
              <w:spacing w:after="0"/>
              <w:rPr>
                <w:sz w:val="15"/>
                <w:szCs w:val="15"/>
                <w:color w:val="auto"/>
              </w:rPr>
            </w:pPr>
          </w:p>
        </w:tc>
        <w:tc>
          <w:tcPr>
            <w:tcW w:w="180" w:type="dxa"/>
            <w:vAlign w:val="bottom"/>
            <w:tcBorders>
              <w:bottom w:val="single" w:sz="8" w:color="auto"/>
            </w:tcBorders>
          </w:tcPr>
          <w:p>
            <w:pPr>
              <w:spacing w:after="0"/>
              <w:rPr>
                <w:sz w:val="15"/>
                <w:szCs w:val="15"/>
                <w:color w:val="auto"/>
              </w:rPr>
            </w:pPr>
          </w:p>
        </w:tc>
        <w:tc>
          <w:tcPr>
            <w:tcW w:w="2580" w:type="dxa"/>
            <w:vAlign w:val="bottom"/>
            <w:tcBorders>
              <w:bottom w:val="single" w:sz="8" w:color="auto"/>
            </w:tcBorders>
            <w:gridSpan w:val="6"/>
          </w:tcPr>
          <w:p>
            <w:pPr>
              <w:jc w:val="right"/>
              <w:ind w:right="1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90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52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900" w:type="dxa"/>
            <w:vAlign w:val="bottom"/>
            <w:tcBorders>
              <w:bottom w:val="single" w:sz="8" w:color="auto"/>
            </w:tcBorders>
          </w:tcPr>
          <w:p>
            <w:pPr>
              <w:jc w:val="right"/>
              <w:ind w:right="337"/>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00" w:type="dxa"/>
            <w:vAlign w:val="bottom"/>
          </w:tcPr>
          <w:p>
            <w:pPr>
              <w:spacing w:after="0"/>
              <w:rPr>
                <w:sz w:val="12"/>
                <w:szCs w:val="12"/>
                <w:color w:val="auto"/>
              </w:rPr>
            </w:pPr>
          </w:p>
        </w:tc>
        <w:tc>
          <w:tcPr>
            <w:tcW w:w="240" w:type="dxa"/>
            <w:vAlign w:val="bottom"/>
            <w:tcBorders>
              <w:bottom w:val="single" w:sz="8" w:color="auto"/>
            </w:tcBorders>
          </w:tcPr>
          <w:p>
            <w:pPr>
              <w:spacing w:after="0"/>
              <w:rPr>
                <w:sz w:val="12"/>
                <w:szCs w:val="12"/>
                <w:color w:val="auto"/>
              </w:rPr>
            </w:pPr>
          </w:p>
        </w:tc>
        <w:tc>
          <w:tcPr>
            <w:tcW w:w="840" w:type="dxa"/>
            <w:vAlign w:val="bottom"/>
            <w:tcBorders>
              <w:bottom w:val="single" w:sz="8" w:color="auto"/>
            </w:tcBorders>
          </w:tcPr>
          <w:p>
            <w:pPr>
              <w:jc w:val="right"/>
              <w:ind w:right="315"/>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900" w:type="dxa"/>
            <w:vAlign w:val="bottom"/>
            <w:tcBorders>
              <w:bottom w:val="single" w:sz="8" w:color="auto"/>
            </w:tcBorders>
          </w:tcPr>
          <w:p>
            <w:pPr>
              <w:jc w:val="right"/>
              <w:ind w:right="315"/>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100" w:type="dxa"/>
            <w:vAlign w:val="bottom"/>
          </w:tcPr>
          <w:p>
            <w:pPr>
              <w:spacing w:after="0"/>
              <w:rPr>
                <w:sz w:val="12"/>
                <w:szCs w:val="12"/>
                <w:color w:val="auto"/>
              </w:rPr>
            </w:pPr>
          </w:p>
        </w:tc>
      </w:tr>
      <w:tr>
        <w:trPr>
          <w:trHeight w:val="209"/>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U.S.</w:t>
            </w:r>
          </w:p>
        </w:tc>
        <w:tc>
          <w:tcPr>
            <w:tcW w:w="180" w:type="dxa"/>
            <w:vAlign w:val="bottom"/>
            <w:shd w:val="clear" w:color="auto" w:fill="CFF0FC"/>
          </w:tcPr>
          <w:p>
            <w:pPr>
              <w:jc w:val="right"/>
              <w:ind w:right="16"/>
              <w:spacing w:after="0"/>
              <w:rPr>
                <w:sz w:val="20"/>
                <w:szCs w:val="20"/>
                <w:color w:val="auto"/>
              </w:rPr>
            </w:pPr>
            <w:r>
              <w:rPr>
                <w:rFonts w:ascii="Times New Roman" w:cs="Times New Roman" w:eastAsia="Times New Roman" w:hAnsi="Times New Roman"/>
                <w:sz w:val="17"/>
                <w:szCs w:val="17"/>
                <w:color w:val="auto"/>
                <w:w w:val="70"/>
              </w:rPr>
              <w:t>$</w:t>
            </w:r>
          </w:p>
        </w:tc>
        <w:tc>
          <w:tcPr>
            <w:tcW w:w="11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(1,966,444 )</w:t>
            </w: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(157,810 )</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(1,362,230 )</w:t>
            </w:r>
          </w:p>
        </w:tc>
      </w:tr>
      <w:tr>
        <w:trPr>
          <w:trHeight w:val="216"/>
        </w:trPr>
        <w:tc>
          <w:tcPr>
            <w:tcW w:w="5220" w:type="dxa"/>
            <w:vAlign w:val="bottom"/>
          </w:tcPr>
          <w:p>
            <w:pPr>
              <w:spacing w:after="0"/>
              <w:rPr>
                <w:sz w:val="20"/>
                <w:szCs w:val="20"/>
                <w:color w:val="auto"/>
              </w:rPr>
            </w:pPr>
            <w:r>
              <w:rPr>
                <w:rFonts w:ascii="Times New Roman" w:cs="Times New Roman" w:eastAsia="Times New Roman" w:hAnsi="Times New Roman"/>
                <w:sz w:val="18"/>
                <w:szCs w:val="18"/>
                <w:color w:val="auto"/>
              </w:rPr>
              <w:t>Foreign</w:t>
            </w:r>
          </w:p>
        </w:tc>
        <w:tc>
          <w:tcPr>
            <w:tcW w:w="180" w:type="dxa"/>
            <w:vAlign w:val="bottom"/>
            <w:tcBorders>
              <w:bottom w:val="single" w:sz="8" w:color="auto"/>
            </w:tcBorders>
          </w:tcPr>
          <w:p>
            <w:pPr>
              <w:spacing w:after="0"/>
              <w:rPr>
                <w:sz w:val="18"/>
                <w:szCs w:val="18"/>
                <w:color w:val="auto"/>
              </w:rPr>
            </w:pPr>
          </w:p>
        </w:tc>
        <w:tc>
          <w:tcPr>
            <w:tcW w:w="9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32,098</w:t>
            </w:r>
          </w:p>
        </w:tc>
        <w:tc>
          <w:tcPr>
            <w:tcW w:w="20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8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33,285</w:t>
            </w:r>
          </w:p>
        </w:tc>
        <w:tc>
          <w:tcPr>
            <w:tcW w:w="220" w:type="dxa"/>
            <w:vAlign w:val="bottom"/>
          </w:tcPr>
          <w:p>
            <w:pPr>
              <w:spacing w:after="0"/>
              <w:rPr>
                <w:sz w:val="18"/>
                <w:szCs w:val="18"/>
                <w:color w:val="auto"/>
              </w:rPr>
            </w:pPr>
          </w:p>
        </w:tc>
        <w:tc>
          <w:tcPr>
            <w:tcW w:w="180" w:type="dxa"/>
            <w:vAlign w:val="bottom"/>
            <w:tcBorders>
              <w:bottom w:val="single" w:sz="8" w:color="auto"/>
            </w:tcBorders>
          </w:tcPr>
          <w:p>
            <w:pPr>
              <w:spacing w:after="0"/>
              <w:rPr>
                <w:sz w:val="18"/>
                <w:szCs w:val="18"/>
                <w:color w:val="auto"/>
              </w:rPr>
            </w:pPr>
          </w:p>
        </w:tc>
        <w:tc>
          <w:tcPr>
            <w:tcW w:w="9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39,765</w:t>
            </w:r>
          </w:p>
        </w:tc>
        <w:tc>
          <w:tcPr>
            <w:tcW w:w="100" w:type="dxa"/>
            <w:vAlign w:val="bottom"/>
          </w:tcPr>
          <w:p>
            <w:pPr>
              <w:spacing w:after="0"/>
              <w:rPr>
                <w:sz w:val="18"/>
                <w:szCs w:val="18"/>
                <w:color w:val="auto"/>
              </w:rPr>
            </w:pPr>
          </w:p>
        </w:tc>
      </w:tr>
      <w:tr>
        <w:trPr>
          <w:trHeight w:val="229"/>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Total</w:t>
            </w:r>
          </w:p>
        </w:tc>
        <w:tc>
          <w:tcPr>
            <w:tcW w:w="180" w:type="dxa"/>
            <w:vAlign w:val="bottom"/>
            <w:shd w:val="clear" w:color="auto" w:fill="CFF0FC"/>
          </w:tcPr>
          <w:p>
            <w:pPr>
              <w:jc w:val="right"/>
              <w:ind w:right="16"/>
              <w:spacing w:after="0"/>
              <w:rPr>
                <w:sz w:val="20"/>
                <w:szCs w:val="20"/>
                <w:color w:val="auto"/>
              </w:rPr>
            </w:pPr>
            <w:r>
              <w:rPr>
                <w:rFonts w:ascii="Times New Roman" w:cs="Times New Roman" w:eastAsia="Times New Roman" w:hAnsi="Times New Roman"/>
                <w:sz w:val="17"/>
                <w:szCs w:val="17"/>
                <w:color w:val="auto"/>
                <w:w w:val="70"/>
              </w:rPr>
              <w:t>$</w:t>
            </w:r>
          </w:p>
        </w:tc>
        <w:tc>
          <w:tcPr>
            <w:tcW w:w="11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(1,934,346 )</w:t>
            </w: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(124,525 )</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(1,322,465 )</w:t>
            </w:r>
          </w:p>
        </w:tc>
      </w:tr>
      <w:tr>
        <w:trPr>
          <w:trHeight w:val="20"/>
        </w:trPr>
        <w:tc>
          <w:tcPr>
            <w:tcW w:w="5220" w:type="dxa"/>
            <w:vAlign w:val="bottom"/>
            <w:tcBorders>
              <w:top w:val="single" w:sz="8" w:color="CFF0FC"/>
            </w:tcBorders>
            <w:shd w:val="clear" w:color="auto" w:fill="CFF0FC"/>
          </w:tcPr>
          <w:p>
            <w:pPr>
              <w:spacing w:after="0" w:line="20" w:lineRule="exact"/>
              <w:rPr>
                <w:sz w:val="1"/>
                <w:szCs w:val="1"/>
                <w:color w:val="auto"/>
              </w:rPr>
            </w:pPr>
          </w:p>
        </w:tc>
        <w:tc>
          <w:tcPr>
            <w:tcW w:w="180" w:type="dxa"/>
            <w:vAlign w:val="bottom"/>
            <w:tcBorders>
              <w:top w:val="single" w:sz="8" w:color="auto"/>
            </w:tcBorders>
            <w:shd w:val="clear" w:color="auto" w:fill="000000"/>
          </w:tcPr>
          <w:p>
            <w:pPr>
              <w:spacing w:after="0" w:line="20" w:lineRule="exact"/>
              <w:rPr>
                <w:sz w:val="1"/>
                <w:szCs w:val="1"/>
                <w:color w:val="auto"/>
              </w:rPr>
            </w:pPr>
          </w:p>
        </w:tc>
        <w:tc>
          <w:tcPr>
            <w:tcW w:w="90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240" w:type="dxa"/>
            <w:vAlign w:val="bottom"/>
            <w:tcBorders>
              <w:top w:val="single" w:sz="8" w:color="auto"/>
            </w:tcBorders>
            <w:shd w:val="clear" w:color="auto" w:fill="000000"/>
          </w:tcPr>
          <w:p>
            <w:pPr>
              <w:spacing w:after="0" w:line="20" w:lineRule="exact"/>
              <w:rPr>
                <w:sz w:val="1"/>
                <w:szCs w:val="1"/>
                <w:color w:val="auto"/>
              </w:rPr>
            </w:pPr>
          </w:p>
        </w:tc>
        <w:tc>
          <w:tcPr>
            <w:tcW w:w="84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180" w:type="dxa"/>
            <w:vAlign w:val="bottom"/>
            <w:tcBorders>
              <w:top w:val="single" w:sz="8" w:color="auto"/>
            </w:tcBorders>
            <w:shd w:val="clear" w:color="auto" w:fill="000000"/>
          </w:tcPr>
          <w:p>
            <w:pPr>
              <w:spacing w:after="0" w:line="20" w:lineRule="exact"/>
              <w:rPr>
                <w:sz w:val="1"/>
                <w:szCs w:val="1"/>
                <w:color w:val="auto"/>
              </w:rPr>
            </w:pPr>
          </w:p>
        </w:tc>
        <w:tc>
          <w:tcPr>
            <w:tcW w:w="90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4719955</wp:posOffset>
            </wp:positionH>
            <wp:positionV relativeFrom="paragraph">
              <wp:posOffset>-25400</wp:posOffset>
            </wp:positionV>
            <wp:extent cx="60325" cy="8255"/>
            <wp:wrapNone/>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88">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4719955</wp:posOffset>
            </wp:positionH>
            <wp:positionV relativeFrom="paragraph">
              <wp:posOffset>-8255</wp:posOffset>
            </wp:positionV>
            <wp:extent cx="60325" cy="8890"/>
            <wp:wrapNone/>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89">
                      <a:extLst>
                        <a:ext uri="{28A0092B-C50C-407E-A947-70E740481C1C}"/>
                      </a:extLst>
                    </a:blip>
                    <a:srcRect/>
                    <a:stretch>
                      <a:fillRect/>
                    </a:stretch>
                  </pic:blipFill>
                  <pic:spPr bwMode="auto">
                    <a:xfrm>
                      <a:off x="0" y="0"/>
                      <a:ext cx="60325" cy="8890"/>
                    </a:xfrm>
                    <a:prstGeom prst="rect">
                      <a:avLst/>
                    </a:prstGeom>
                    <a:noFill/>
                  </pic:spPr>
                </pic:pic>
              </a:graphicData>
            </a:graphic>
          </wp:anchor>
        </w:drawing>
        <w:drawing>
          <wp:anchor simplePos="0" relativeHeight="251657728" behindDoc="1" locked="0" layoutInCell="0" allowOverlap="1">
            <wp:simplePos x="0" y="0"/>
            <wp:positionH relativeFrom="column">
              <wp:posOffset>5542915</wp:posOffset>
            </wp:positionH>
            <wp:positionV relativeFrom="paragraph">
              <wp:posOffset>-25400</wp:posOffset>
            </wp:positionV>
            <wp:extent cx="60325" cy="8255"/>
            <wp:wrapNone/>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90">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5542915</wp:posOffset>
            </wp:positionH>
            <wp:positionV relativeFrom="paragraph">
              <wp:posOffset>-8255</wp:posOffset>
            </wp:positionV>
            <wp:extent cx="60325" cy="8890"/>
            <wp:wrapNone/>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391">
                      <a:extLst>
                        <a:ext uri="{28A0092B-C50C-407E-A947-70E740481C1C}"/>
                      </a:extLst>
                    </a:blip>
                    <a:srcRect/>
                    <a:stretch>
                      <a:fillRect/>
                    </a:stretch>
                  </pic:blipFill>
                  <pic:spPr bwMode="auto">
                    <a:xfrm>
                      <a:off x="0" y="0"/>
                      <a:ext cx="60325" cy="8890"/>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-25400</wp:posOffset>
            </wp:positionV>
            <wp:extent cx="59690" cy="8255"/>
            <wp:wrapNone/>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392">
                      <a:extLst>
                        <a:ext uri="{28A0092B-C50C-407E-A947-70E740481C1C}"/>
                      </a:extLst>
                    </a:blip>
                    <a:srcRect/>
                    <a:stretch>
                      <a:fillRect/>
                    </a:stretch>
                  </pic:blipFill>
                  <pic:spPr bwMode="auto">
                    <a:xfrm>
                      <a:off x="0" y="0"/>
                      <a:ext cx="59690" cy="8255"/>
                    </a:xfrm>
                    <a:prstGeom prst="rect">
                      <a:avLst/>
                    </a:prstGeom>
                    <a:noFill/>
                  </pic:spPr>
                </pic:pic>
              </a:graphicData>
            </a:graphic>
          </wp:anchor>
        </w:drawing>
        <w:drawing>
          <wp:anchor simplePos="0" relativeHeight="251657728" behindDoc="1" locked="0" layoutInCell="0" allowOverlap="1">
            <wp:simplePos x="0" y="0"/>
            <wp:positionH relativeFrom="column">
              <wp:posOffset>6365875</wp:posOffset>
            </wp:positionH>
            <wp:positionV relativeFrom="paragraph">
              <wp:posOffset>-8255</wp:posOffset>
            </wp:positionV>
            <wp:extent cx="59690" cy="8890"/>
            <wp:wrapNone/>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393">
                      <a:extLst>
                        <a:ext uri="{28A0092B-C50C-407E-A947-70E740481C1C}"/>
                      </a:extLst>
                    </a:blip>
                    <a:srcRect/>
                    <a:stretch>
                      <a:fillRect/>
                    </a:stretch>
                  </pic:blipFill>
                  <pic:spPr bwMode="auto">
                    <a:xfrm>
                      <a:off x="0" y="0"/>
                      <a:ext cx="59690" cy="8890"/>
                    </a:xfrm>
                    <a:prstGeom prst="rect">
                      <a:avLst/>
                    </a:prstGeom>
                    <a:noFill/>
                  </pic:spPr>
                </pic:pic>
              </a:graphicData>
            </a:graphic>
          </wp:anchor>
        </w:drawing>
      </w:r>
    </w:p>
    <w:p>
      <w:pPr>
        <w:spacing w:after="0" w:line="21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(benefit from) provision for income taxes (in thousands) consisted of the following for the periods indicated:</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1140" w:type="dxa"/>
            <w:vAlign w:val="bottom"/>
          </w:tcPr>
          <w:p>
            <w:pPr>
              <w:spacing w:after="0"/>
              <w:rPr>
                <w:sz w:val="15"/>
                <w:szCs w:val="15"/>
                <w:color w:val="auto"/>
              </w:rPr>
            </w:pPr>
          </w:p>
        </w:tc>
        <w:tc>
          <w:tcPr>
            <w:tcW w:w="3060" w:type="dxa"/>
            <w:vAlign w:val="bottom"/>
          </w:tcPr>
          <w:p>
            <w:pPr>
              <w:spacing w:after="0"/>
              <w:rPr>
                <w:sz w:val="15"/>
                <w:szCs w:val="15"/>
                <w:color w:val="auto"/>
              </w:rPr>
            </w:pPr>
          </w:p>
        </w:tc>
        <w:tc>
          <w:tcPr>
            <w:tcW w:w="2160" w:type="dxa"/>
            <w:vAlign w:val="bottom"/>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2600" w:type="dxa"/>
            <w:vAlign w:val="bottom"/>
            <w:tcBorders>
              <w:bottom w:val="single" w:sz="8" w:color="auto"/>
            </w:tcBorders>
            <w:gridSpan w:val="6"/>
          </w:tcPr>
          <w:p>
            <w:pPr>
              <w:jc w:val="right"/>
              <w:ind w:right="9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840" w:type="dxa"/>
            <w:vAlign w:val="bottom"/>
            <w:tcBorders>
              <w:bottom w:val="single" w:sz="8" w:color="auto"/>
            </w:tcBorders>
          </w:tcPr>
          <w:p>
            <w:pPr>
              <w:spacing w:after="0"/>
              <w:rPr>
                <w:sz w:val="15"/>
                <w:szCs w:val="15"/>
                <w:color w:val="auto"/>
              </w:rPr>
            </w:pPr>
          </w:p>
        </w:tc>
        <w:tc>
          <w:tcPr>
            <w:tcW w:w="80" w:type="dxa"/>
            <w:vAlign w:val="bottom"/>
          </w:tcPr>
          <w:p>
            <w:pPr>
              <w:spacing w:after="0"/>
              <w:rPr>
                <w:sz w:val="15"/>
                <w:szCs w:val="15"/>
                <w:color w:val="auto"/>
              </w:rPr>
            </w:pPr>
          </w:p>
        </w:tc>
        <w:tc>
          <w:tcPr>
            <w:tcW w:w="112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1140" w:type="dxa"/>
            <w:vAlign w:val="bottom"/>
          </w:tcPr>
          <w:p>
            <w:pPr>
              <w:spacing w:after="0"/>
              <w:rPr>
                <w:sz w:val="12"/>
                <w:szCs w:val="12"/>
                <w:color w:val="auto"/>
              </w:rPr>
            </w:pPr>
          </w:p>
        </w:tc>
        <w:tc>
          <w:tcPr>
            <w:tcW w:w="3060" w:type="dxa"/>
            <w:vAlign w:val="bottom"/>
          </w:tcPr>
          <w:p>
            <w:pPr>
              <w:spacing w:after="0"/>
              <w:rPr>
                <w:sz w:val="12"/>
                <w:szCs w:val="12"/>
                <w:color w:val="auto"/>
              </w:rPr>
            </w:pPr>
          </w:p>
        </w:tc>
        <w:tc>
          <w:tcPr>
            <w:tcW w:w="2160" w:type="dxa"/>
            <w:vAlign w:val="bottom"/>
          </w:tcPr>
          <w:p>
            <w:pPr>
              <w:spacing w:after="0"/>
              <w:rPr>
                <w:sz w:val="12"/>
                <w:szCs w:val="12"/>
                <w:color w:val="auto"/>
              </w:rPr>
            </w:pPr>
          </w:p>
        </w:tc>
        <w:tc>
          <w:tcPr>
            <w:tcW w:w="240" w:type="dxa"/>
            <w:vAlign w:val="bottom"/>
            <w:tcBorders>
              <w:bottom w:val="single" w:sz="8" w:color="auto"/>
            </w:tcBorders>
          </w:tcPr>
          <w:p>
            <w:pPr>
              <w:spacing w:after="0"/>
              <w:rPr>
                <w:sz w:val="12"/>
                <w:szCs w:val="12"/>
                <w:color w:val="auto"/>
              </w:rPr>
            </w:pPr>
          </w:p>
        </w:tc>
        <w:tc>
          <w:tcPr>
            <w:tcW w:w="840" w:type="dxa"/>
            <w:vAlign w:val="bottom"/>
            <w:tcBorders>
              <w:bottom w:val="single" w:sz="8" w:color="auto"/>
            </w:tcBorders>
          </w:tcPr>
          <w:p>
            <w:pPr>
              <w:jc w:val="right"/>
              <w:ind w:right="313"/>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2"/>
                <w:szCs w:val="12"/>
                <w:color w:val="auto"/>
              </w:rPr>
            </w:pPr>
          </w:p>
        </w:tc>
        <w:tc>
          <w:tcPr>
            <w:tcW w:w="240" w:type="dxa"/>
            <w:vAlign w:val="bottom"/>
            <w:tcBorders>
              <w:bottom w:val="single" w:sz="8" w:color="auto"/>
            </w:tcBorders>
          </w:tcPr>
          <w:p>
            <w:pPr>
              <w:spacing w:after="0"/>
              <w:rPr>
                <w:sz w:val="12"/>
                <w:szCs w:val="12"/>
                <w:color w:val="auto"/>
              </w:rPr>
            </w:pPr>
          </w:p>
        </w:tc>
        <w:tc>
          <w:tcPr>
            <w:tcW w:w="840" w:type="dxa"/>
            <w:vAlign w:val="bottom"/>
            <w:tcBorders>
              <w:bottom w:val="single" w:sz="8" w:color="auto"/>
            </w:tcBorders>
          </w:tcPr>
          <w:p>
            <w:pPr>
              <w:jc w:val="right"/>
              <w:ind w:right="312"/>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2"/>
                <w:szCs w:val="12"/>
                <w:color w:val="auto"/>
              </w:rPr>
            </w:pPr>
          </w:p>
        </w:tc>
        <w:tc>
          <w:tcPr>
            <w:tcW w:w="240" w:type="dxa"/>
            <w:vAlign w:val="bottom"/>
            <w:tcBorders>
              <w:bottom w:val="single" w:sz="8" w:color="auto"/>
            </w:tcBorders>
          </w:tcPr>
          <w:p>
            <w:pPr>
              <w:spacing w:after="0"/>
              <w:rPr>
                <w:sz w:val="12"/>
                <w:szCs w:val="12"/>
                <w:color w:val="auto"/>
              </w:rPr>
            </w:pPr>
          </w:p>
        </w:tc>
        <w:tc>
          <w:tcPr>
            <w:tcW w:w="840" w:type="dxa"/>
            <w:vAlign w:val="bottom"/>
            <w:tcBorders>
              <w:bottom w:val="single" w:sz="8" w:color="auto"/>
            </w:tcBorders>
          </w:tcPr>
          <w:p>
            <w:pPr>
              <w:jc w:val="right"/>
              <w:ind w:right="332"/>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80" w:type="dxa"/>
            <w:vAlign w:val="bottom"/>
          </w:tcPr>
          <w:p>
            <w:pPr>
              <w:spacing w:after="0"/>
              <w:rPr>
                <w:sz w:val="12"/>
                <w:szCs w:val="12"/>
                <w:color w:val="auto"/>
              </w:rPr>
            </w:pPr>
          </w:p>
        </w:tc>
        <w:tc>
          <w:tcPr>
            <w:tcW w:w="11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1140" w:type="dxa"/>
            <w:vAlign w:val="bottom"/>
          </w:tcPr>
          <w:p>
            <w:pPr>
              <w:spacing w:after="0"/>
              <w:rPr>
                <w:sz w:val="18"/>
                <w:szCs w:val="18"/>
                <w:color w:val="auto"/>
              </w:rPr>
            </w:pPr>
          </w:p>
        </w:tc>
        <w:tc>
          <w:tcPr>
            <w:tcW w:w="306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Current:</w:t>
            </w:r>
          </w:p>
        </w:tc>
        <w:tc>
          <w:tcPr>
            <w:tcW w:w="216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spacing w:after="0"/>
              <w:rPr>
                <w:sz w:val="18"/>
                <w:szCs w:val="18"/>
                <w:color w:val="auto"/>
              </w:rPr>
            </w:pPr>
          </w:p>
        </w:tc>
        <w:tc>
          <w:tcPr>
            <w:tcW w:w="80" w:type="dxa"/>
            <w:vAlign w:val="bottom"/>
            <w:shd w:val="clear" w:color="auto" w:fill="CFF0FC"/>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1140" w:type="dxa"/>
            <w:vAlign w:val="bottom"/>
          </w:tcPr>
          <w:p>
            <w:pPr>
              <w:spacing w:after="0"/>
              <w:rPr>
                <w:sz w:val="18"/>
                <w:szCs w:val="18"/>
                <w:color w:val="auto"/>
              </w:rPr>
            </w:pPr>
          </w:p>
        </w:tc>
        <w:tc>
          <w:tcPr>
            <w:tcW w:w="306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Federal</w:t>
            </w:r>
          </w:p>
        </w:tc>
        <w:tc>
          <w:tcPr>
            <w:tcW w:w="2400" w:type="dxa"/>
            <w:vAlign w:val="bottom"/>
            <w:gridSpan w:val="2"/>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10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(5,202 )</w:t>
            </w: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2,774</w:t>
            </w:r>
          </w:p>
        </w:tc>
        <w:tc>
          <w:tcPr>
            <w:tcW w:w="220" w:type="dxa"/>
            <w:vAlign w:val="bottom"/>
          </w:tcPr>
          <w:p>
            <w:pPr>
              <w:spacing w:after="0"/>
              <w:rPr>
                <w:sz w:val="18"/>
                <w:szCs w:val="18"/>
                <w:color w:val="auto"/>
              </w:rPr>
            </w:pP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9,278</w:t>
            </w:r>
          </w:p>
        </w:tc>
        <w:tc>
          <w:tcPr>
            <w:tcW w:w="80" w:type="dxa"/>
            <w:vAlign w:val="bottom"/>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1140" w:type="dxa"/>
            <w:vAlign w:val="bottom"/>
          </w:tcPr>
          <w:p>
            <w:pPr>
              <w:spacing w:after="0"/>
              <w:rPr>
                <w:sz w:val="18"/>
                <w:szCs w:val="18"/>
                <w:color w:val="auto"/>
              </w:rPr>
            </w:pPr>
          </w:p>
        </w:tc>
        <w:tc>
          <w:tcPr>
            <w:tcW w:w="306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State</w:t>
            </w:r>
          </w:p>
        </w:tc>
        <w:tc>
          <w:tcPr>
            <w:tcW w:w="216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72</w:t>
            </w: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3,376</w:t>
            </w: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5,362</w:t>
            </w:r>
          </w:p>
        </w:tc>
        <w:tc>
          <w:tcPr>
            <w:tcW w:w="80" w:type="dxa"/>
            <w:vAlign w:val="bottom"/>
            <w:shd w:val="clear" w:color="auto" w:fill="CFF0FC"/>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1140" w:type="dxa"/>
            <w:vAlign w:val="bottom"/>
          </w:tcPr>
          <w:p>
            <w:pPr>
              <w:spacing w:after="0"/>
              <w:rPr>
                <w:sz w:val="18"/>
                <w:szCs w:val="18"/>
                <w:color w:val="auto"/>
              </w:rPr>
            </w:pPr>
          </w:p>
        </w:tc>
        <w:tc>
          <w:tcPr>
            <w:tcW w:w="306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Foreign</w:t>
            </w:r>
          </w:p>
        </w:tc>
        <w:tc>
          <w:tcPr>
            <w:tcW w:w="216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8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5,368</w:t>
            </w:r>
          </w:p>
        </w:tc>
        <w:tc>
          <w:tcPr>
            <w:tcW w:w="22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8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9,146</w:t>
            </w:r>
          </w:p>
        </w:tc>
        <w:tc>
          <w:tcPr>
            <w:tcW w:w="22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8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8,139</w:t>
            </w:r>
          </w:p>
        </w:tc>
        <w:tc>
          <w:tcPr>
            <w:tcW w:w="80" w:type="dxa"/>
            <w:vAlign w:val="bottom"/>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1140" w:type="dxa"/>
            <w:vAlign w:val="bottom"/>
          </w:tcPr>
          <w:p>
            <w:pPr>
              <w:spacing w:after="0"/>
              <w:rPr>
                <w:sz w:val="18"/>
                <w:szCs w:val="18"/>
                <w:color w:val="auto"/>
              </w:rPr>
            </w:pPr>
          </w:p>
        </w:tc>
        <w:tc>
          <w:tcPr>
            <w:tcW w:w="3060" w:type="dxa"/>
            <w:vAlign w:val="bottom"/>
            <w:shd w:val="clear" w:color="auto" w:fill="CFF0FC"/>
          </w:tcPr>
          <w:p>
            <w:pPr>
              <w:spacing w:after="0"/>
              <w:rPr>
                <w:sz w:val="18"/>
                <w:szCs w:val="18"/>
                <w:color w:val="auto"/>
              </w:rPr>
            </w:pPr>
          </w:p>
        </w:tc>
        <w:tc>
          <w:tcPr>
            <w:tcW w:w="2400" w:type="dxa"/>
            <w:vAlign w:val="bottom"/>
            <w:gridSpan w:val="2"/>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238</w:t>
            </w: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15,296</w:t>
            </w: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22,779</w:t>
            </w:r>
          </w:p>
        </w:tc>
        <w:tc>
          <w:tcPr>
            <w:tcW w:w="80" w:type="dxa"/>
            <w:vAlign w:val="bottom"/>
            <w:shd w:val="clear" w:color="auto" w:fill="CFF0FC"/>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1140" w:type="dxa"/>
            <w:vAlign w:val="bottom"/>
          </w:tcPr>
          <w:p>
            <w:pPr>
              <w:spacing w:after="0"/>
              <w:rPr>
                <w:sz w:val="18"/>
                <w:szCs w:val="18"/>
                <w:color w:val="auto"/>
              </w:rPr>
            </w:pPr>
          </w:p>
        </w:tc>
        <w:tc>
          <w:tcPr>
            <w:tcW w:w="3060" w:type="dxa"/>
            <w:vAlign w:val="bottom"/>
            <w:tcBorders>
              <w:top w:val="single" w:sz="8" w:color="CFF0FC"/>
            </w:tcBorders>
          </w:tcPr>
          <w:p>
            <w:pPr>
              <w:spacing w:after="0"/>
              <w:rPr>
                <w:sz w:val="18"/>
                <w:szCs w:val="18"/>
                <w:color w:val="auto"/>
              </w:rPr>
            </w:pPr>
          </w:p>
        </w:tc>
        <w:tc>
          <w:tcPr>
            <w:tcW w:w="2160" w:type="dxa"/>
            <w:vAlign w:val="bottom"/>
            <w:tcBorders>
              <w:top w:val="single" w:sz="8" w:color="CFF0FC"/>
            </w:tcBorders>
          </w:tcPr>
          <w:p>
            <w:pPr>
              <w:spacing w:after="0"/>
              <w:rPr>
                <w:sz w:val="18"/>
                <w:szCs w:val="18"/>
                <w:color w:val="auto"/>
              </w:rPr>
            </w:pPr>
          </w:p>
        </w:tc>
        <w:tc>
          <w:tcPr>
            <w:tcW w:w="240" w:type="dxa"/>
            <w:vAlign w:val="bottom"/>
            <w:tcBorders>
              <w:top w:val="single" w:sz="8" w:color="auto"/>
            </w:tcBorders>
          </w:tcPr>
          <w:p>
            <w:pPr>
              <w:spacing w:after="0"/>
              <w:rPr>
                <w:sz w:val="18"/>
                <w:szCs w:val="18"/>
                <w:color w:val="auto"/>
              </w:rPr>
            </w:pPr>
          </w:p>
        </w:tc>
        <w:tc>
          <w:tcPr>
            <w:tcW w:w="840" w:type="dxa"/>
            <w:vAlign w:val="bottom"/>
            <w:tcBorders>
              <w:top w:val="single" w:sz="8" w:color="auto"/>
            </w:tcBorders>
          </w:tcPr>
          <w:p>
            <w:pPr>
              <w:spacing w:after="0"/>
              <w:rPr>
                <w:sz w:val="18"/>
                <w:szCs w:val="18"/>
                <w:color w:val="auto"/>
              </w:rPr>
            </w:pPr>
          </w:p>
        </w:tc>
        <w:tc>
          <w:tcPr>
            <w:tcW w:w="220" w:type="dxa"/>
            <w:vAlign w:val="bottom"/>
            <w:tcBorders>
              <w:top w:val="single" w:sz="8" w:color="CFF0FC"/>
            </w:tcBorders>
          </w:tcPr>
          <w:p>
            <w:pPr>
              <w:spacing w:after="0"/>
              <w:rPr>
                <w:sz w:val="18"/>
                <w:szCs w:val="18"/>
                <w:color w:val="auto"/>
              </w:rPr>
            </w:pPr>
          </w:p>
        </w:tc>
        <w:tc>
          <w:tcPr>
            <w:tcW w:w="240" w:type="dxa"/>
            <w:vAlign w:val="bottom"/>
            <w:tcBorders>
              <w:top w:val="single" w:sz="8" w:color="auto"/>
            </w:tcBorders>
          </w:tcPr>
          <w:p>
            <w:pPr>
              <w:spacing w:after="0"/>
              <w:rPr>
                <w:sz w:val="18"/>
                <w:szCs w:val="18"/>
                <w:color w:val="auto"/>
              </w:rPr>
            </w:pPr>
          </w:p>
        </w:tc>
        <w:tc>
          <w:tcPr>
            <w:tcW w:w="840" w:type="dxa"/>
            <w:vAlign w:val="bottom"/>
            <w:tcBorders>
              <w:top w:val="single" w:sz="8" w:color="auto"/>
            </w:tcBorders>
          </w:tcPr>
          <w:p>
            <w:pPr>
              <w:spacing w:after="0"/>
              <w:rPr>
                <w:sz w:val="18"/>
                <w:szCs w:val="18"/>
                <w:color w:val="auto"/>
              </w:rPr>
            </w:pPr>
          </w:p>
        </w:tc>
        <w:tc>
          <w:tcPr>
            <w:tcW w:w="220" w:type="dxa"/>
            <w:vAlign w:val="bottom"/>
            <w:tcBorders>
              <w:top w:val="single" w:sz="8" w:color="CFF0FC"/>
            </w:tcBorders>
          </w:tcPr>
          <w:p>
            <w:pPr>
              <w:spacing w:after="0"/>
              <w:rPr>
                <w:sz w:val="18"/>
                <w:szCs w:val="18"/>
                <w:color w:val="auto"/>
              </w:rPr>
            </w:pPr>
          </w:p>
        </w:tc>
        <w:tc>
          <w:tcPr>
            <w:tcW w:w="240" w:type="dxa"/>
            <w:vAlign w:val="bottom"/>
            <w:tcBorders>
              <w:top w:val="single" w:sz="8" w:color="auto"/>
            </w:tcBorders>
          </w:tcPr>
          <w:p>
            <w:pPr>
              <w:spacing w:after="0"/>
              <w:rPr>
                <w:sz w:val="18"/>
                <w:szCs w:val="18"/>
                <w:color w:val="auto"/>
              </w:rPr>
            </w:pPr>
          </w:p>
        </w:tc>
        <w:tc>
          <w:tcPr>
            <w:tcW w:w="840" w:type="dxa"/>
            <w:vAlign w:val="bottom"/>
            <w:tcBorders>
              <w:top w:val="single" w:sz="8" w:color="auto"/>
            </w:tcBorders>
          </w:tcPr>
          <w:p>
            <w:pPr>
              <w:spacing w:after="0"/>
              <w:rPr>
                <w:sz w:val="18"/>
                <w:szCs w:val="18"/>
                <w:color w:val="auto"/>
              </w:rPr>
            </w:pPr>
          </w:p>
        </w:tc>
        <w:tc>
          <w:tcPr>
            <w:tcW w:w="80" w:type="dxa"/>
            <w:vAlign w:val="bottom"/>
            <w:tcBorders>
              <w:top w:val="single" w:sz="8" w:color="CFF0FC"/>
            </w:tcBorders>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1140" w:type="dxa"/>
            <w:vAlign w:val="bottom"/>
          </w:tcPr>
          <w:p>
            <w:pPr>
              <w:spacing w:after="0"/>
              <w:rPr>
                <w:sz w:val="18"/>
                <w:szCs w:val="18"/>
                <w:color w:val="auto"/>
              </w:rPr>
            </w:pPr>
          </w:p>
        </w:tc>
        <w:tc>
          <w:tcPr>
            <w:tcW w:w="306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w:t>
            </w:r>
          </w:p>
        </w:tc>
        <w:tc>
          <w:tcPr>
            <w:tcW w:w="216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spacing w:after="0"/>
              <w:rPr>
                <w:sz w:val="18"/>
                <w:szCs w:val="18"/>
                <w:color w:val="auto"/>
              </w:rPr>
            </w:pPr>
          </w:p>
        </w:tc>
        <w:tc>
          <w:tcPr>
            <w:tcW w:w="80" w:type="dxa"/>
            <w:vAlign w:val="bottom"/>
            <w:shd w:val="clear" w:color="auto" w:fill="CFF0FC"/>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1140" w:type="dxa"/>
            <w:vAlign w:val="bottom"/>
          </w:tcPr>
          <w:p>
            <w:pPr>
              <w:spacing w:after="0"/>
              <w:rPr>
                <w:sz w:val="18"/>
                <w:szCs w:val="18"/>
                <w:color w:val="auto"/>
              </w:rPr>
            </w:pPr>
          </w:p>
        </w:tc>
        <w:tc>
          <w:tcPr>
            <w:tcW w:w="306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Federal</w:t>
            </w:r>
          </w:p>
        </w:tc>
        <w:tc>
          <w:tcPr>
            <w:tcW w:w="2400" w:type="dxa"/>
            <w:vAlign w:val="bottom"/>
            <w:gridSpan w:val="2"/>
          </w:tcPr>
          <w:p>
            <w:pPr>
              <w:jc w:val="right"/>
              <w:ind w:right="50"/>
              <w:spacing w:after="0"/>
              <w:rPr>
                <w:sz w:val="20"/>
                <w:szCs w:val="20"/>
                <w:color w:val="auto"/>
              </w:rPr>
            </w:pPr>
            <w:r>
              <w:rPr>
                <w:rFonts w:ascii="Times New Roman" w:cs="Times New Roman" w:eastAsia="Times New Roman" w:hAnsi="Times New Roman"/>
                <w:sz w:val="18"/>
                <w:szCs w:val="18"/>
                <w:color w:val="auto"/>
              </w:rPr>
              <w:t>$</w:t>
            </w:r>
          </w:p>
        </w:tc>
        <w:tc>
          <w:tcPr>
            <w:tcW w:w="10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(505,359 )</w:t>
            </w: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(374,800 )</w:t>
            </w: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89,581</w:t>
            </w:r>
          </w:p>
        </w:tc>
        <w:tc>
          <w:tcPr>
            <w:tcW w:w="80" w:type="dxa"/>
            <w:vAlign w:val="bottom"/>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1140" w:type="dxa"/>
            <w:vAlign w:val="bottom"/>
          </w:tcPr>
          <w:p>
            <w:pPr>
              <w:spacing w:after="0"/>
              <w:rPr>
                <w:sz w:val="18"/>
                <w:szCs w:val="18"/>
                <w:color w:val="auto"/>
              </w:rPr>
            </w:pPr>
          </w:p>
        </w:tc>
        <w:tc>
          <w:tcPr>
            <w:tcW w:w="306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State</w:t>
            </w:r>
          </w:p>
        </w:tc>
        <w:tc>
          <w:tcPr>
            <w:tcW w:w="216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0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(262,441 )</w:t>
            </w:r>
          </w:p>
        </w:tc>
        <w:tc>
          <w:tcPr>
            <w:tcW w:w="240" w:type="dxa"/>
            <w:vAlign w:val="bottom"/>
            <w:shd w:val="clear" w:color="auto" w:fill="CFF0FC"/>
          </w:tcPr>
          <w:p>
            <w:pPr>
              <w:spacing w:after="0"/>
              <w:rPr>
                <w:sz w:val="18"/>
                <w:szCs w:val="18"/>
                <w:color w:val="auto"/>
              </w:rPr>
            </w:pPr>
          </w:p>
        </w:tc>
        <w:tc>
          <w:tcPr>
            <w:tcW w:w="10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(194,374 )</w:t>
            </w:r>
          </w:p>
        </w:tc>
        <w:tc>
          <w:tcPr>
            <w:tcW w:w="240" w:type="dxa"/>
            <w:vAlign w:val="bottom"/>
            <w:shd w:val="clear" w:color="auto" w:fill="CFF0FC"/>
          </w:tcPr>
          <w:p>
            <w:pPr>
              <w:spacing w:after="0"/>
              <w:rPr>
                <w:sz w:val="18"/>
                <w:szCs w:val="18"/>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34,521</w:t>
            </w:r>
          </w:p>
        </w:tc>
        <w:tc>
          <w:tcPr>
            <w:tcW w:w="80" w:type="dxa"/>
            <w:vAlign w:val="bottom"/>
            <w:shd w:val="clear" w:color="auto" w:fill="CFF0FC"/>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1140" w:type="dxa"/>
            <w:vAlign w:val="bottom"/>
          </w:tcPr>
          <w:p>
            <w:pPr>
              <w:spacing w:after="0"/>
              <w:rPr>
                <w:sz w:val="18"/>
                <w:szCs w:val="18"/>
                <w:color w:val="auto"/>
              </w:rPr>
            </w:pPr>
          </w:p>
        </w:tc>
        <w:tc>
          <w:tcPr>
            <w:tcW w:w="306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Foreign</w:t>
            </w:r>
          </w:p>
        </w:tc>
        <w:tc>
          <w:tcPr>
            <w:tcW w:w="216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0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(123 )</w:t>
            </w:r>
          </w:p>
        </w:tc>
        <w:tc>
          <w:tcPr>
            <w:tcW w:w="240" w:type="dxa"/>
            <w:vAlign w:val="bottom"/>
          </w:tcPr>
          <w:p>
            <w:pPr>
              <w:spacing w:after="0"/>
              <w:rPr>
                <w:sz w:val="18"/>
                <w:szCs w:val="18"/>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232</w:t>
            </w:r>
          </w:p>
        </w:tc>
        <w:tc>
          <w:tcPr>
            <w:tcW w:w="2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451</w:t>
            </w:r>
          </w:p>
        </w:tc>
        <w:tc>
          <w:tcPr>
            <w:tcW w:w="80" w:type="dxa"/>
            <w:vAlign w:val="bottom"/>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1140" w:type="dxa"/>
            <w:vAlign w:val="bottom"/>
          </w:tcPr>
          <w:p>
            <w:pPr>
              <w:spacing w:after="0" w:line="20" w:lineRule="exact"/>
              <w:rPr>
                <w:sz w:val="1"/>
                <w:szCs w:val="1"/>
                <w:color w:val="auto"/>
              </w:rPr>
            </w:pPr>
          </w:p>
        </w:tc>
        <w:tc>
          <w:tcPr>
            <w:tcW w:w="3060" w:type="dxa"/>
            <w:vAlign w:val="bottom"/>
          </w:tcPr>
          <w:p>
            <w:pPr>
              <w:spacing w:after="0" w:line="20" w:lineRule="exact"/>
              <w:rPr>
                <w:sz w:val="1"/>
                <w:szCs w:val="1"/>
                <w:color w:val="auto"/>
              </w:rPr>
            </w:pPr>
          </w:p>
        </w:tc>
        <w:tc>
          <w:tcPr>
            <w:tcW w:w="2160" w:type="dxa"/>
            <w:vAlign w:val="bottom"/>
          </w:tcPr>
          <w:p>
            <w:pPr>
              <w:spacing w:after="0" w:line="20" w:lineRule="exact"/>
              <w:rPr>
                <w:sz w:val="1"/>
                <w:szCs w:val="1"/>
                <w:color w:val="auto"/>
              </w:rPr>
            </w:pPr>
          </w:p>
        </w:tc>
        <w:tc>
          <w:tcPr>
            <w:tcW w:w="24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4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4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11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0"/>
        </w:trPr>
        <w:tc>
          <w:tcPr>
            <w:tcW w:w="1140" w:type="dxa"/>
            <w:vAlign w:val="bottom"/>
          </w:tcPr>
          <w:p>
            <w:pPr>
              <w:spacing w:after="0"/>
              <w:rPr>
                <w:sz w:val="18"/>
                <w:szCs w:val="18"/>
                <w:color w:val="auto"/>
              </w:rPr>
            </w:pPr>
          </w:p>
        </w:tc>
        <w:tc>
          <w:tcPr>
            <w:tcW w:w="3060" w:type="dxa"/>
            <w:vAlign w:val="bottom"/>
            <w:shd w:val="clear" w:color="auto" w:fill="CFF0FC"/>
          </w:tcPr>
          <w:p>
            <w:pPr>
              <w:spacing w:after="0"/>
              <w:rPr>
                <w:sz w:val="18"/>
                <w:szCs w:val="18"/>
                <w:color w:val="auto"/>
              </w:rPr>
            </w:pPr>
          </w:p>
        </w:tc>
        <w:tc>
          <w:tcPr>
            <w:tcW w:w="2160" w:type="dxa"/>
            <w:vAlign w:val="bottom"/>
            <w:shd w:val="clear" w:color="auto" w:fill="CFF0FC"/>
          </w:tcPr>
          <w:p>
            <w:pPr>
              <w:spacing w:after="0"/>
              <w:rPr>
                <w:sz w:val="18"/>
                <w:szCs w:val="18"/>
                <w:color w:val="auto"/>
              </w:rPr>
            </w:pP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(767,923 )</w:t>
            </w: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(568,942 )</w:t>
            </w: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124,553</w:t>
            </w:r>
          </w:p>
        </w:tc>
        <w:tc>
          <w:tcPr>
            <w:tcW w:w="80" w:type="dxa"/>
            <w:vAlign w:val="bottom"/>
            <w:shd w:val="clear" w:color="auto" w:fill="CFF0FC"/>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1140" w:type="dxa"/>
            <w:vAlign w:val="bottom"/>
          </w:tcPr>
          <w:p>
            <w:pPr>
              <w:spacing w:after="0" w:line="20" w:lineRule="exact"/>
              <w:rPr>
                <w:sz w:val="1"/>
                <w:szCs w:val="1"/>
                <w:color w:val="auto"/>
              </w:rPr>
            </w:pPr>
          </w:p>
        </w:tc>
        <w:tc>
          <w:tcPr>
            <w:tcW w:w="3060" w:type="dxa"/>
            <w:vAlign w:val="bottom"/>
            <w:shd w:val="clear" w:color="auto" w:fill="CFF0FC"/>
          </w:tcPr>
          <w:p>
            <w:pPr>
              <w:spacing w:after="0" w:line="20" w:lineRule="exact"/>
              <w:rPr>
                <w:sz w:val="1"/>
                <w:szCs w:val="1"/>
                <w:color w:val="auto"/>
              </w:rPr>
            </w:pPr>
          </w:p>
        </w:tc>
        <w:tc>
          <w:tcPr>
            <w:tcW w:w="2160" w:type="dxa"/>
            <w:vAlign w:val="bottom"/>
            <w:shd w:val="clear" w:color="auto" w:fill="CFF0FC"/>
          </w:tcPr>
          <w:p>
            <w:pPr>
              <w:spacing w:after="0" w:line="20" w:lineRule="exact"/>
              <w:rPr>
                <w:sz w:val="1"/>
                <w:szCs w:val="1"/>
                <w:color w:val="auto"/>
              </w:rPr>
            </w:pPr>
          </w:p>
        </w:tc>
        <w:tc>
          <w:tcPr>
            <w:tcW w:w="24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24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24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80" w:type="dxa"/>
            <w:vAlign w:val="bottom"/>
            <w:shd w:val="clear" w:color="auto" w:fill="CFF0FC"/>
          </w:tcPr>
          <w:p>
            <w:pPr>
              <w:spacing w:after="0" w:line="20" w:lineRule="exact"/>
              <w:rPr>
                <w:sz w:val="1"/>
                <w:szCs w:val="1"/>
                <w:color w:val="auto"/>
              </w:rPr>
            </w:pPr>
          </w:p>
        </w:tc>
        <w:tc>
          <w:tcPr>
            <w:tcW w:w="11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0"/>
        </w:trPr>
        <w:tc>
          <w:tcPr>
            <w:tcW w:w="1140" w:type="dxa"/>
            <w:vAlign w:val="bottom"/>
          </w:tcPr>
          <w:p>
            <w:pPr>
              <w:spacing w:after="0"/>
              <w:rPr>
                <w:sz w:val="18"/>
                <w:szCs w:val="18"/>
                <w:color w:val="auto"/>
              </w:rPr>
            </w:pPr>
          </w:p>
        </w:tc>
        <w:tc>
          <w:tcPr>
            <w:tcW w:w="3060" w:type="dxa"/>
            <w:vAlign w:val="bottom"/>
          </w:tcPr>
          <w:p>
            <w:pPr>
              <w:spacing w:after="0"/>
              <w:rPr>
                <w:sz w:val="20"/>
                <w:szCs w:val="20"/>
                <w:color w:val="auto"/>
              </w:rPr>
            </w:pPr>
            <w:r>
              <w:rPr>
                <w:rFonts w:ascii="Times New Roman" w:cs="Times New Roman" w:eastAsia="Times New Roman" w:hAnsi="Times New Roman"/>
                <w:sz w:val="18"/>
                <w:szCs w:val="18"/>
                <w:color w:val="auto"/>
              </w:rPr>
              <w:t>Total (benefit) provision</w:t>
            </w:r>
          </w:p>
        </w:tc>
        <w:tc>
          <w:tcPr>
            <w:tcW w:w="2160" w:type="dxa"/>
            <w:vAlign w:val="bottom"/>
          </w:tcPr>
          <w:p>
            <w:pPr>
              <w:spacing w:after="0"/>
              <w:rPr>
                <w:sz w:val="18"/>
                <w:szCs w:val="18"/>
                <w:color w:val="auto"/>
              </w:rPr>
            </w:pP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(767,685 )</w:t>
            </w: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0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(553,646 )</w:t>
            </w: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147,332</w:t>
            </w:r>
          </w:p>
        </w:tc>
        <w:tc>
          <w:tcPr>
            <w:tcW w:w="80" w:type="dxa"/>
            <w:vAlign w:val="bottom"/>
          </w:tcPr>
          <w:p>
            <w:pPr>
              <w:spacing w:after="0"/>
              <w:rPr>
                <w:sz w:val="18"/>
                <w:szCs w:val="18"/>
                <w:color w:val="auto"/>
              </w:rPr>
            </w:pPr>
          </w:p>
        </w:tc>
        <w:tc>
          <w:tcPr>
            <w:tcW w:w="1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1140" w:type="dxa"/>
            <w:vAlign w:val="bottom"/>
          </w:tcPr>
          <w:p>
            <w:pPr>
              <w:spacing w:after="0" w:line="20" w:lineRule="exact"/>
              <w:rPr>
                <w:sz w:val="1"/>
                <w:szCs w:val="1"/>
                <w:color w:val="auto"/>
              </w:rPr>
            </w:pPr>
          </w:p>
        </w:tc>
        <w:tc>
          <w:tcPr>
            <w:tcW w:w="3060" w:type="dxa"/>
            <w:vAlign w:val="bottom"/>
          </w:tcPr>
          <w:p>
            <w:pPr>
              <w:spacing w:after="0" w:line="20" w:lineRule="exact"/>
              <w:rPr>
                <w:sz w:val="1"/>
                <w:szCs w:val="1"/>
                <w:color w:val="auto"/>
              </w:rPr>
            </w:pPr>
          </w:p>
        </w:tc>
        <w:tc>
          <w:tcPr>
            <w:tcW w:w="2160" w:type="dxa"/>
            <w:vAlign w:val="bottom"/>
            <w:vMerge w:val="restart"/>
          </w:tcPr>
          <w:p>
            <w:pPr>
              <w:jc w:val="right"/>
              <w:ind w:right="510"/>
              <w:spacing w:after="0"/>
              <w:rPr>
                <w:sz w:val="20"/>
                <w:szCs w:val="20"/>
                <w:color w:val="auto"/>
              </w:rPr>
            </w:pPr>
            <w:r>
              <w:rPr>
                <w:rFonts w:ascii="Times New Roman" w:cs="Times New Roman" w:eastAsia="Times New Roman" w:hAnsi="Times New Roman"/>
                <w:sz w:val="18"/>
                <w:szCs w:val="18"/>
                <w:color w:val="auto"/>
              </w:rPr>
              <w:t>100</w:t>
            </w:r>
          </w:p>
        </w:tc>
        <w:tc>
          <w:tcPr>
            <w:tcW w:w="240" w:type="dxa"/>
            <w:vAlign w:val="bottom"/>
            <w:tcBorders>
              <w:top w:val="single" w:sz="8" w:color="auto"/>
              <w:bottom w:val="single" w:sz="8" w:color="auto"/>
            </w:tcBorders>
          </w:tcPr>
          <w:p>
            <w:pPr>
              <w:spacing w:after="0" w:line="20" w:lineRule="exact"/>
              <w:rPr>
                <w:sz w:val="1"/>
                <w:szCs w:val="1"/>
                <w:color w:val="auto"/>
              </w:rPr>
            </w:pPr>
          </w:p>
        </w:tc>
        <w:tc>
          <w:tcPr>
            <w:tcW w:w="84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40" w:type="dxa"/>
            <w:vAlign w:val="bottom"/>
            <w:tcBorders>
              <w:top w:val="single" w:sz="8" w:color="auto"/>
              <w:bottom w:val="single" w:sz="8" w:color="auto"/>
            </w:tcBorders>
          </w:tcPr>
          <w:p>
            <w:pPr>
              <w:spacing w:after="0" w:line="20" w:lineRule="exact"/>
              <w:rPr>
                <w:sz w:val="1"/>
                <w:szCs w:val="1"/>
                <w:color w:val="auto"/>
              </w:rPr>
            </w:pPr>
          </w:p>
        </w:tc>
        <w:tc>
          <w:tcPr>
            <w:tcW w:w="84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40" w:type="dxa"/>
            <w:vAlign w:val="bottom"/>
            <w:tcBorders>
              <w:top w:val="single" w:sz="8" w:color="auto"/>
              <w:bottom w:val="single" w:sz="8" w:color="auto"/>
            </w:tcBorders>
          </w:tcPr>
          <w:p>
            <w:pPr>
              <w:spacing w:after="0" w:line="20" w:lineRule="exact"/>
              <w:rPr>
                <w:sz w:val="1"/>
                <w:szCs w:val="1"/>
                <w:color w:val="auto"/>
              </w:rPr>
            </w:pPr>
          </w:p>
        </w:tc>
        <w:tc>
          <w:tcPr>
            <w:tcW w:w="84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11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628"/>
        </w:trPr>
        <w:tc>
          <w:tcPr>
            <w:tcW w:w="1140" w:type="dxa"/>
            <w:vAlign w:val="bottom"/>
          </w:tcPr>
          <w:p>
            <w:pPr>
              <w:spacing w:after="0"/>
              <w:rPr>
                <w:sz w:val="24"/>
                <w:szCs w:val="24"/>
                <w:color w:val="auto"/>
              </w:rPr>
            </w:pPr>
          </w:p>
        </w:tc>
        <w:tc>
          <w:tcPr>
            <w:tcW w:w="3060" w:type="dxa"/>
            <w:vAlign w:val="bottom"/>
          </w:tcPr>
          <w:p>
            <w:pPr>
              <w:spacing w:after="0"/>
              <w:rPr>
                <w:sz w:val="24"/>
                <w:szCs w:val="24"/>
                <w:color w:val="auto"/>
              </w:rPr>
            </w:pPr>
          </w:p>
        </w:tc>
        <w:tc>
          <w:tcPr>
            <w:tcW w:w="2160" w:type="dxa"/>
            <w:vAlign w:val="bottom"/>
            <w:vMerge w:val="continue"/>
          </w:tcPr>
          <w:p>
            <w:pPr>
              <w:spacing w:after="0"/>
              <w:rPr>
                <w:sz w:val="24"/>
                <w:szCs w:val="24"/>
                <w:color w:val="auto"/>
              </w:rPr>
            </w:pPr>
          </w:p>
        </w:tc>
        <w:tc>
          <w:tcPr>
            <w:tcW w:w="240" w:type="dxa"/>
            <w:vAlign w:val="bottom"/>
          </w:tcPr>
          <w:p>
            <w:pPr>
              <w:spacing w:after="0"/>
              <w:rPr>
                <w:sz w:val="24"/>
                <w:szCs w:val="24"/>
                <w:color w:val="auto"/>
              </w:rPr>
            </w:pPr>
          </w:p>
        </w:tc>
        <w:tc>
          <w:tcPr>
            <w:tcW w:w="84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84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84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11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63"/>
        </w:trPr>
        <w:tc>
          <w:tcPr>
            <w:tcW w:w="1140" w:type="dxa"/>
            <w:vAlign w:val="bottom"/>
            <w:tcBorders>
              <w:bottom w:val="single" w:sz="8" w:color="9A9A9A"/>
            </w:tcBorders>
          </w:tcPr>
          <w:p>
            <w:pPr>
              <w:spacing w:after="0"/>
              <w:rPr>
                <w:sz w:val="24"/>
                <w:szCs w:val="24"/>
                <w:color w:val="auto"/>
              </w:rPr>
            </w:pPr>
          </w:p>
        </w:tc>
        <w:tc>
          <w:tcPr>
            <w:tcW w:w="3060" w:type="dxa"/>
            <w:vAlign w:val="bottom"/>
            <w:tcBorders>
              <w:bottom w:val="single" w:sz="8" w:color="9A9A9A"/>
            </w:tcBorders>
          </w:tcPr>
          <w:p>
            <w:pPr>
              <w:spacing w:after="0"/>
              <w:rPr>
                <w:sz w:val="24"/>
                <w:szCs w:val="24"/>
                <w:color w:val="auto"/>
              </w:rPr>
            </w:pPr>
          </w:p>
        </w:tc>
        <w:tc>
          <w:tcPr>
            <w:tcW w:w="216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84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84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84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112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4728210</wp:posOffset>
            </wp:positionH>
            <wp:positionV relativeFrom="paragraph">
              <wp:posOffset>-1919605</wp:posOffset>
            </wp:positionV>
            <wp:extent cx="60325" cy="8255"/>
            <wp:wrapNone/>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94">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5551170</wp:posOffset>
            </wp:positionH>
            <wp:positionV relativeFrom="paragraph">
              <wp:posOffset>-1919605</wp:posOffset>
            </wp:positionV>
            <wp:extent cx="60325" cy="8255"/>
            <wp:wrapNone/>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395">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6374130</wp:posOffset>
            </wp:positionH>
            <wp:positionV relativeFrom="paragraph">
              <wp:posOffset>-1919605</wp:posOffset>
            </wp:positionV>
            <wp:extent cx="51435" cy="8255"/>
            <wp:wrapNone/>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396">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4728210</wp:posOffset>
            </wp:positionH>
            <wp:positionV relativeFrom="paragraph">
              <wp:posOffset>-1079500</wp:posOffset>
            </wp:positionV>
            <wp:extent cx="60325" cy="8255"/>
            <wp:wrapNone/>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97">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5551170</wp:posOffset>
            </wp:positionH>
            <wp:positionV relativeFrom="paragraph">
              <wp:posOffset>-1079500</wp:posOffset>
            </wp:positionV>
            <wp:extent cx="60325" cy="8255"/>
            <wp:wrapNone/>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398">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6374130</wp:posOffset>
            </wp:positionH>
            <wp:positionV relativeFrom="paragraph">
              <wp:posOffset>-1079500</wp:posOffset>
            </wp:positionV>
            <wp:extent cx="51435" cy="8255"/>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399">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400">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401">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226" w:right="339" w:bottom="1440" w:gutter="0" w:footer="0" w:header="0"/>
        </w:sectPr>
      </w:pPr>
    </w:p>
    <w:bookmarkStart w:id="100" w:name="page101"/>
    <w:bookmarkEnd w:id="100"/>
    <w:p>
      <w:pPr>
        <w:spacing w:after="0" w:line="282" w:lineRule="auto"/>
        <w:rPr>
          <w:sz w:val="20"/>
          <w:szCs w:val="20"/>
          <w:color w:val="auto"/>
        </w:rPr>
      </w:pPr>
      <w:r>
        <w:rPr>
          <w:rFonts w:ascii="Times New Roman" w:cs="Times New Roman" w:eastAsia="Times New Roman" w:hAnsi="Times New Roman"/>
          <w:sz w:val="18"/>
          <w:szCs w:val="18"/>
          <w:color w:val="auto"/>
        </w:rPr>
        <w:t>The benefit from or provision for income taxes differs from the amount computed by applying the federal statutory income tax rate to the Company’s loss before income taxes as follows for the periods indicated:</w:t>
      </w:r>
    </w:p>
    <w:p>
      <w:pPr>
        <w:spacing w:after="0" w:line="155" w:lineRule="exact"/>
        <w:rPr>
          <w:sz w:val="20"/>
          <w:szCs w:val="20"/>
          <w:color w:val="auto"/>
        </w:rPr>
      </w:pPr>
    </w:p>
    <w:p>
      <w:pPr>
        <w:ind w:left="7040"/>
        <w:spacing w:after="0"/>
        <w:rPr>
          <w:sz w:val="20"/>
          <w:szCs w:val="20"/>
          <w:color w:val="auto"/>
        </w:rPr>
      </w:pPr>
      <w:r>
        <w:rPr>
          <w:rFonts w:ascii="Times New Roman" w:cs="Times New Roman" w:eastAsia="Times New Roman" w:hAnsi="Times New Roman"/>
          <w:sz w:val="14"/>
          <w:szCs w:val="14"/>
          <w:b w:val="1"/>
          <w:bCs w:val="1"/>
          <w:color w:val="auto"/>
        </w:rPr>
        <w:t>Years Ended December 31,</w:t>
      </w:r>
    </w:p>
    <w:p>
      <w:pPr>
        <w:spacing w:after="0" w:line="12" w:lineRule="exact"/>
        <w:rPr>
          <w:sz w:val="20"/>
          <w:szCs w:val="20"/>
          <w:color w:val="auto"/>
        </w:rPr>
      </w:pPr>
    </w:p>
    <w:tbl>
      <w:tblPr>
        <w:tblLayout w:type="fixed"/>
        <w:tblInd w:w="1140" w:type="dxa"/>
        <w:tblCellMar>
          <w:top w:w="0" w:type="dxa"/>
          <w:left w:w="0" w:type="dxa"/>
          <w:bottom w:w="0" w:type="dxa"/>
          <w:right w:w="0" w:type="dxa"/>
        </w:tblCellMar>
      </w:tblPr>
      <w:tr>
        <w:trPr>
          <w:trHeight w:val="142"/>
        </w:trPr>
        <w:tc>
          <w:tcPr>
            <w:tcW w:w="4740" w:type="dxa"/>
            <w:vAlign w:val="bottom"/>
          </w:tcPr>
          <w:p>
            <w:pPr>
              <w:spacing w:after="0"/>
              <w:rPr>
                <w:sz w:val="12"/>
                <w:szCs w:val="12"/>
                <w:color w:val="auto"/>
              </w:rPr>
            </w:pPr>
          </w:p>
        </w:tc>
        <w:tc>
          <w:tcPr>
            <w:tcW w:w="720" w:type="dxa"/>
            <w:vAlign w:val="bottom"/>
            <w:tcBorders>
              <w:top w:val="single" w:sz="8" w:color="auto"/>
              <w:bottom w:val="single" w:sz="8" w:color="auto"/>
            </w:tcBorders>
          </w:tcPr>
          <w:p>
            <w:pPr>
              <w:jc w:val="right"/>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380" w:type="dxa"/>
            <w:vAlign w:val="bottom"/>
            <w:tcBorders>
              <w:top w:val="single" w:sz="8" w:color="auto"/>
              <w:bottom w:val="single" w:sz="8" w:color="auto"/>
            </w:tcBorders>
          </w:tcPr>
          <w:p>
            <w:pPr>
              <w:spacing w:after="0"/>
              <w:rPr>
                <w:sz w:val="12"/>
                <w:szCs w:val="12"/>
                <w:color w:val="auto"/>
              </w:rPr>
            </w:pPr>
          </w:p>
        </w:tc>
        <w:tc>
          <w:tcPr>
            <w:tcW w:w="340" w:type="dxa"/>
            <w:vAlign w:val="bottom"/>
            <w:tcBorders>
              <w:top w:val="single" w:sz="8" w:color="auto"/>
            </w:tcBorders>
          </w:tcPr>
          <w:p>
            <w:pPr>
              <w:spacing w:after="0"/>
              <w:rPr>
                <w:sz w:val="12"/>
                <w:szCs w:val="12"/>
                <w:color w:val="auto"/>
              </w:rPr>
            </w:pPr>
          </w:p>
        </w:tc>
        <w:tc>
          <w:tcPr>
            <w:tcW w:w="1120" w:type="dxa"/>
            <w:vAlign w:val="bottom"/>
            <w:tcBorders>
              <w:top w:val="single" w:sz="8" w:color="auto"/>
              <w:bottom w:val="single" w:sz="8" w:color="auto"/>
            </w:tcBorders>
          </w:tcPr>
          <w:p>
            <w:pPr>
              <w:jc w:val="right"/>
              <w:ind w:right="352"/>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320" w:type="dxa"/>
            <w:vAlign w:val="bottom"/>
            <w:tcBorders>
              <w:top w:val="single" w:sz="8" w:color="auto"/>
            </w:tcBorders>
          </w:tcPr>
          <w:p>
            <w:pPr>
              <w:spacing w:after="0"/>
              <w:rPr>
                <w:sz w:val="12"/>
                <w:szCs w:val="12"/>
                <w:color w:val="auto"/>
              </w:rPr>
            </w:pPr>
          </w:p>
        </w:tc>
        <w:tc>
          <w:tcPr>
            <w:tcW w:w="1120" w:type="dxa"/>
            <w:vAlign w:val="bottom"/>
            <w:tcBorders>
              <w:top w:val="single" w:sz="8" w:color="auto"/>
              <w:bottom w:val="single" w:sz="8" w:color="auto"/>
            </w:tcBorders>
          </w:tcPr>
          <w:p>
            <w:pPr>
              <w:jc w:val="right"/>
              <w:ind w:right="332"/>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240" w:type="dxa"/>
            <w:vAlign w:val="bottom"/>
          </w:tcPr>
          <w:p>
            <w:pPr>
              <w:spacing w:after="0"/>
              <w:rPr>
                <w:sz w:val="12"/>
                <w:szCs w:val="12"/>
                <w:color w:val="auto"/>
              </w:rPr>
            </w:pPr>
          </w:p>
        </w:tc>
      </w:tr>
      <w:tr>
        <w:trPr>
          <w:trHeight w:val="209"/>
        </w:trPr>
        <w:tc>
          <w:tcPr>
            <w:tcW w:w="546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8"/>
                <w:szCs w:val="18"/>
                <w:color w:val="auto"/>
              </w:rPr>
              <w:t>Income tax expense at federal statutory rate</w:t>
            </w:r>
          </w:p>
        </w:tc>
        <w:tc>
          <w:tcPr>
            <w:tcW w:w="72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21.0 %</w:t>
            </w:r>
          </w:p>
        </w:tc>
        <w:tc>
          <w:tcPr>
            <w:tcW w:w="144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21.0 %</w:t>
            </w:r>
          </w:p>
        </w:tc>
        <w:tc>
          <w:tcPr>
            <w:tcW w:w="136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8"/>
                <w:szCs w:val="18"/>
                <w:color w:val="auto"/>
              </w:rPr>
              <w:t>21.0 %</w:t>
            </w:r>
          </w:p>
        </w:tc>
      </w:tr>
      <w:tr>
        <w:trPr>
          <w:trHeight w:val="216"/>
        </w:trPr>
        <w:tc>
          <w:tcPr>
            <w:tcW w:w="54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State taxes, net of federal tax effect</w:t>
            </w:r>
          </w:p>
        </w:tc>
        <w:tc>
          <w:tcPr>
            <w:tcW w:w="72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10.7 %</w:t>
            </w:r>
          </w:p>
        </w:tc>
        <w:tc>
          <w:tcPr>
            <w:tcW w:w="14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8.4 %</w:t>
            </w:r>
          </w:p>
        </w:tc>
        <w:tc>
          <w:tcPr>
            <w:tcW w:w="1360" w:type="dxa"/>
            <w:vAlign w:val="bottom"/>
            <w:gridSpan w:val="2"/>
          </w:tcPr>
          <w:p>
            <w:pPr>
              <w:jc w:val="right"/>
              <w:ind w:right="80"/>
              <w:spacing w:after="0"/>
              <w:rPr>
                <w:sz w:val="20"/>
                <w:szCs w:val="20"/>
                <w:color w:val="auto"/>
              </w:rPr>
            </w:pPr>
            <w:r>
              <w:rPr>
                <w:rFonts w:ascii="Times New Roman" w:cs="Times New Roman" w:eastAsia="Times New Roman" w:hAnsi="Times New Roman"/>
                <w:sz w:val="18"/>
                <w:szCs w:val="18"/>
                <w:color w:val="auto"/>
              </w:rPr>
              <w:t>7.3 %</w:t>
            </w:r>
          </w:p>
        </w:tc>
      </w:tr>
      <w:tr>
        <w:trPr>
          <w:trHeight w:val="216"/>
        </w:trPr>
        <w:tc>
          <w:tcPr>
            <w:tcW w:w="546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8"/>
                <w:szCs w:val="18"/>
                <w:color w:val="auto"/>
              </w:rPr>
              <w:t>Other international components</w:t>
            </w:r>
          </w:p>
        </w:tc>
        <w:tc>
          <w:tcPr>
            <w:tcW w:w="7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(0.5 )%</w:t>
            </w:r>
          </w:p>
        </w:tc>
        <w:tc>
          <w:tcPr>
            <w:tcW w:w="144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(3.4 )%</w:t>
            </w:r>
          </w:p>
        </w:tc>
        <w:tc>
          <w:tcPr>
            <w:tcW w:w="13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(0.1 )%</w:t>
            </w:r>
          </w:p>
        </w:tc>
      </w:tr>
      <w:tr>
        <w:trPr>
          <w:trHeight w:val="216"/>
        </w:trPr>
        <w:tc>
          <w:tcPr>
            <w:tcW w:w="54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Change in valuation allowance</w:t>
            </w:r>
          </w:p>
        </w:tc>
        <w:tc>
          <w:tcPr>
            <w:tcW w:w="72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0.0 %</w:t>
            </w:r>
          </w:p>
        </w:tc>
        <w:tc>
          <w:tcPr>
            <w:tcW w:w="14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409.5 %</w:t>
            </w:r>
          </w:p>
        </w:tc>
        <w:tc>
          <w:tcPr>
            <w:tcW w:w="13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(38.6 )%</w:t>
            </w:r>
          </w:p>
        </w:tc>
      </w:tr>
      <w:tr>
        <w:trPr>
          <w:trHeight w:val="216"/>
        </w:trPr>
        <w:tc>
          <w:tcPr>
            <w:tcW w:w="546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8"/>
                <w:szCs w:val="18"/>
                <w:color w:val="auto"/>
              </w:rPr>
              <w:t>Non-deductible officers compensation</w:t>
            </w:r>
          </w:p>
        </w:tc>
        <w:tc>
          <w:tcPr>
            <w:tcW w:w="7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(0.9 )%</w:t>
            </w:r>
          </w:p>
        </w:tc>
        <w:tc>
          <w:tcPr>
            <w:tcW w:w="144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(5.5 )%</w:t>
            </w:r>
          </w:p>
        </w:tc>
        <w:tc>
          <w:tcPr>
            <w:tcW w:w="13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(0.3 )%</w:t>
            </w:r>
          </w:p>
        </w:tc>
      </w:tr>
      <w:tr>
        <w:trPr>
          <w:trHeight w:val="216"/>
        </w:trPr>
        <w:tc>
          <w:tcPr>
            <w:tcW w:w="54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Research and development tax credit</w:t>
            </w:r>
          </w:p>
        </w:tc>
        <w:tc>
          <w:tcPr>
            <w:tcW w:w="72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0.5 %</w:t>
            </w:r>
          </w:p>
        </w:tc>
        <w:tc>
          <w:tcPr>
            <w:tcW w:w="14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2.7 %</w:t>
            </w:r>
          </w:p>
        </w:tc>
        <w:tc>
          <w:tcPr>
            <w:tcW w:w="1360" w:type="dxa"/>
            <w:vAlign w:val="bottom"/>
            <w:gridSpan w:val="2"/>
          </w:tcPr>
          <w:p>
            <w:pPr>
              <w:jc w:val="right"/>
              <w:ind w:right="80"/>
              <w:spacing w:after="0"/>
              <w:rPr>
                <w:sz w:val="20"/>
                <w:szCs w:val="20"/>
                <w:color w:val="auto"/>
              </w:rPr>
            </w:pPr>
            <w:r>
              <w:rPr>
                <w:rFonts w:ascii="Times New Roman" w:cs="Times New Roman" w:eastAsia="Times New Roman" w:hAnsi="Times New Roman"/>
                <w:sz w:val="18"/>
                <w:szCs w:val="18"/>
                <w:color w:val="auto"/>
              </w:rPr>
              <w:t>0.1 %</w:t>
            </w:r>
          </w:p>
        </w:tc>
      </w:tr>
      <w:tr>
        <w:trPr>
          <w:trHeight w:val="216"/>
        </w:trPr>
        <w:tc>
          <w:tcPr>
            <w:tcW w:w="546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8"/>
                <w:szCs w:val="18"/>
                <w:color w:val="auto"/>
              </w:rPr>
              <w:t>Share-based compensation</w:t>
            </w:r>
          </w:p>
        </w:tc>
        <w:tc>
          <w:tcPr>
            <w:tcW w:w="72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8.7 %</w:t>
            </w:r>
          </w:p>
        </w:tc>
        <w:tc>
          <w:tcPr>
            <w:tcW w:w="144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3.4 %</w:t>
            </w:r>
          </w:p>
        </w:tc>
        <w:tc>
          <w:tcPr>
            <w:tcW w:w="13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(0.1 )%</w:t>
            </w:r>
          </w:p>
        </w:tc>
      </w:tr>
      <w:tr>
        <w:trPr>
          <w:trHeight w:val="216"/>
        </w:trPr>
        <w:tc>
          <w:tcPr>
            <w:tcW w:w="54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Rate changes, including states</w:t>
            </w:r>
          </w:p>
        </w:tc>
        <w:tc>
          <w:tcPr>
            <w:tcW w:w="72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(0.1 )%</w:t>
            </w:r>
          </w:p>
        </w:tc>
        <w:tc>
          <w:tcPr>
            <w:tcW w:w="14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11.0 %</w:t>
            </w:r>
          </w:p>
        </w:tc>
        <w:tc>
          <w:tcPr>
            <w:tcW w:w="13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(0.3 )%</w:t>
            </w:r>
          </w:p>
        </w:tc>
      </w:tr>
      <w:tr>
        <w:trPr>
          <w:trHeight w:val="216"/>
        </w:trPr>
        <w:tc>
          <w:tcPr>
            <w:tcW w:w="47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Other permanent differences (1)</w:t>
            </w:r>
          </w:p>
        </w:tc>
        <w:tc>
          <w:tcPr>
            <w:tcW w:w="720" w:type="dxa"/>
            <w:vAlign w:val="bottom"/>
            <w:shd w:val="clear" w:color="auto" w:fill="CFF0FC"/>
          </w:tcPr>
          <w:p>
            <w:pPr>
              <w:spacing w:after="0"/>
              <w:rPr>
                <w:sz w:val="18"/>
                <w:szCs w:val="18"/>
                <w:color w:val="auto"/>
              </w:rPr>
            </w:pPr>
          </w:p>
        </w:tc>
        <w:tc>
          <w:tcPr>
            <w:tcW w:w="72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0.3 %</w:t>
            </w:r>
          </w:p>
        </w:tc>
        <w:tc>
          <w:tcPr>
            <w:tcW w:w="144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(2.5 )%</w:t>
            </w:r>
          </w:p>
        </w:tc>
        <w:tc>
          <w:tcPr>
            <w:tcW w:w="13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(0.1 )%</w:t>
            </w:r>
          </w:p>
        </w:tc>
      </w:tr>
      <w:tr>
        <w:trPr>
          <w:trHeight w:val="20"/>
        </w:trPr>
        <w:tc>
          <w:tcPr>
            <w:tcW w:w="4740" w:type="dxa"/>
            <w:vAlign w:val="bottom"/>
            <w:shd w:val="clear" w:color="auto" w:fill="CFF0FC"/>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380" w:type="dxa"/>
            <w:vAlign w:val="bottom"/>
            <w:shd w:val="clear" w:color="auto" w:fill="000000"/>
          </w:tcPr>
          <w:p>
            <w:pPr>
              <w:spacing w:after="0" w:line="20" w:lineRule="exact"/>
              <w:rPr>
                <w:sz w:val="1"/>
                <w:szCs w:val="1"/>
                <w:color w:val="auto"/>
              </w:rPr>
            </w:pPr>
          </w:p>
        </w:tc>
        <w:tc>
          <w:tcPr>
            <w:tcW w:w="340" w:type="dxa"/>
            <w:vAlign w:val="bottom"/>
            <w:shd w:val="clear" w:color="auto" w:fill="CFF0FC"/>
          </w:tcPr>
          <w:p>
            <w:pPr>
              <w:spacing w:after="0" w:line="20" w:lineRule="exact"/>
              <w:rPr>
                <w:sz w:val="1"/>
                <w:szCs w:val="1"/>
                <w:color w:val="auto"/>
              </w:rPr>
            </w:pPr>
          </w:p>
        </w:tc>
        <w:tc>
          <w:tcPr>
            <w:tcW w:w="1120" w:type="dxa"/>
            <w:vAlign w:val="bottom"/>
            <w:shd w:val="clear" w:color="auto" w:fill="000000"/>
          </w:tcPr>
          <w:p>
            <w:pPr>
              <w:spacing w:after="0" w:line="20" w:lineRule="exact"/>
              <w:rPr>
                <w:sz w:val="1"/>
                <w:szCs w:val="1"/>
                <w:color w:val="auto"/>
              </w:rPr>
            </w:pPr>
          </w:p>
        </w:tc>
        <w:tc>
          <w:tcPr>
            <w:tcW w:w="320" w:type="dxa"/>
            <w:vAlign w:val="bottom"/>
            <w:shd w:val="clear" w:color="auto" w:fill="CFF0FC"/>
          </w:tcPr>
          <w:p>
            <w:pPr>
              <w:spacing w:after="0" w:line="20" w:lineRule="exact"/>
              <w:rPr>
                <w:sz w:val="1"/>
                <w:szCs w:val="1"/>
                <w:color w:val="auto"/>
              </w:rPr>
            </w:pPr>
          </w:p>
        </w:tc>
        <w:tc>
          <w:tcPr>
            <w:tcW w:w="112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r>
      <w:tr>
        <w:trPr>
          <w:trHeight w:val="209"/>
        </w:trPr>
        <w:tc>
          <w:tcPr>
            <w:tcW w:w="4740" w:type="dxa"/>
            <w:vAlign w:val="bottom"/>
          </w:tcPr>
          <w:p>
            <w:pPr>
              <w:spacing w:after="0"/>
              <w:rPr>
                <w:sz w:val="20"/>
                <w:szCs w:val="20"/>
                <w:color w:val="auto"/>
              </w:rPr>
            </w:pPr>
            <w:r>
              <w:rPr>
                <w:rFonts w:ascii="Times New Roman" w:cs="Times New Roman" w:eastAsia="Times New Roman" w:hAnsi="Times New Roman"/>
                <w:sz w:val="18"/>
                <w:szCs w:val="18"/>
                <w:color w:val="auto"/>
              </w:rPr>
              <w:t>Effective income tax rate</w:t>
            </w:r>
          </w:p>
        </w:tc>
        <w:tc>
          <w:tcPr>
            <w:tcW w:w="720" w:type="dxa"/>
            <w:vAlign w:val="bottom"/>
          </w:tcPr>
          <w:p>
            <w:pPr>
              <w:spacing w:after="0"/>
              <w:rPr>
                <w:sz w:val="18"/>
                <w:szCs w:val="18"/>
                <w:color w:val="auto"/>
              </w:rPr>
            </w:pPr>
          </w:p>
        </w:tc>
        <w:tc>
          <w:tcPr>
            <w:tcW w:w="72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39.7 %</w:t>
            </w:r>
          </w:p>
        </w:tc>
        <w:tc>
          <w:tcPr>
            <w:tcW w:w="14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444.6 %</w:t>
            </w:r>
          </w:p>
        </w:tc>
        <w:tc>
          <w:tcPr>
            <w:tcW w:w="13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(11.1 )%</w:t>
            </w:r>
          </w:p>
        </w:tc>
      </w:tr>
      <w:tr>
        <w:trPr>
          <w:trHeight w:val="20"/>
        </w:trPr>
        <w:tc>
          <w:tcPr>
            <w:tcW w:w="4740" w:type="dxa"/>
            <w:vAlign w:val="bottom"/>
          </w:tcPr>
          <w:p>
            <w:pPr>
              <w:spacing w:after="0" w:line="20" w:lineRule="exact"/>
              <w:rPr>
                <w:sz w:val="1"/>
                <w:szCs w:val="1"/>
                <w:color w:val="auto"/>
              </w:rPr>
            </w:pPr>
          </w:p>
        </w:tc>
        <w:tc>
          <w:tcPr>
            <w:tcW w:w="720" w:type="dxa"/>
            <w:vAlign w:val="bottom"/>
            <w:tcBorders>
              <w:top w:val="single" w:sz="8" w:color="auto"/>
              <w:bottom w:val="single" w:sz="8" w:color="auto"/>
            </w:tcBorders>
          </w:tcPr>
          <w:p>
            <w:pPr>
              <w:spacing w:after="0" w:line="20" w:lineRule="exact"/>
              <w:rPr>
                <w:sz w:val="1"/>
                <w:szCs w:val="1"/>
                <w:color w:val="auto"/>
              </w:rPr>
            </w:pPr>
          </w:p>
        </w:tc>
        <w:tc>
          <w:tcPr>
            <w:tcW w:w="380" w:type="dxa"/>
            <w:vAlign w:val="bottom"/>
            <w:tcBorders>
              <w:top w:val="single" w:sz="8" w:color="auto"/>
              <w:bottom w:val="single" w:sz="8" w:color="auto"/>
            </w:tcBorders>
          </w:tcPr>
          <w:p>
            <w:pPr>
              <w:spacing w:after="0" w:line="20" w:lineRule="exact"/>
              <w:rPr>
                <w:sz w:val="1"/>
                <w:szCs w:val="1"/>
                <w:color w:val="auto"/>
              </w:rPr>
            </w:pPr>
          </w:p>
        </w:tc>
        <w:tc>
          <w:tcPr>
            <w:tcW w:w="340" w:type="dxa"/>
            <w:vAlign w:val="bottom"/>
          </w:tcPr>
          <w:p>
            <w:pPr>
              <w:spacing w:after="0" w:line="20" w:lineRule="exact"/>
              <w:rPr>
                <w:sz w:val="1"/>
                <w:szCs w:val="1"/>
                <w:color w:val="auto"/>
              </w:rPr>
            </w:pPr>
          </w:p>
        </w:tc>
        <w:tc>
          <w:tcPr>
            <w:tcW w:w="1120" w:type="dxa"/>
            <w:vAlign w:val="bottom"/>
            <w:tcBorders>
              <w:top w:val="single" w:sz="8" w:color="auto"/>
              <w:bottom w:val="single" w:sz="8" w:color="auto"/>
            </w:tcBorders>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112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4436745</wp:posOffset>
            </wp:positionH>
            <wp:positionV relativeFrom="paragraph">
              <wp:posOffset>-170815</wp:posOffset>
            </wp:positionV>
            <wp:extent cx="154305" cy="8255"/>
            <wp:wrapNone/>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402">
                      <a:extLst>
                        <a:ext uri="{28A0092B-C50C-407E-A947-70E740481C1C}"/>
                      </a:extLst>
                    </a:blip>
                    <a:srcRect/>
                    <a:stretch>
                      <a:fillRect/>
                    </a:stretch>
                  </pic:blipFill>
                  <pic:spPr bwMode="auto">
                    <a:xfrm>
                      <a:off x="0" y="0"/>
                      <a:ext cx="154305" cy="8255"/>
                    </a:xfrm>
                    <a:prstGeom prst="rect">
                      <a:avLst/>
                    </a:prstGeom>
                    <a:noFill/>
                  </pic:spPr>
                </pic:pic>
              </a:graphicData>
            </a:graphic>
          </wp:anchor>
        </w:drawing>
        <w:drawing>
          <wp:anchor simplePos="0" relativeHeight="251657728" behindDoc="1" locked="0" layoutInCell="0" allowOverlap="1">
            <wp:simplePos x="0" y="0"/>
            <wp:positionH relativeFrom="column">
              <wp:posOffset>5354320</wp:posOffset>
            </wp:positionH>
            <wp:positionV relativeFrom="paragraph">
              <wp:posOffset>-170815</wp:posOffset>
            </wp:positionV>
            <wp:extent cx="154305" cy="8255"/>
            <wp:wrapNone/>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403">
                      <a:extLst>
                        <a:ext uri="{28A0092B-C50C-407E-A947-70E740481C1C}"/>
                      </a:extLst>
                    </a:blip>
                    <a:srcRect/>
                    <a:stretch>
                      <a:fillRect/>
                    </a:stretch>
                  </pic:blipFill>
                  <pic:spPr bwMode="auto">
                    <a:xfrm>
                      <a:off x="0" y="0"/>
                      <a:ext cx="154305" cy="8255"/>
                    </a:xfrm>
                    <a:prstGeom prst="rect">
                      <a:avLst/>
                    </a:prstGeom>
                    <a:noFill/>
                  </pic:spPr>
                </pic:pic>
              </a:graphicData>
            </a:graphic>
          </wp:anchor>
        </w:drawing>
        <w:drawing>
          <wp:anchor simplePos="0" relativeHeight="251657728" behindDoc="1" locked="0" layoutInCell="0" allowOverlap="1">
            <wp:simplePos x="0" y="0"/>
            <wp:positionH relativeFrom="column">
              <wp:posOffset>6271260</wp:posOffset>
            </wp:positionH>
            <wp:positionV relativeFrom="paragraph">
              <wp:posOffset>-170815</wp:posOffset>
            </wp:positionV>
            <wp:extent cx="154305" cy="8255"/>
            <wp:wrapNone/>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404">
                      <a:extLst>
                        <a:ext uri="{28A0092B-C50C-407E-A947-70E740481C1C}"/>
                      </a:extLst>
                    </a:blip>
                    <a:srcRect/>
                    <a:stretch>
                      <a:fillRect/>
                    </a:stretch>
                  </pic:blipFill>
                  <pic:spPr bwMode="auto">
                    <a:xfrm>
                      <a:off x="0" y="0"/>
                      <a:ext cx="154305" cy="8255"/>
                    </a:xfrm>
                    <a:prstGeom prst="rect">
                      <a:avLst/>
                    </a:prstGeom>
                    <a:noFill/>
                  </pic:spPr>
                </pic:pic>
              </a:graphicData>
            </a:graphic>
          </wp:anchor>
        </w:drawing>
      </w:r>
    </w:p>
    <w:p>
      <w:pPr>
        <w:spacing w:after="0" w:line="205" w:lineRule="exact"/>
        <w:rPr>
          <w:sz w:val="20"/>
          <w:szCs w:val="20"/>
          <w:color w:val="auto"/>
        </w:rPr>
      </w:pPr>
    </w:p>
    <w:p>
      <w:pPr>
        <w:ind w:left="1200" w:right="1200" w:firstLine="6"/>
        <w:spacing w:after="0" w:line="282" w:lineRule="auto"/>
        <w:tabs>
          <w:tab w:leader="none" w:pos="1464" w:val="left"/>
        </w:tabs>
        <w:numPr>
          <w:ilvl w:val="0"/>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Included in the “Other permanent differences” category in the table above are other permanent items, each below the threshold required for separate presentation in the table.</w:t>
      </w:r>
    </w:p>
    <w:p>
      <w:pPr>
        <w:spacing w:after="0" w:line="24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Company’s U.S. and foreign effective tax rates for loss before income taxes were as follows for the periods indicated:</w:t>
      </w:r>
    </w:p>
    <w:p>
      <w:pPr>
        <w:spacing w:after="0" w:line="219" w:lineRule="exact"/>
        <w:rPr>
          <w:sz w:val="20"/>
          <w:szCs w:val="20"/>
          <w:color w:val="auto"/>
        </w:rPr>
      </w:pPr>
    </w:p>
    <w:p>
      <w:pPr>
        <w:ind w:left="7200"/>
        <w:spacing w:after="0"/>
        <w:rPr>
          <w:sz w:val="20"/>
          <w:szCs w:val="20"/>
          <w:color w:val="auto"/>
        </w:rPr>
      </w:pPr>
      <w:r>
        <w:rPr>
          <w:rFonts w:ascii="Times New Roman" w:cs="Times New Roman" w:eastAsia="Times New Roman" w:hAnsi="Times New Roman"/>
          <w:sz w:val="14"/>
          <w:szCs w:val="14"/>
          <w:b w:val="1"/>
          <w:bCs w:val="1"/>
          <w:color w:val="auto"/>
        </w:rPr>
        <w:t>Years Ended December 31,</w:t>
      </w:r>
    </w:p>
    <w:p>
      <w:pPr>
        <w:spacing w:after="0" w:line="12" w:lineRule="exact"/>
        <w:rPr>
          <w:sz w:val="20"/>
          <w:szCs w:val="20"/>
          <w:color w:val="auto"/>
        </w:rPr>
      </w:pPr>
    </w:p>
    <w:tbl>
      <w:tblPr>
        <w:tblLayout w:type="fixed"/>
        <w:tblInd w:w="1140" w:type="dxa"/>
        <w:tblCellMar>
          <w:top w:w="0" w:type="dxa"/>
          <w:left w:w="0" w:type="dxa"/>
          <w:bottom w:w="0" w:type="dxa"/>
          <w:right w:w="0" w:type="dxa"/>
        </w:tblCellMar>
      </w:tblPr>
      <w:tr>
        <w:trPr>
          <w:trHeight w:val="142"/>
        </w:trPr>
        <w:tc>
          <w:tcPr>
            <w:tcW w:w="5080" w:type="dxa"/>
            <w:vAlign w:val="bottom"/>
          </w:tcPr>
          <w:p>
            <w:pPr>
              <w:spacing w:after="0"/>
              <w:rPr>
                <w:sz w:val="12"/>
                <w:szCs w:val="12"/>
                <w:color w:val="auto"/>
              </w:rPr>
            </w:pPr>
          </w:p>
        </w:tc>
        <w:tc>
          <w:tcPr>
            <w:tcW w:w="640" w:type="dxa"/>
            <w:vAlign w:val="bottom"/>
            <w:tcBorders>
              <w:top w:val="single" w:sz="8" w:color="auto"/>
              <w:bottom w:val="single" w:sz="8" w:color="auto"/>
            </w:tcBorders>
          </w:tcPr>
          <w:p>
            <w:pPr>
              <w:jc w:val="right"/>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380" w:type="dxa"/>
            <w:vAlign w:val="bottom"/>
            <w:tcBorders>
              <w:top w:val="single" w:sz="8" w:color="auto"/>
              <w:bottom w:val="single" w:sz="8" w:color="auto"/>
            </w:tcBorders>
          </w:tcPr>
          <w:p>
            <w:pPr>
              <w:spacing w:after="0"/>
              <w:rPr>
                <w:sz w:val="12"/>
                <w:szCs w:val="12"/>
                <w:color w:val="auto"/>
              </w:rPr>
            </w:pPr>
          </w:p>
        </w:tc>
        <w:tc>
          <w:tcPr>
            <w:tcW w:w="300" w:type="dxa"/>
            <w:vAlign w:val="bottom"/>
            <w:tcBorders>
              <w:top w:val="single" w:sz="8" w:color="auto"/>
            </w:tcBorders>
          </w:tcPr>
          <w:p>
            <w:pPr>
              <w:spacing w:after="0"/>
              <w:rPr>
                <w:sz w:val="12"/>
                <w:szCs w:val="12"/>
                <w:color w:val="auto"/>
              </w:rPr>
            </w:pPr>
          </w:p>
        </w:tc>
        <w:tc>
          <w:tcPr>
            <w:tcW w:w="1020" w:type="dxa"/>
            <w:vAlign w:val="bottom"/>
            <w:tcBorders>
              <w:top w:val="single" w:sz="8" w:color="auto"/>
              <w:bottom w:val="single" w:sz="8" w:color="auto"/>
            </w:tcBorders>
          </w:tcPr>
          <w:p>
            <w:pPr>
              <w:jc w:val="right"/>
              <w:ind w:right="295"/>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300" w:type="dxa"/>
            <w:vAlign w:val="bottom"/>
            <w:tcBorders>
              <w:top w:val="single" w:sz="8" w:color="auto"/>
            </w:tcBorders>
          </w:tcPr>
          <w:p>
            <w:pPr>
              <w:spacing w:after="0"/>
              <w:rPr>
                <w:sz w:val="12"/>
                <w:szCs w:val="12"/>
                <w:color w:val="auto"/>
              </w:rPr>
            </w:pPr>
          </w:p>
        </w:tc>
        <w:tc>
          <w:tcPr>
            <w:tcW w:w="1020" w:type="dxa"/>
            <w:vAlign w:val="bottom"/>
            <w:tcBorders>
              <w:top w:val="single" w:sz="8" w:color="auto"/>
              <w:bottom w:val="single" w:sz="8" w:color="auto"/>
            </w:tcBorders>
          </w:tcPr>
          <w:p>
            <w:pPr>
              <w:jc w:val="right"/>
              <w:ind w:right="295"/>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240" w:type="dxa"/>
            <w:vAlign w:val="bottom"/>
          </w:tcPr>
          <w:p>
            <w:pPr>
              <w:spacing w:after="0"/>
              <w:rPr>
                <w:sz w:val="12"/>
                <w:szCs w:val="12"/>
                <w:color w:val="auto"/>
              </w:rPr>
            </w:pPr>
          </w:p>
        </w:tc>
      </w:tr>
      <w:tr>
        <w:trPr>
          <w:trHeight w:val="209"/>
        </w:trPr>
        <w:tc>
          <w:tcPr>
            <w:tcW w:w="572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8"/>
                <w:szCs w:val="18"/>
                <w:color w:val="auto"/>
              </w:rPr>
              <w:t>U.S.</w:t>
            </w:r>
          </w:p>
        </w:tc>
        <w:tc>
          <w:tcPr>
            <w:tcW w:w="6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w w:val="97"/>
              </w:rPr>
              <w:t>39.3 %</w:t>
            </w:r>
          </w:p>
        </w:tc>
        <w:tc>
          <w:tcPr>
            <w:tcW w:w="13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356.8 %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(10.2 )%</w:t>
            </w:r>
          </w:p>
        </w:tc>
      </w:tr>
      <w:tr>
        <w:trPr>
          <w:trHeight w:val="216"/>
        </w:trPr>
        <w:tc>
          <w:tcPr>
            <w:tcW w:w="572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Foreign</w:t>
            </w:r>
          </w:p>
        </w:tc>
        <w:tc>
          <w:tcPr>
            <w:tcW w:w="6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w w:val="97"/>
              </w:rPr>
              <w:t>16.3 %</w:t>
            </w:r>
          </w:p>
        </w:tc>
        <w:tc>
          <w:tcPr>
            <w:tcW w:w="13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28.2 %</w:t>
            </w:r>
          </w:p>
        </w:tc>
        <w:tc>
          <w:tcPr>
            <w:tcW w:w="1260" w:type="dxa"/>
            <w:vAlign w:val="bottom"/>
            <w:gridSpan w:val="2"/>
          </w:tcPr>
          <w:p>
            <w:pPr>
              <w:jc w:val="right"/>
              <w:ind w:right="80"/>
              <w:spacing w:after="0"/>
              <w:rPr>
                <w:sz w:val="20"/>
                <w:szCs w:val="20"/>
                <w:color w:val="auto"/>
              </w:rPr>
            </w:pPr>
            <w:r>
              <w:rPr>
                <w:rFonts w:ascii="Times New Roman" w:cs="Times New Roman" w:eastAsia="Times New Roman" w:hAnsi="Times New Roman"/>
                <w:sz w:val="18"/>
                <w:szCs w:val="18"/>
                <w:color w:val="auto"/>
              </w:rPr>
              <w:t>21.6 %</w:t>
            </w:r>
          </w:p>
        </w:tc>
      </w:tr>
      <w:tr>
        <w:trPr>
          <w:trHeight w:val="216"/>
        </w:trPr>
        <w:tc>
          <w:tcPr>
            <w:tcW w:w="572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8"/>
                <w:szCs w:val="18"/>
                <w:color w:val="auto"/>
              </w:rPr>
              <w:t>Combined</w:t>
            </w:r>
          </w:p>
        </w:tc>
        <w:tc>
          <w:tcPr>
            <w:tcW w:w="6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w w:val="97"/>
              </w:rPr>
              <w:t>39.7 %</w:t>
            </w:r>
          </w:p>
        </w:tc>
        <w:tc>
          <w:tcPr>
            <w:tcW w:w="13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444.6 %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(11.1 )%</w:t>
            </w:r>
          </w:p>
        </w:tc>
      </w:tr>
    </w:tbl>
    <w:p>
      <w:pPr>
        <w:spacing w:after="0" w:line="19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change in the Company’s effective tax rate in 2024, as compared to 2023, was primarily due to (i) increased tax benefits related to share-based compensation (including the income tax effects of exercises of stock options and vesting of share-settled restricted stock units), compared to (ii) the release of the valuation allowance during 2023 on the Company’s deferred tax asset related to the impairment on its bitcoin holdings, attributable to the increase in the market value of bitcoin as of December 31, 2023 compared to December 31, 2022, and (iii) the effects of changes in state tax rates in 2023.</w:t>
      </w:r>
    </w:p>
    <w:p>
      <w:pPr>
        <w:spacing w:after="0" w:line="7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of December 31, 2024 and 2023, the amount of cash and cash equivalents held by the Company’s U.S. entities was $8.8 million and $10.5 million, respectively, and by the Company’s non-U.S. entities was $29.3 million and $36.3 million, respectively. The Company earns a significant amount of its revenues outside the United States. The Company repatriated foreign earnings and profits of $6.5 million during 2024 and $20.3 million during 2023. As of December 31, 2024, the Company has not indefinitely reinvested any of its undistributed foreign earnings and has recorded a deferred tax liability of $4.0 million on undistributed foreign earnings related to foreign withholding tax and U.S. state income taxes.</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101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40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53" w:right="339" w:bottom="1440" w:gutter="0" w:footer="0" w:header="0"/>
        </w:sectPr>
      </w:pPr>
    </w:p>
    <w:bookmarkStart w:id="101" w:name="page102"/>
    <w:bookmarkEnd w:id="101"/>
    <w:p>
      <w:pPr>
        <w:jc w:val="both"/>
        <w:spacing w:after="0" w:line="266" w:lineRule="auto"/>
        <w:rPr>
          <w:sz w:val="20"/>
          <w:szCs w:val="20"/>
          <w:color w:val="auto"/>
        </w:rPr>
      </w:pPr>
      <w:r>
        <w:rPr>
          <w:rFonts w:ascii="Times New Roman" w:cs="Times New Roman" w:eastAsia="Times New Roman" w:hAnsi="Times New Roman"/>
          <w:sz w:val="18"/>
          <w:szCs w:val="18"/>
          <w:color w:val="auto"/>
        </w:rPr>
        <w:t>Deferred income taxes reflect the net tax effects of the temporary differences between the carrying amounts of assets and liabilities for financial reporting purposes and the amounts used for income tax purposes. Significant components of the Company’s deferred tax assets and liabilities (in thousands) were as follows for the periods indicated:</w:t>
      </w:r>
    </w:p>
    <w:p>
      <w:pPr>
        <w:spacing w:after="0" w:line="223" w:lineRule="exact"/>
        <w:rPr>
          <w:sz w:val="20"/>
          <w:szCs w:val="20"/>
          <w:color w:val="auto"/>
        </w:rPr>
      </w:pPr>
    </w:p>
    <w:tbl>
      <w:tblPr>
        <w:tblLayout w:type="fixed"/>
        <w:tblInd w:w="1700" w:type="dxa"/>
        <w:tblCellMar>
          <w:top w:w="0" w:type="dxa"/>
          <w:left w:w="0" w:type="dxa"/>
          <w:bottom w:w="0" w:type="dxa"/>
          <w:right w:w="0" w:type="dxa"/>
        </w:tblCellMar>
      </w:tblPr>
      <w:tr>
        <w:trPr>
          <w:trHeight w:val="173"/>
        </w:trPr>
        <w:tc>
          <w:tcPr>
            <w:tcW w:w="5120" w:type="dxa"/>
            <w:vAlign w:val="bottom"/>
          </w:tcPr>
          <w:p>
            <w:pPr>
              <w:spacing w:after="0"/>
              <w:rPr>
                <w:sz w:val="15"/>
                <w:szCs w:val="15"/>
                <w:color w:val="auto"/>
              </w:rPr>
            </w:pPr>
          </w:p>
        </w:tc>
        <w:tc>
          <w:tcPr>
            <w:tcW w:w="280" w:type="dxa"/>
            <w:vAlign w:val="bottom"/>
            <w:tcBorders>
              <w:bottom w:val="single" w:sz="8" w:color="auto"/>
            </w:tcBorders>
          </w:tcPr>
          <w:p>
            <w:pPr>
              <w:spacing w:after="0"/>
              <w:rPr>
                <w:sz w:val="15"/>
                <w:szCs w:val="15"/>
                <w:color w:val="auto"/>
              </w:rPr>
            </w:pPr>
          </w:p>
        </w:tc>
        <w:tc>
          <w:tcPr>
            <w:tcW w:w="154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82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5120" w:type="dxa"/>
            <w:vAlign w:val="bottom"/>
          </w:tcPr>
          <w:p>
            <w:pPr>
              <w:spacing w:after="0"/>
              <w:rPr>
                <w:sz w:val="12"/>
                <w:szCs w:val="12"/>
                <w:color w:val="auto"/>
              </w:rPr>
            </w:pPr>
          </w:p>
        </w:tc>
        <w:tc>
          <w:tcPr>
            <w:tcW w:w="280" w:type="dxa"/>
            <w:vAlign w:val="bottom"/>
            <w:tcBorders>
              <w:bottom w:val="single" w:sz="8" w:color="auto"/>
            </w:tcBorders>
          </w:tcPr>
          <w:p>
            <w:pPr>
              <w:spacing w:after="0"/>
              <w:rPr>
                <w:sz w:val="12"/>
                <w:szCs w:val="12"/>
                <w:color w:val="auto"/>
              </w:rPr>
            </w:pPr>
          </w:p>
        </w:tc>
        <w:tc>
          <w:tcPr>
            <w:tcW w:w="920" w:type="dxa"/>
            <w:vAlign w:val="bottom"/>
            <w:tcBorders>
              <w:bottom w:val="single" w:sz="8" w:color="auto"/>
            </w:tcBorders>
          </w:tcPr>
          <w:p>
            <w:pPr>
              <w:jc w:val="right"/>
              <w:ind w:right="372"/>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2"/>
                <w:szCs w:val="12"/>
                <w:color w:val="auto"/>
              </w:rPr>
            </w:pPr>
          </w:p>
        </w:tc>
        <w:tc>
          <w:tcPr>
            <w:tcW w:w="380" w:type="dxa"/>
            <w:vAlign w:val="bottom"/>
            <w:tcBorders>
              <w:bottom w:val="single" w:sz="8" w:color="auto"/>
            </w:tcBorders>
          </w:tcPr>
          <w:p>
            <w:pPr>
              <w:spacing w:after="0"/>
              <w:rPr>
                <w:sz w:val="12"/>
                <w:szCs w:val="12"/>
                <w:color w:val="auto"/>
              </w:rPr>
            </w:pPr>
          </w:p>
        </w:tc>
        <w:tc>
          <w:tcPr>
            <w:tcW w:w="820" w:type="dxa"/>
            <w:vAlign w:val="bottom"/>
            <w:tcBorders>
              <w:bottom w:val="single" w:sz="8" w:color="auto"/>
            </w:tcBorders>
          </w:tcPr>
          <w:p>
            <w:pPr>
              <w:jc w:val="right"/>
              <w:ind w:right="371"/>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r>
      <w:tr>
        <w:trPr>
          <w:trHeight w:val="209"/>
        </w:trPr>
        <w:tc>
          <w:tcPr>
            <w:tcW w:w="5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tax assets, net:</w:t>
            </w:r>
          </w:p>
        </w:tc>
        <w:tc>
          <w:tcPr>
            <w:tcW w:w="280" w:type="dxa"/>
            <w:vAlign w:val="bottom"/>
            <w:shd w:val="clear" w:color="auto" w:fill="CFF0FC"/>
          </w:tcPr>
          <w:p>
            <w:pPr>
              <w:spacing w:after="0"/>
              <w:rPr>
                <w:sz w:val="18"/>
                <w:szCs w:val="18"/>
                <w:color w:val="auto"/>
              </w:rPr>
            </w:pPr>
          </w:p>
        </w:tc>
        <w:tc>
          <w:tcPr>
            <w:tcW w:w="9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380" w:type="dxa"/>
            <w:vAlign w:val="bottom"/>
            <w:shd w:val="clear" w:color="auto" w:fill="CFF0FC"/>
          </w:tcPr>
          <w:p>
            <w:pPr>
              <w:spacing w:after="0"/>
              <w:rPr>
                <w:sz w:val="18"/>
                <w:szCs w:val="18"/>
                <w:color w:val="auto"/>
              </w:rPr>
            </w:pPr>
          </w:p>
        </w:tc>
        <w:tc>
          <w:tcPr>
            <w:tcW w:w="8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Net operating loss carryforwards</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231,063</w:t>
            </w:r>
          </w:p>
        </w:tc>
        <w:tc>
          <w:tcPr>
            <w:tcW w:w="240" w:type="dxa"/>
            <w:vAlign w:val="bottom"/>
          </w:tcPr>
          <w:p>
            <w:pPr>
              <w:spacing w:after="0"/>
              <w:rPr>
                <w:sz w:val="18"/>
                <w:szCs w:val="18"/>
                <w:color w:val="auto"/>
              </w:rPr>
            </w:pPr>
          </w:p>
        </w:tc>
        <w:tc>
          <w:tcPr>
            <w:tcW w:w="380" w:type="dxa"/>
            <w:vAlign w:val="bottom"/>
          </w:tcPr>
          <w:p>
            <w:pPr>
              <w:jc w:val="right"/>
              <w:ind w:right="190"/>
              <w:spacing w:after="0"/>
              <w:rPr>
                <w:sz w:val="20"/>
                <w:szCs w:val="20"/>
                <w:color w:val="auto"/>
              </w:rPr>
            </w:pPr>
            <w:r>
              <w:rPr>
                <w:rFonts w:ascii="Times New Roman" w:cs="Times New Roman" w:eastAsia="Times New Roman" w:hAnsi="Times New Roman"/>
                <w:sz w:val="18"/>
                <w:szCs w:val="18"/>
                <w:color w:val="auto"/>
                <w:w w:val="88"/>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727</w:t>
            </w:r>
          </w:p>
        </w:tc>
        <w:tc>
          <w:tcPr>
            <w:tcW w:w="100" w:type="dxa"/>
            <w:vAlign w:val="bottom"/>
          </w:tcPr>
          <w:p>
            <w:pPr>
              <w:spacing w:after="0"/>
              <w:rPr>
                <w:sz w:val="18"/>
                <w:szCs w:val="18"/>
                <w:color w:val="auto"/>
              </w:rPr>
            </w:pPr>
          </w:p>
        </w:tc>
      </w:tr>
      <w:tr>
        <w:trPr>
          <w:trHeight w:val="216"/>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Tax credit carryforwards</w:t>
            </w:r>
          </w:p>
        </w:tc>
        <w:tc>
          <w:tcPr>
            <w:tcW w:w="28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6,287</w:t>
            </w:r>
          </w:p>
        </w:tc>
        <w:tc>
          <w:tcPr>
            <w:tcW w:w="240" w:type="dxa"/>
            <w:vAlign w:val="bottom"/>
            <w:shd w:val="clear" w:color="auto" w:fill="CFF0FC"/>
          </w:tcPr>
          <w:p>
            <w:pPr>
              <w:spacing w:after="0"/>
              <w:rPr>
                <w:sz w:val="18"/>
                <w:szCs w:val="18"/>
                <w:color w:val="auto"/>
              </w:rPr>
            </w:pPr>
          </w:p>
        </w:tc>
        <w:tc>
          <w:tcPr>
            <w:tcW w:w="38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1,841</w:t>
            </w:r>
          </w:p>
        </w:tc>
        <w:tc>
          <w:tcPr>
            <w:tcW w:w="100" w:type="dxa"/>
            <w:vAlign w:val="bottom"/>
            <w:shd w:val="clear" w:color="auto" w:fill="CFF0FC"/>
          </w:tcPr>
          <w:p>
            <w:pPr>
              <w:spacing w:after="0"/>
              <w:rPr>
                <w:sz w:val="18"/>
                <w:szCs w:val="18"/>
                <w:color w:val="auto"/>
              </w:rPr>
            </w:pPr>
          </w:p>
        </w:tc>
      </w:tr>
      <w:tr>
        <w:trPr>
          <w:trHeight w:val="216"/>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Intangible assets, including capitalized R&amp;D</w:t>
            </w:r>
          </w:p>
        </w:tc>
        <w:tc>
          <w:tcPr>
            <w:tcW w:w="28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88,362</w:t>
            </w:r>
          </w:p>
        </w:tc>
        <w:tc>
          <w:tcPr>
            <w:tcW w:w="24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57,410</w:t>
            </w:r>
          </w:p>
        </w:tc>
        <w:tc>
          <w:tcPr>
            <w:tcW w:w="100" w:type="dxa"/>
            <w:vAlign w:val="bottom"/>
          </w:tcPr>
          <w:p>
            <w:pPr>
              <w:spacing w:after="0"/>
              <w:rPr>
                <w:sz w:val="18"/>
                <w:szCs w:val="18"/>
                <w:color w:val="auto"/>
              </w:rPr>
            </w:pPr>
          </w:p>
        </w:tc>
      </w:tr>
      <w:tr>
        <w:trPr>
          <w:trHeight w:val="216"/>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Deferred revenue</w:t>
            </w:r>
          </w:p>
        </w:tc>
        <w:tc>
          <w:tcPr>
            <w:tcW w:w="28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902</w:t>
            </w:r>
          </w:p>
        </w:tc>
        <w:tc>
          <w:tcPr>
            <w:tcW w:w="240" w:type="dxa"/>
            <w:vAlign w:val="bottom"/>
            <w:shd w:val="clear" w:color="auto" w:fill="CFF0FC"/>
          </w:tcPr>
          <w:p>
            <w:pPr>
              <w:spacing w:after="0"/>
              <w:rPr>
                <w:sz w:val="18"/>
                <w:szCs w:val="18"/>
                <w:color w:val="auto"/>
              </w:rPr>
            </w:pPr>
          </w:p>
        </w:tc>
        <w:tc>
          <w:tcPr>
            <w:tcW w:w="38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1,481</w:t>
            </w:r>
          </w:p>
        </w:tc>
        <w:tc>
          <w:tcPr>
            <w:tcW w:w="100" w:type="dxa"/>
            <w:vAlign w:val="bottom"/>
            <w:shd w:val="clear" w:color="auto" w:fill="CFF0FC"/>
          </w:tcPr>
          <w:p>
            <w:pPr>
              <w:spacing w:after="0"/>
              <w:rPr>
                <w:sz w:val="18"/>
                <w:szCs w:val="18"/>
                <w:color w:val="auto"/>
              </w:rPr>
            </w:pPr>
          </w:p>
        </w:tc>
      </w:tr>
      <w:tr>
        <w:trPr>
          <w:trHeight w:val="216"/>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Accrued compensation</w:t>
            </w:r>
          </w:p>
        </w:tc>
        <w:tc>
          <w:tcPr>
            <w:tcW w:w="28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5,204</w:t>
            </w:r>
          </w:p>
        </w:tc>
        <w:tc>
          <w:tcPr>
            <w:tcW w:w="24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5,882</w:t>
            </w:r>
          </w:p>
        </w:tc>
        <w:tc>
          <w:tcPr>
            <w:tcW w:w="100" w:type="dxa"/>
            <w:vAlign w:val="bottom"/>
          </w:tcPr>
          <w:p>
            <w:pPr>
              <w:spacing w:after="0"/>
              <w:rPr>
                <w:sz w:val="18"/>
                <w:szCs w:val="18"/>
                <w:color w:val="auto"/>
              </w:rPr>
            </w:pPr>
          </w:p>
        </w:tc>
      </w:tr>
      <w:tr>
        <w:trPr>
          <w:trHeight w:val="216"/>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28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14,042</w:t>
            </w:r>
          </w:p>
        </w:tc>
        <w:tc>
          <w:tcPr>
            <w:tcW w:w="240" w:type="dxa"/>
            <w:vAlign w:val="bottom"/>
            <w:shd w:val="clear" w:color="auto" w:fill="CFF0FC"/>
          </w:tcPr>
          <w:p>
            <w:pPr>
              <w:spacing w:after="0"/>
              <w:rPr>
                <w:sz w:val="18"/>
                <w:szCs w:val="18"/>
                <w:color w:val="auto"/>
              </w:rPr>
            </w:pPr>
          </w:p>
        </w:tc>
        <w:tc>
          <w:tcPr>
            <w:tcW w:w="38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30,345</w:t>
            </w:r>
          </w:p>
        </w:tc>
        <w:tc>
          <w:tcPr>
            <w:tcW w:w="100" w:type="dxa"/>
            <w:vAlign w:val="bottom"/>
            <w:shd w:val="clear" w:color="auto" w:fill="CFF0FC"/>
          </w:tcPr>
          <w:p>
            <w:pPr>
              <w:spacing w:after="0"/>
              <w:rPr>
                <w:sz w:val="18"/>
                <w:szCs w:val="18"/>
                <w:color w:val="auto"/>
              </w:rPr>
            </w:pPr>
          </w:p>
        </w:tc>
      </w:tr>
      <w:tr>
        <w:trPr>
          <w:trHeight w:val="216"/>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28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1,165,831</w:t>
            </w:r>
          </w:p>
        </w:tc>
        <w:tc>
          <w:tcPr>
            <w:tcW w:w="24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652,280</w:t>
            </w:r>
          </w:p>
        </w:tc>
        <w:tc>
          <w:tcPr>
            <w:tcW w:w="100" w:type="dxa"/>
            <w:vAlign w:val="bottom"/>
          </w:tcPr>
          <w:p>
            <w:pPr>
              <w:spacing w:after="0"/>
              <w:rPr>
                <w:sz w:val="18"/>
                <w:szCs w:val="18"/>
                <w:color w:val="auto"/>
              </w:rPr>
            </w:pPr>
          </w:p>
        </w:tc>
      </w:tr>
      <w:tr>
        <w:trPr>
          <w:trHeight w:val="216"/>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Interest expense carryforward</w:t>
            </w:r>
          </w:p>
        </w:tc>
        <w:tc>
          <w:tcPr>
            <w:tcW w:w="28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24,974</w:t>
            </w:r>
          </w:p>
        </w:tc>
        <w:tc>
          <w:tcPr>
            <w:tcW w:w="240" w:type="dxa"/>
            <w:vAlign w:val="bottom"/>
            <w:shd w:val="clear" w:color="auto" w:fill="CFF0FC"/>
          </w:tcPr>
          <w:p>
            <w:pPr>
              <w:spacing w:after="0"/>
              <w:rPr>
                <w:sz w:val="18"/>
                <w:szCs w:val="18"/>
                <w:color w:val="auto"/>
              </w:rPr>
            </w:pPr>
          </w:p>
        </w:tc>
        <w:tc>
          <w:tcPr>
            <w:tcW w:w="38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11,627</w:t>
            </w:r>
          </w:p>
        </w:tc>
        <w:tc>
          <w:tcPr>
            <w:tcW w:w="100" w:type="dxa"/>
            <w:vAlign w:val="bottom"/>
            <w:shd w:val="clear" w:color="auto" w:fill="CFF0FC"/>
          </w:tcPr>
          <w:p>
            <w:pPr>
              <w:spacing w:after="0"/>
              <w:rPr>
                <w:sz w:val="18"/>
                <w:szCs w:val="18"/>
                <w:color w:val="auto"/>
              </w:rPr>
            </w:pPr>
          </w:p>
        </w:tc>
      </w:tr>
      <w:tr>
        <w:trPr>
          <w:trHeight w:val="216"/>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Lease liability</w:t>
            </w:r>
          </w:p>
        </w:tc>
        <w:tc>
          <w:tcPr>
            <w:tcW w:w="28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16,734</w:t>
            </w:r>
          </w:p>
        </w:tc>
        <w:tc>
          <w:tcPr>
            <w:tcW w:w="24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18,197</w:t>
            </w:r>
          </w:p>
        </w:tc>
        <w:tc>
          <w:tcPr>
            <w:tcW w:w="100" w:type="dxa"/>
            <w:vAlign w:val="bottom"/>
          </w:tcPr>
          <w:p>
            <w:pPr>
              <w:spacing w:after="0"/>
              <w:rPr>
                <w:sz w:val="18"/>
                <w:szCs w:val="18"/>
                <w:color w:val="auto"/>
              </w:rPr>
            </w:pPr>
          </w:p>
        </w:tc>
      </w:tr>
      <w:tr>
        <w:trPr>
          <w:trHeight w:val="216"/>
        </w:trPr>
        <w:tc>
          <w:tcPr>
            <w:tcW w:w="5120" w:type="dxa"/>
            <w:vAlign w:val="bottom"/>
            <w:tcBorders>
              <w:bottom w:val="single" w:sz="8" w:color="CFF0FC"/>
            </w:tcBorders>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Other</w:t>
            </w:r>
          </w:p>
        </w:tc>
        <w:tc>
          <w:tcPr>
            <w:tcW w:w="280" w:type="dxa"/>
            <w:vAlign w:val="bottom"/>
            <w:tcBorders>
              <w:bottom w:val="single" w:sz="8" w:color="auto"/>
            </w:tcBorders>
            <w:shd w:val="clear" w:color="auto" w:fill="CFF0FC"/>
          </w:tcPr>
          <w:p>
            <w:pPr>
              <w:spacing w:after="0"/>
              <w:rPr>
                <w:sz w:val="18"/>
                <w:szCs w:val="18"/>
                <w:color w:val="auto"/>
              </w:rPr>
            </w:pPr>
          </w:p>
        </w:tc>
        <w:tc>
          <w:tcPr>
            <w:tcW w:w="9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1,854</w:t>
            </w:r>
          </w:p>
        </w:tc>
        <w:tc>
          <w:tcPr>
            <w:tcW w:w="240" w:type="dxa"/>
            <w:vAlign w:val="bottom"/>
            <w:tcBorders>
              <w:bottom w:val="single" w:sz="8" w:color="CFF0FC"/>
            </w:tcBorders>
            <w:shd w:val="clear" w:color="auto" w:fill="CFF0FC"/>
          </w:tcPr>
          <w:p>
            <w:pPr>
              <w:spacing w:after="0"/>
              <w:rPr>
                <w:sz w:val="18"/>
                <w:szCs w:val="18"/>
                <w:color w:val="auto"/>
              </w:rPr>
            </w:pPr>
          </w:p>
        </w:tc>
        <w:tc>
          <w:tcPr>
            <w:tcW w:w="380" w:type="dxa"/>
            <w:vAlign w:val="bottom"/>
            <w:tcBorders>
              <w:bottom w:val="single" w:sz="8" w:color="auto"/>
            </w:tcBorders>
            <w:shd w:val="clear" w:color="auto" w:fill="CFF0FC"/>
          </w:tcPr>
          <w:p>
            <w:pPr>
              <w:spacing w:after="0"/>
              <w:rPr>
                <w:sz w:val="18"/>
                <w:szCs w:val="18"/>
                <w:color w:val="auto"/>
              </w:rPr>
            </w:pPr>
          </w:p>
        </w:tc>
        <w:tc>
          <w:tcPr>
            <w:tcW w:w="8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4,699</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51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Deferred tax assets before valuation allowance</w:t>
            </w:r>
          </w:p>
        </w:tc>
        <w:tc>
          <w:tcPr>
            <w:tcW w:w="28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1,555,253</w:t>
            </w:r>
          </w:p>
        </w:tc>
        <w:tc>
          <w:tcPr>
            <w:tcW w:w="24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784,489</w:t>
            </w:r>
          </w:p>
        </w:tc>
        <w:tc>
          <w:tcPr>
            <w:tcW w:w="100" w:type="dxa"/>
            <w:vAlign w:val="bottom"/>
          </w:tcPr>
          <w:p>
            <w:pPr>
              <w:spacing w:after="0"/>
              <w:rPr>
                <w:sz w:val="18"/>
                <w:szCs w:val="18"/>
                <w:color w:val="auto"/>
              </w:rPr>
            </w:pPr>
          </w:p>
        </w:tc>
      </w:tr>
      <w:tr>
        <w:trPr>
          <w:trHeight w:val="216"/>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Valuation allowance</w:t>
            </w:r>
          </w:p>
        </w:tc>
        <w:tc>
          <w:tcPr>
            <w:tcW w:w="280" w:type="dxa"/>
            <w:vAlign w:val="bottom"/>
            <w:shd w:val="clear" w:color="auto" w:fill="CFF0FC"/>
          </w:tcPr>
          <w:p>
            <w:pPr>
              <w:spacing w:after="0"/>
              <w:rPr>
                <w:sz w:val="18"/>
                <w:szCs w:val="18"/>
                <w:color w:val="auto"/>
              </w:rPr>
            </w:pPr>
          </w:p>
        </w:tc>
        <w:tc>
          <w:tcPr>
            <w:tcW w:w="11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(494 )</w:t>
            </w:r>
          </w:p>
        </w:tc>
        <w:tc>
          <w:tcPr>
            <w:tcW w:w="380" w:type="dxa"/>
            <w:vAlign w:val="bottom"/>
            <w:shd w:val="clear" w:color="auto" w:fill="CFF0FC"/>
          </w:tcPr>
          <w:p>
            <w:pPr>
              <w:spacing w:after="0"/>
              <w:rPr>
                <w:sz w:val="18"/>
                <w:szCs w:val="18"/>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(1,427 )</w:t>
            </w:r>
          </w:p>
        </w:tc>
      </w:tr>
      <w:tr>
        <w:trPr>
          <w:trHeight w:val="209"/>
        </w:trPr>
        <w:tc>
          <w:tcPr>
            <w:tcW w:w="5120" w:type="dxa"/>
            <w:vAlign w:val="bottom"/>
            <w:tcBorders>
              <w:top w:val="single" w:sz="8" w:color="CFF0FC"/>
            </w:tcBorders>
          </w:tcPr>
          <w:p>
            <w:pPr>
              <w:ind w:left="180"/>
              <w:spacing w:after="0"/>
              <w:rPr>
                <w:sz w:val="20"/>
                <w:szCs w:val="20"/>
                <w:color w:val="auto"/>
              </w:rPr>
            </w:pPr>
            <w:r>
              <w:rPr>
                <w:rFonts w:ascii="Times New Roman" w:cs="Times New Roman" w:eastAsia="Times New Roman" w:hAnsi="Times New Roman"/>
                <w:sz w:val="18"/>
                <w:szCs w:val="18"/>
                <w:color w:val="auto"/>
              </w:rPr>
              <w:t>Deferred tax assets, net of valuation allowance</w:t>
            </w:r>
          </w:p>
        </w:tc>
        <w:tc>
          <w:tcPr>
            <w:tcW w:w="280" w:type="dxa"/>
            <w:vAlign w:val="bottom"/>
            <w:tcBorders>
              <w:top w:val="single" w:sz="8" w:color="auto"/>
              <w:bottom w:val="single" w:sz="8" w:color="auto"/>
            </w:tcBorders>
          </w:tcPr>
          <w:p>
            <w:pPr>
              <w:spacing w:after="0"/>
              <w:rPr>
                <w:sz w:val="18"/>
                <w:szCs w:val="18"/>
                <w:color w:val="auto"/>
              </w:rPr>
            </w:pPr>
          </w:p>
        </w:tc>
        <w:tc>
          <w:tcPr>
            <w:tcW w:w="92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1,554,759</w:t>
            </w:r>
          </w:p>
        </w:tc>
        <w:tc>
          <w:tcPr>
            <w:tcW w:w="240" w:type="dxa"/>
            <w:vAlign w:val="bottom"/>
            <w:tcBorders>
              <w:top w:val="single" w:sz="8" w:color="CFF0FC"/>
            </w:tcBorders>
          </w:tcPr>
          <w:p>
            <w:pPr>
              <w:spacing w:after="0"/>
              <w:rPr>
                <w:sz w:val="18"/>
                <w:szCs w:val="18"/>
                <w:color w:val="auto"/>
              </w:rPr>
            </w:pPr>
          </w:p>
        </w:tc>
        <w:tc>
          <w:tcPr>
            <w:tcW w:w="380" w:type="dxa"/>
            <w:vAlign w:val="bottom"/>
            <w:tcBorders>
              <w:top w:val="single" w:sz="8" w:color="auto"/>
              <w:bottom w:val="single" w:sz="8" w:color="auto"/>
            </w:tcBorders>
          </w:tcPr>
          <w:p>
            <w:pPr>
              <w:spacing w:after="0"/>
              <w:rPr>
                <w:sz w:val="18"/>
                <w:szCs w:val="18"/>
                <w:color w:val="auto"/>
              </w:rPr>
            </w:pPr>
          </w:p>
        </w:tc>
        <w:tc>
          <w:tcPr>
            <w:tcW w:w="82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783,062</w:t>
            </w:r>
          </w:p>
        </w:tc>
        <w:tc>
          <w:tcPr>
            <w:tcW w:w="100" w:type="dxa"/>
            <w:vAlign w:val="bottom"/>
            <w:tcBorders>
              <w:top w:val="single" w:sz="8" w:color="CFF0FC"/>
            </w:tcBorders>
          </w:tcPr>
          <w:p>
            <w:pPr>
              <w:spacing w:after="0"/>
              <w:rPr>
                <w:sz w:val="18"/>
                <w:szCs w:val="18"/>
                <w:color w:val="auto"/>
              </w:rPr>
            </w:pPr>
          </w:p>
        </w:tc>
      </w:tr>
      <w:tr>
        <w:trPr>
          <w:trHeight w:val="210"/>
        </w:trPr>
        <w:tc>
          <w:tcPr>
            <w:tcW w:w="512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380" w:type="dxa"/>
            <w:vAlign w:val="bottom"/>
            <w:shd w:val="clear" w:color="auto" w:fill="CFF0FC"/>
          </w:tcPr>
          <w:p>
            <w:pPr>
              <w:spacing w:after="0"/>
              <w:rPr>
                <w:sz w:val="18"/>
                <w:szCs w:val="18"/>
                <w:color w:val="auto"/>
              </w:rPr>
            </w:pPr>
          </w:p>
        </w:tc>
        <w:tc>
          <w:tcPr>
            <w:tcW w:w="8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5120" w:type="dxa"/>
            <w:vAlign w:val="bottom"/>
          </w:tcPr>
          <w:p>
            <w:pPr>
              <w:spacing w:after="0"/>
              <w:rPr>
                <w:sz w:val="20"/>
                <w:szCs w:val="20"/>
                <w:color w:val="auto"/>
              </w:rPr>
            </w:pPr>
            <w:r>
              <w:rPr>
                <w:rFonts w:ascii="Times New Roman" w:cs="Times New Roman" w:eastAsia="Times New Roman" w:hAnsi="Times New Roman"/>
                <w:sz w:val="18"/>
                <w:szCs w:val="18"/>
                <w:color w:val="auto"/>
              </w:rPr>
              <w:t>Deferred tax liabilities:</w:t>
            </w:r>
          </w:p>
        </w:tc>
        <w:tc>
          <w:tcPr>
            <w:tcW w:w="280" w:type="dxa"/>
            <w:vAlign w:val="bottom"/>
          </w:tcPr>
          <w:p>
            <w:pPr>
              <w:spacing w:after="0"/>
              <w:rPr>
                <w:sz w:val="18"/>
                <w:szCs w:val="18"/>
                <w:color w:val="auto"/>
              </w:rPr>
            </w:pPr>
          </w:p>
        </w:tc>
        <w:tc>
          <w:tcPr>
            <w:tcW w:w="9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82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Prepaid expenses and other</w:t>
            </w:r>
          </w:p>
        </w:tc>
        <w:tc>
          <w:tcPr>
            <w:tcW w:w="28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8,278</w:t>
            </w:r>
          </w:p>
        </w:tc>
        <w:tc>
          <w:tcPr>
            <w:tcW w:w="240" w:type="dxa"/>
            <w:vAlign w:val="bottom"/>
            <w:shd w:val="clear" w:color="auto" w:fill="CFF0FC"/>
          </w:tcPr>
          <w:p>
            <w:pPr>
              <w:spacing w:after="0"/>
              <w:rPr>
                <w:sz w:val="18"/>
                <w:szCs w:val="18"/>
                <w:color w:val="auto"/>
              </w:rPr>
            </w:pPr>
          </w:p>
        </w:tc>
        <w:tc>
          <w:tcPr>
            <w:tcW w:w="38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3,681</w:t>
            </w:r>
          </w:p>
        </w:tc>
        <w:tc>
          <w:tcPr>
            <w:tcW w:w="100" w:type="dxa"/>
            <w:vAlign w:val="bottom"/>
            <w:shd w:val="clear" w:color="auto" w:fill="CFF0FC"/>
          </w:tcPr>
          <w:p>
            <w:pPr>
              <w:spacing w:after="0"/>
              <w:rPr>
                <w:sz w:val="18"/>
                <w:szCs w:val="18"/>
                <w:color w:val="auto"/>
              </w:rPr>
            </w:pPr>
          </w:p>
        </w:tc>
      </w:tr>
      <w:tr>
        <w:trPr>
          <w:trHeight w:val="216"/>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Property and equipment</w:t>
            </w:r>
          </w:p>
        </w:tc>
        <w:tc>
          <w:tcPr>
            <w:tcW w:w="28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373</w:t>
            </w:r>
          </w:p>
        </w:tc>
        <w:tc>
          <w:tcPr>
            <w:tcW w:w="24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1,062</w:t>
            </w:r>
          </w:p>
        </w:tc>
        <w:tc>
          <w:tcPr>
            <w:tcW w:w="100" w:type="dxa"/>
            <w:vAlign w:val="bottom"/>
          </w:tcPr>
          <w:p>
            <w:pPr>
              <w:spacing w:after="0"/>
              <w:rPr>
                <w:sz w:val="18"/>
                <w:szCs w:val="18"/>
                <w:color w:val="auto"/>
              </w:rPr>
            </w:pPr>
          </w:p>
        </w:tc>
      </w:tr>
      <w:tr>
        <w:trPr>
          <w:trHeight w:val="216"/>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Deferred tax on undistributed foreign earnings</w:t>
            </w:r>
          </w:p>
        </w:tc>
        <w:tc>
          <w:tcPr>
            <w:tcW w:w="28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3,962</w:t>
            </w:r>
          </w:p>
        </w:tc>
        <w:tc>
          <w:tcPr>
            <w:tcW w:w="240" w:type="dxa"/>
            <w:vAlign w:val="bottom"/>
            <w:shd w:val="clear" w:color="auto" w:fill="CFF0FC"/>
          </w:tcPr>
          <w:p>
            <w:pPr>
              <w:spacing w:after="0"/>
              <w:rPr>
                <w:sz w:val="18"/>
                <w:szCs w:val="18"/>
                <w:color w:val="auto"/>
              </w:rPr>
            </w:pPr>
          </w:p>
        </w:tc>
        <w:tc>
          <w:tcPr>
            <w:tcW w:w="38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2,923</w:t>
            </w:r>
          </w:p>
        </w:tc>
        <w:tc>
          <w:tcPr>
            <w:tcW w:w="100" w:type="dxa"/>
            <w:vAlign w:val="bottom"/>
            <w:shd w:val="clear" w:color="auto" w:fill="CFF0FC"/>
          </w:tcPr>
          <w:p>
            <w:pPr>
              <w:spacing w:after="0"/>
              <w:rPr>
                <w:sz w:val="18"/>
                <w:szCs w:val="18"/>
                <w:color w:val="auto"/>
              </w:rPr>
            </w:pPr>
          </w:p>
        </w:tc>
      </w:tr>
      <w:tr>
        <w:trPr>
          <w:trHeight w:val="216"/>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Right of use asset</w:t>
            </w:r>
          </w:p>
        </w:tc>
        <w:tc>
          <w:tcPr>
            <w:tcW w:w="280" w:type="dxa"/>
            <w:vAlign w:val="bottom"/>
            <w:tcBorders>
              <w:bottom w:val="single" w:sz="8" w:color="auto"/>
            </w:tcBorders>
          </w:tcPr>
          <w:p>
            <w:pPr>
              <w:spacing w:after="0"/>
              <w:rPr>
                <w:sz w:val="18"/>
                <w:szCs w:val="18"/>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17,246</w:t>
            </w:r>
          </w:p>
        </w:tc>
        <w:tc>
          <w:tcPr>
            <w:tcW w:w="240" w:type="dxa"/>
            <w:vAlign w:val="bottom"/>
          </w:tcPr>
          <w:p>
            <w:pPr>
              <w:spacing w:after="0"/>
              <w:rPr>
                <w:sz w:val="18"/>
                <w:szCs w:val="18"/>
                <w:color w:val="auto"/>
              </w:rPr>
            </w:pPr>
          </w:p>
        </w:tc>
        <w:tc>
          <w:tcPr>
            <w:tcW w:w="380" w:type="dxa"/>
            <w:vAlign w:val="bottom"/>
            <w:tcBorders>
              <w:bottom w:val="single" w:sz="8" w:color="auto"/>
            </w:tcBorders>
          </w:tcPr>
          <w:p>
            <w:pPr>
              <w:spacing w:after="0"/>
              <w:rPr>
                <w:sz w:val="18"/>
                <w:szCs w:val="18"/>
                <w:color w:val="auto"/>
              </w:rPr>
            </w:pPr>
          </w:p>
        </w:tc>
        <w:tc>
          <w:tcPr>
            <w:tcW w:w="8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18,180</w:t>
            </w:r>
          </w:p>
        </w:tc>
        <w:tc>
          <w:tcPr>
            <w:tcW w:w="100" w:type="dxa"/>
            <w:vAlign w:val="bottom"/>
          </w:tcPr>
          <w:p>
            <w:pPr>
              <w:spacing w:after="0"/>
              <w:rPr>
                <w:sz w:val="18"/>
                <w:szCs w:val="18"/>
                <w:color w:val="auto"/>
              </w:rPr>
            </w:pPr>
          </w:p>
        </w:tc>
      </w:tr>
      <w:tr>
        <w:trPr>
          <w:trHeight w:val="210"/>
        </w:trPr>
        <w:tc>
          <w:tcPr>
            <w:tcW w:w="5120" w:type="dxa"/>
            <w:vAlign w:val="bottom"/>
            <w:tcBorders>
              <w:bottom w:val="single" w:sz="8" w:color="CFF0FC"/>
            </w:tcBorders>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Total deferred tax liabilities</w:t>
            </w:r>
          </w:p>
        </w:tc>
        <w:tc>
          <w:tcPr>
            <w:tcW w:w="280" w:type="dxa"/>
            <w:vAlign w:val="bottom"/>
            <w:tcBorders>
              <w:bottom w:val="single" w:sz="8" w:color="auto"/>
            </w:tcBorders>
            <w:shd w:val="clear" w:color="auto" w:fill="CFF0FC"/>
          </w:tcPr>
          <w:p>
            <w:pPr>
              <w:spacing w:after="0"/>
              <w:rPr>
                <w:sz w:val="18"/>
                <w:szCs w:val="18"/>
                <w:color w:val="auto"/>
              </w:rPr>
            </w:pPr>
          </w:p>
        </w:tc>
        <w:tc>
          <w:tcPr>
            <w:tcW w:w="9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29,859</w:t>
            </w:r>
          </w:p>
        </w:tc>
        <w:tc>
          <w:tcPr>
            <w:tcW w:w="240" w:type="dxa"/>
            <w:vAlign w:val="bottom"/>
            <w:tcBorders>
              <w:bottom w:val="single" w:sz="8" w:color="CFF0FC"/>
            </w:tcBorders>
            <w:shd w:val="clear" w:color="auto" w:fill="CFF0FC"/>
          </w:tcPr>
          <w:p>
            <w:pPr>
              <w:spacing w:after="0"/>
              <w:rPr>
                <w:sz w:val="18"/>
                <w:szCs w:val="18"/>
                <w:color w:val="auto"/>
              </w:rPr>
            </w:pPr>
          </w:p>
        </w:tc>
        <w:tc>
          <w:tcPr>
            <w:tcW w:w="380" w:type="dxa"/>
            <w:vAlign w:val="bottom"/>
            <w:tcBorders>
              <w:bottom w:val="single" w:sz="8" w:color="auto"/>
            </w:tcBorders>
            <w:shd w:val="clear" w:color="auto" w:fill="CFF0FC"/>
          </w:tcPr>
          <w:p>
            <w:pPr>
              <w:spacing w:after="0"/>
              <w:rPr>
                <w:sz w:val="18"/>
                <w:szCs w:val="18"/>
                <w:color w:val="auto"/>
              </w:rPr>
            </w:pPr>
          </w:p>
        </w:tc>
        <w:tc>
          <w:tcPr>
            <w:tcW w:w="8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25,846</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net deferred tax asset</w:t>
            </w:r>
          </w:p>
        </w:tc>
        <w:tc>
          <w:tcPr>
            <w:tcW w:w="280" w:type="dxa"/>
            <w:vAlign w:val="bottom"/>
            <w:tcBorders>
              <w:bottom w:val="single" w:sz="8" w:color="auto"/>
            </w:tcBorders>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1,524,900</w:t>
            </w:r>
          </w:p>
        </w:tc>
        <w:tc>
          <w:tcPr>
            <w:tcW w:w="240" w:type="dxa"/>
            <w:vAlign w:val="bottom"/>
          </w:tcPr>
          <w:p>
            <w:pPr>
              <w:spacing w:after="0"/>
              <w:rPr>
                <w:sz w:val="18"/>
                <w:szCs w:val="18"/>
                <w:color w:val="auto"/>
              </w:rPr>
            </w:pPr>
          </w:p>
        </w:tc>
        <w:tc>
          <w:tcPr>
            <w:tcW w:w="380" w:type="dxa"/>
            <w:vAlign w:val="bottom"/>
            <w:tcBorders>
              <w:bottom w:val="single" w:sz="8" w:color="auto"/>
            </w:tcBorders>
          </w:tcPr>
          <w:p>
            <w:pPr>
              <w:jc w:val="right"/>
              <w:ind w:right="190"/>
              <w:spacing w:after="0"/>
              <w:rPr>
                <w:sz w:val="20"/>
                <w:szCs w:val="20"/>
                <w:color w:val="auto"/>
              </w:rPr>
            </w:pPr>
            <w:r>
              <w:rPr>
                <w:rFonts w:ascii="Times New Roman" w:cs="Times New Roman" w:eastAsia="Times New Roman" w:hAnsi="Times New Roman"/>
                <w:sz w:val="18"/>
                <w:szCs w:val="18"/>
                <w:color w:val="auto"/>
                <w:w w:val="88"/>
              </w:rPr>
              <w:t>$</w:t>
            </w:r>
          </w:p>
        </w:tc>
        <w:tc>
          <w:tcPr>
            <w:tcW w:w="8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757,216</w:t>
            </w:r>
          </w:p>
        </w:tc>
        <w:tc>
          <w:tcPr>
            <w:tcW w:w="100" w:type="dxa"/>
            <w:vAlign w:val="bottom"/>
          </w:tcPr>
          <w:p>
            <w:pPr>
              <w:spacing w:after="0"/>
              <w:rPr>
                <w:sz w:val="18"/>
                <w:szCs w:val="18"/>
                <w:color w:val="auto"/>
              </w:rPr>
            </w:pPr>
          </w:p>
        </w:tc>
      </w:tr>
      <w:tr>
        <w:trPr>
          <w:trHeight w:val="20"/>
        </w:trPr>
        <w:tc>
          <w:tcPr>
            <w:tcW w:w="5120" w:type="dxa"/>
            <w:vAlign w:val="bottom"/>
          </w:tcPr>
          <w:p>
            <w:pPr>
              <w:spacing w:after="0" w:line="20" w:lineRule="exact"/>
              <w:rPr>
                <w:sz w:val="1"/>
                <w:szCs w:val="1"/>
                <w:color w:val="auto"/>
              </w:rPr>
            </w:pPr>
          </w:p>
        </w:tc>
        <w:tc>
          <w:tcPr>
            <w:tcW w:w="280" w:type="dxa"/>
            <w:vAlign w:val="bottom"/>
            <w:tcBorders>
              <w:bottom w:val="single" w:sz="8" w:color="auto"/>
            </w:tcBorders>
          </w:tcPr>
          <w:p>
            <w:pPr>
              <w:spacing w:after="0" w:line="20" w:lineRule="exact"/>
              <w:rPr>
                <w:sz w:val="1"/>
                <w:szCs w:val="1"/>
                <w:color w:val="auto"/>
              </w:rPr>
            </w:pPr>
          </w:p>
        </w:tc>
        <w:tc>
          <w:tcPr>
            <w:tcW w:w="92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380" w:type="dxa"/>
            <w:vAlign w:val="bottom"/>
            <w:tcBorders>
              <w:bottom w:val="single" w:sz="8" w:color="auto"/>
            </w:tcBorders>
          </w:tcPr>
          <w:p>
            <w:pPr>
              <w:spacing w:after="0" w:line="20" w:lineRule="exact"/>
              <w:rPr>
                <w:sz w:val="1"/>
                <w:szCs w:val="1"/>
                <w:color w:val="auto"/>
              </w:rPr>
            </w:pPr>
          </w:p>
        </w:tc>
        <w:tc>
          <w:tcPr>
            <w:tcW w:w="82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197"/>
        </w:trPr>
        <w:tc>
          <w:tcPr>
            <w:tcW w:w="512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920" w:type="dxa"/>
            <w:vAlign w:val="bottom"/>
            <w:shd w:val="clear" w:color="auto" w:fill="CFF0FC"/>
          </w:tcPr>
          <w:p>
            <w:pPr>
              <w:spacing w:after="0"/>
              <w:rPr>
                <w:sz w:val="17"/>
                <w:szCs w:val="17"/>
                <w:color w:val="auto"/>
              </w:rPr>
            </w:pPr>
          </w:p>
        </w:tc>
        <w:tc>
          <w:tcPr>
            <w:tcW w:w="240" w:type="dxa"/>
            <w:vAlign w:val="bottom"/>
            <w:shd w:val="clear" w:color="auto" w:fill="CFF0FC"/>
          </w:tcPr>
          <w:p>
            <w:pPr>
              <w:spacing w:after="0"/>
              <w:rPr>
                <w:sz w:val="17"/>
                <w:szCs w:val="17"/>
                <w:color w:val="auto"/>
              </w:rPr>
            </w:pPr>
          </w:p>
        </w:tc>
        <w:tc>
          <w:tcPr>
            <w:tcW w:w="380" w:type="dxa"/>
            <w:vAlign w:val="bottom"/>
            <w:shd w:val="clear" w:color="auto" w:fill="CFF0FC"/>
          </w:tcPr>
          <w:p>
            <w:pPr>
              <w:spacing w:after="0"/>
              <w:rPr>
                <w:sz w:val="17"/>
                <w:szCs w:val="17"/>
                <w:color w:val="auto"/>
              </w:rPr>
            </w:pPr>
          </w:p>
        </w:tc>
        <w:tc>
          <w:tcPr>
            <w:tcW w:w="82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r>
      <w:tr>
        <w:trPr>
          <w:trHeight w:val="216"/>
        </w:trPr>
        <w:tc>
          <w:tcPr>
            <w:tcW w:w="5120" w:type="dxa"/>
            <w:vAlign w:val="bottom"/>
          </w:tcPr>
          <w:p>
            <w:pPr>
              <w:spacing w:after="0"/>
              <w:rPr>
                <w:sz w:val="20"/>
                <w:szCs w:val="20"/>
                <w:color w:val="auto"/>
              </w:rPr>
            </w:pPr>
            <w:r>
              <w:rPr>
                <w:rFonts w:ascii="Times New Roman" w:cs="Times New Roman" w:eastAsia="Times New Roman" w:hAnsi="Times New Roman"/>
                <w:sz w:val="18"/>
                <w:szCs w:val="18"/>
                <w:color w:val="auto"/>
              </w:rPr>
              <w:t>Reported as:</w:t>
            </w:r>
          </w:p>
        </w:tc>
        <w:tc>
          <w:tcPr>
            <w:tcW w:w="280" w:type="dxa"/>
            <w:vAlign w:val="bottom"/>
          </w:tcPr>
          <w:p>
            <w:pPr>
              <w:spacing w:after="0"/>
              <w:rPr>
                <w:sz w:val="18"/>
                <w:szCs w:val="18"/>
                <w:color w:val="auto"/>
              </w:rPr>
            </w:pPr>
          </w:p>
        </w:tc>
        <w:tc>
          <w:tcPr>
            <w:tcW w:w="92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82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Non-current deferred tax assets</w:t>
            </w:r>
          </w:p>
        </w:tc>
        <w:tc>
          <w:tcPr>
            <w:tcW w:w="28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1,525,307</w:t>
            </w:r>
          </w:p>
        </w:tc>
        <w:tc>
          <w:tcPr>
            <w:tcW w:w="240" w:type="dxa"/>
            <w:vAlign w:val="bottom"/>
            <w:shd w:val="clear" w:color="auto" w:fill="CFF0FC"/>
          </w:tcPr>
          <w:p>
            <w:pPr>
              <w:spacing w:after="0"/>
              <w:rPr>
                <w:sz w:val="18"/>
                <w:szCs w:val="18"/>
                <w:color w:val="auto"/>
              </w:rPr>
            </w:pPr>
          </w:p>
        </w:tc>
        <w:tc>
          <w:tcPr>
            <w:tcW w:w="380" w:type="dxa"/>
            <w:vAlign w:val="bottom"/>
            <w:shd w:val="clear" w:color="auto" w:fill="CFF0FC"/>
          </w:tcPr>
          <w:p>
            <w:pPr>
              <w:spacing w:after="0"/>
              <w:rPr>
                <w:sz w:val="18"/>
                <w:szCs w:val="18"/>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757,573</w:t>
            </w:r>
          </w:p>
        </w:tc>
        <w:tc>
          <w:tcPr>
            <w:tcW w:w="100" w:type="dxa"/>
            <w:vAlign w:val="bottom"/>
            <w:shd w:val="clear" w:color="auto" w:fill="CFF0FC"/>
          </w:tcPr>
          <w:p>
            <w:pPr>
              <w:spacing w:after="0"/>
              <w:rPr>
                <w:sz w:val="18"/>
                <w:szCs w:val="18"/>
                <w:color w:val="auto"/>
              </w:rPr>
            </w:pPr>
          </w:p>
        </w:tc>
      </w:tr>
      <w:tr>
        <w:trPr>
          <w:trHeight w:val="216"/>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Non-current deferred tax liabilities</w:t>
            </w:r>
          </w:p>
        </w:tc>
        <w:tc>
          <w:tcPr>
            <w:tcW w:w="280" w:type="dxa"/>
            <w:vAlign w:val="bottom"/>
          </w:tcPr>
          <w:p>
            <w:pPr>
              <w:spacing w:after="0"/>
              <w:rPr>
                <w:sz w:val="18"/>
                <w:szCs w:val="18"/>
                <w:color w:val="auto"/>
              </w:rPr>
            </w:pPr>
          </w:p>
        </w:tc>
        <w:tc>
          <w:tcPr>
            <w:tcW w:w="11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(407 )</w:t>
            </w:r>
          </w:p>
        </w:tc>
        <w:tc>
          <w:tcPr>
            <w:tcW w:w="380" w:type="dxa"/>
            <w:vAlign w:val="bottom"/>
          </w:tcPr>
          <w:p>
            <w:pPr>
              <w:spacing w:after="0"/>
              <w:rPr>
                <w:sz w:val="18"/>
                <w:szCs w:val="18"/>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(357 )</w:t>
            </w:r>
          </w:p>
        </w:tc>
      </w:tr>
      <w:tr>
        <w:trPr>
          <w:trHeight w:val="250"/>
        </w:trPr>
        <w:tc>
          <w:tcPr>
            <w:tcW w:w="5120" w:type="dxa"/>
            <w:vAlign w:val="bottom"/>
            <w:tcBorders>
              <w:bottom w:val="single" w:sz="8" w:color="CFF0FC"/>
            </w:tcBorders>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Total net deferred tax asset</w:t>
            </w:r>
          </w:p>
        </w:tc>
        <w:tc>
          <w:tcPr>
            <w:tcW w:w="280" w:type="dxa"/>
            <w:vAlign w:val="bottom"/>
            <w:tcBorders>
              <w:top w:val="single" w:sz="8" w:color="auto"/>
              <w:bottom w:val="single" w:sz="8" w:color="auto"/>
            </w:tcBorders>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1,524,900</w:t>
            </w:r>
          </w:p>
        </w:tc>
        <w:tc>
          <w:tcPr>
            <w:tcW w:w="240" w:type="dxa"/>
            <w:vAlign w:val="bottom"/>
            <w:tcBorders>
              <w:bottom w:val="single" w:sz="8" w:color="CFF0FC"/>
            </w:tcBorders>
            <w:shd w:val="clear" w:color="auto" w:fill="CFF0FC"/>
          </w:tcPr>
          <w:p>
            <w:pPr>
              <w:spacing w:after="0"/>
              <w:rPr>
                <w:sz w:val="21"/>
                <w:szCs w:val="21"/>
                <w:color w:val="auto"/>
              </w:rPr>
            </w:pPr>
          </w:p>
        </w:tc>
        <w:tc>
          <w:tcPr>
            <w:tcW w:w="380" w:type="dxa"/>
            <w:vAlign w:val="bottom"/>
            <w:tcBorders>
              <w:top w:val="single" w:sz="8" w:color="auto"/>
              <w:bottom w:val="single" w:sz="8" w:color="auto"/>
            </w:tcBorders>
            <w:shd w:val="clear" w:color="auto" w:fill="CFF0FC"/>
          </w:tcPr>
          <w:p>
            <w:pPr>
              <w:jc w:val="right"/>
              <w:ind w:right="190"/>
              <w:spacing w:after="0"/>
              <w:rPr>
                <w:sz w:val="20"/>
                <w:szCs w:val="20"/>
                <w:color w:val="auto"/>
              </w:rPr>
            </w:pPr>
            <w:r>
              <w:rPr>
                <w:rFonts w:ascii="Times New Roman" w:cs="Times New Roman" w:eastAsia="Times New Roman" w:hAnsi="Times New Roman"/>
                <w:sz w:val="18"/>
                <w:szCs w:val="18"/>
                <w:color w:val="auto"/>
                <w:w w:val="88"/>
              </w:rPr>
              <w:t>$</w:t>
            </w:r>
          </w:p>
        </w:tc>
        <w:tc>
          <w:tcPr>
            <w:tcW w:w="82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757,216</w:t>
            </w:r>
          </w:p>
        </w:tc>
        <w:tc>
          <w:tcPr>
            <w:tcW w:w="100" w:type="dxa"/>
            <w:vAlign w:val="bottom"/>
            <w:tcBorders>
              <w:bottom w:val="single" w:sz="8" w:color="CFF0FC"/>
            </w:tcBorders>
            <w:shd w:val="clear" w:color="auto" w:fill="CFF0FC"/>
          </w:tcPr>
          <w:p>
            <w:pPr>
              <w:spacing w:after="0"/>
              <w:rPr>
                <w:sz w:val="21"/>
                <w:szCs w:val="2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5097145</wp:posOffset>
            </wp:positionH>
            <wp:positionV relativeFrom="paragraph">
              <wp:posOffset>-2296795</wp:posOffset>
            </wp:positionV>
            <wp:extent cx="60325" cy="8255"/>
            <wp:wrapNone/>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406">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-2296795</wp:posOffset>
            </wp:positionV>
            <wp:extent cx="60325" cy="8255"/>
            <wp:wrapNone/>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407">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5097145</wp:posOffset>
            </wp:positionH>
            <wp:positionV relativeFrom="paragraph">
              <wp:posOffset>-2013585</wp:posOffset>
            </wp:positionV>
            <wp:extent cx="60325" cy="8255"/>
            <wp:wrapNone/>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408">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-2013585</wp:posOffset>
            </wp:positionV>
            <wp:extent cx="60325" cy="8255"/>
            <wp:wrapNone/>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409">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5097145</wp:posOffset>
            </wp:positionH>
            <wp:positionV relativeFrom="paragraph">
              <wp:posOffset>-890905</wp:posOffset>
            </wp:positionV>
            <wp:extent cx="60325" cy="8255"/>
            <wp:wrapNone/>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410">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-890905</wp:posOffset>
            </wp:positionV>
            <wp:extent cx="60325" cy="8255"/>
            <wp:wrapNone/>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411">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5097145</wp:posOffset>
            </wp:positionH>
            <wp:positionV relativeFrom="paragraph">
              <wp:posOffset>-24765</wp:posOffset>
            </wp:positionV>
            <wp:extent cx="60325" cy="8255"/>
            <wp:wrapNone/>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412">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5097145</wp:posOffset>
            </wp:positionH>
            <wp:positionV relativeFrom="paragraph">
              <wp:posOffset>-7620</wp:posOffset>
            </wp:positionV>
            <wp:extent cx="60325" cy="8255"/>
            <wp:wrapNone/>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413">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-24765</wp:posOffset>
            </wp:positionV>
            <wp:extent cx="60325" cy="8255"/>
            <wp:wrapNone/>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414">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-7620</wp:posOffset>
            </wp:positionV>
            <wp:extent cx="60325" cy="8255"/>
            <wp:wrapNone/>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415">
                      <a:extLst>
                        <a:ext uri="{28A0092B-C50C-407E-A947-70E740481C1C}"/>
                      </a:extLst>
                    </a:blip>
                    <a:srcRect/>
                    <a:stretch>
                      <a:fillRect/>
                    </a:stretch>
                  </pic:blipFill>
                  <pic:spPr bwMode="auto">
                    <a:xfrm>
                      <a:off x="0" y="0"/>
                      <a:ext cx="60325" cy="8255"/>
                    </a:xfrm>
                    <a:prstGeom prst="rect">
                      <a:avLst/>
                    </a:prstGeom>
                    <a:noFill/>
                  </pic:spPr>
                </pic:pic>
              </a:graphicData>
            </a:graphic>
          </wp:anchor>
        </w:drawing>
      </w:r>
    </w:p>
    <w:p>
      <w:pPr>
        <w:spacing w:after="0" w:line="286"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Company had $775.9 million of U.S. NOL carryforwards as of December 31, 2024 that can be carried forward indefinitely and no U.S. NOL carryforwards as of December 31, 2023. In addition, as of December 31, 2024, the Company had $6.3 million of tax credits that will expire by 2044. The Company also had $5.9 million and $3.0 million of foreign NOL carryforwards as of December 31, 2024 and 2023, respectively. As of December 31, 2024, the Company also had gross state NOLs of $1.207 billion of which $381.1 million will expire between 2034 and 2044, and the remainder can be carried forward indefinitely.</w:t>
      </w:r>
    </w:p>
    <w:p>
      <w:pPr>
        <w:spacing w:after="0" w:line="7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Company’s valuation allowance of $0.5 million and $1.4 million at December 31, 2024 and 2023, respectively, primarily related to the Company’s deferred tax assets related to foreign tax credits in certain jurisdictions that, in the Company’s present estimation, more likely than not will not be realized.</w:t>
      </w:r>
    </w:p>
    <w:p>
      <w:pPr>
        <w:spacing w:after="0" w:line="54"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Valuation allowances have been established where the Company has concluded that it is more likely than not that such deferred tax assets are not realizable. The Company’s ability to realize its remaining deferred tax assets as of December 31, 2024 is primarily dependent upon generating sufficient taxable income of the proper character in future years. Management has concluded that there is sufficient positive evidence to support the expected realization of these deferred tax assets primarily due to the fact that the excess of the market value of the Company’s bitcoin over the cost basis of the Company’s bitcoin as of December 31, 2024 results in a significant built-in gain for tax purposes and is therefore a source of future taxable income that is expected to allow all of the U.S. net deferred tax assets to be realized. As part of the assessment of the amount of the valuation allowance, the Company considered that it has the ability and intent to execute tax planning strategies if necessary, including selling bitcoin with a built-in gain.</w:t>
      </w:r>
    </w:p>
    <w:p>
      <w:pPr>
        <w:spacing w:after="0" w:line="8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After consideration of all available evidence, the Company has concluded that, as of December 31, 2024, it is more likely than not that its deferred tax assets, with the exception of certain foreign tax credits for which a valuation allowance has been established, will be realized. If the market value of bitcoin declines in future periods, the Company would need to assess other sources of forecasted taxable income of proper character, which could result in additional valuation allowances being recorded.</w:t>
      </w:r>
    </w:p>
    <w:p>
      <w:pPr>
        <w:spacing w:after="0" w:line="180"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102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41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102" w:name="page103"/>
    <w:bookmarkEnd w:id="102"/>
    <w:p>
      <w:pPr>
        <w:jc w:val="both"/>
        <w:spacing w:after="0" w:line="266" w:lineRule="auto"/>
        <w:rPr>
          <w:sz w:val="20"/>
          <w:szCs w:val="20"/>
          <w:color w:val="auto"/>
        </w:rPr>
      </w:pPr>
      <w:r>
        <w:rPr>
          <w:rFonts w:ascii="Times New Roman" w:cs="Times New Roman" w:eastAsia="Times New Roman" w:hAnsi="Times New Roman"/>
          <w:sz w:val="18"/>
          <w:szCs w:val="18"/>
          <w:color w:val="auto"/>
        </w:rPr>
        <w:t>As of December 31, 2024, the Company had income taxes payable of $9.5 million recorded in "Accounts payable, accrued expenses, and operating lease liabilities" in the Company’s Consolidated Balance Sheets. As of December 31, 2023, the Company had income taxes receivable of $15.3 million recorded in “Prepaid expenses and other current assets” in the Company’s Consolidated Balance Sheets.</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As of December 31, 2024, the Company had gross unrecognized income tax benefits of $10.2 million, including accrued interest, $2.9 million of which was recorded in “Other long-term liabilities” and $7.3 million of which was recorded in “Deferred tax assets, net” in the Company’s Consolidated Balance Sheets. The change in unrecognized income tax benefits (in thousands) is presented in the table below for the periods indicated:</w:t>
      </w:r>
    </w:p>
    <w:p>
      <w:pPr>
        <w:spacing w:after="0" w:line="16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360" w:type="dxa"/>
            <w:vAlign w:val="bottom"/>
          </w:tcPr>
          <w:p>
            <w:pPr>
              <w:spacing w:after="0"/>
              <w:rPr>
                <w:sz w:val="15"/>
                <w:szCs w:val="15"/>
                <w:color w:val="auto"/>
              </w:rPr>
            </w:pPr>
          </w:p>
        </w:tc>
        <w:tc>
          <w:tcPr>
            <w:tcW w:w="8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2024</w:t>
            </w:r>
          </w:p>
        </w:tc>
        <w:tc>
          <w:tcPr>
            <w:tcW w:w="540" w:type="dxa"/>
            <w:vAlign w:val="bottom"/>
            <w:tcBorders>
              <w:bottom w:val="single" w:sz="8" w:color="auto"/>
            </w:tcBorders>
          </w:tcPr>
          <w:p>
            <w:pPr>
              <w:spacing w:after="0"/>
              <w:rPr>
                <w:sz w:val="15"/>
                <w:szCs w:val="15"/>
                <w:color w:val="auto"/>
              </w:rPr>
            </w:pPr>
          </w:p>
        </w:tc>
        <w:tc>
          <w:tcPr>
            <w:tcW w:w="260" w:type="dxa"/>
            <w:vAlign w:val="bottom"/>
          </w:tcPr>
          <w:p>
            <w:pPr>
              <w:spacing w:after="0"/>
              <w:rPr>
                <w:sz w:val="15"/>
                <w:szCs w:val="15"/>
                <w:color w:val="auto"/>
              </w:rPr>
            </w:pPr>
          </w:p>
        </w:tc>
        <w:tc>
          <w:tcPr>
            <w:tcW w:w="340" w:type="dxa"/>
            <w:vAlign w:val="bottom"/>
            <w:tcBorders>
              <w:bottom w:val="single" w:sz="8" w:color="auto"/>
            </w:tcBorders>
          </w:tcPr>
          <w:p>
            <w:pPr>
              <w:spacing w:after="0"/>
              <w:rPr>
                <w:sz w:val="15"/>
                <w:szCs w:val="15"/>
                <w:color w:val="auto"/>
              </w:rPr>
            </w:pPr>
          </w:p>
        </w:tc>
        <w:tc>
          <w:tcPr>
            <w:tcW w:w="1080" w:type="dxa"/>
            <w:vAlign w:val="bottom"/>
            <w:tcBorders>
              <w:bottom w:val="single" w:sz="8" w:color="auto"/>
            </w:tcBorders>
          </w:tcPr>
          <w:p>
            <w:pPr>
              <w:jc w:val="right"/>
              <w:ind w:right="492"/>
              <w:spacing w:after="0"/>
              <w:rPr>
                <w:sz w:val="20"/>
                <w:szCs w:val="20"/>
                <w:color w:val="auto"/>
              </w:rPr>
            </w:pPr>
            <w:r>
              <w:rPr>
                <w:rFonts w:ascii="Times New Roman" w:cs="Times New Roman" w:eastAsia="Times New Roman" w:hAnsi="Times New Roman"/>
                <w:sz w:val="14"/>
                <w:szCs w:val="14"/>
                <w:b w:val="1"/>
                <w:bCs w:val="1"/>
                <w:color w:val="auto"/>
              </w:rPr>
              <w:t>2023</w:t>
            </w:r>
          </w:p>
        </w:tc>
        <w:tc>
          <w:tcPr>
            <w:tcW w:w="260" w:type="dxa"/>
            <w:vAlign w:val="bottom"/>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1100" w:type="dxa"/>
            <w:vAlign w:val="bottom"/>
            <w:tcBorders>
              <w:bottom w:val="single" w:sz="8" w:color="auto"/>
            </w:tcBorders>
          </w:tcPr>
          <w:p>
            <w:pPr>
              <w:jc w:val="right"/>
              <w:ind w:right="492"/>
              <w:spacing w:after="0"/>
              <w:rPr>
                <w:sz w:val="20"/>
                <w:szCs w:val="20"/>
                <w:color w:val="auto"/>
              </w:rPr>
            </w:pPr>
            <w:r>
              <w:rPr>
                <w:rFonts w:ascii="Times New Roman" w:cs="Times New Roman" w:eastAsia="Times New Roman" w:hAnsi="Times New Roman"/>
                <w:sz w:val="14"/>
                <w:szCs w:val="14"/>
                <w:b w:val="1"/>
                <w:bCs w:val="1"/>
                <w:color w:val="auto"/>
              </w:rPr>
              <w:t>2022</w:t>
            </w:r>
          </w:p>
        </w:tc>
        <w:tc>
          <w:tcPr>
            <w:tcW w:w="100" w:type="dxa"/>
            <w:vAlign w:val="bottom"/>
          </w:tcPr>
          <w:p>
            <w:pPr>
              <w:spacing w:after="0"/>
              <w:rPr>
                <w:sz w:val="15"/>
                <w:szCs w:val="15"/>
                <w:color w:val="auto"/>
              </w:rPr>
            </w:pPr>
          </w:p>
        </w:tc>
      </w:tr>
      <w:tr>
        <w:trPr>
          <w:trHeight w:val="209"/>
        </w:trPr>
        <w:tc>
          <w:tcPr>
            <w:tcW w:w="63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Unrecognized income tax benefits at beginning of year</w:t>
            </w:r>
          </w:p>
        </w:tc>
        <w:tc>
          <w:tcPr>
            <w:tcW w:w="880" w:type="dxa"/>
            <w:vAlign w:val="bottom"/>
            <w:shd w:val="clear" w:color="auto" w:fill="CFF0FC"/>
          </w:tcPr>
          <w:p>
            <w:pPr>
              <w:jc w:val="right"/>
              <w:ind w:right="676"/>
              <w:spacing w:after="0"/>
              <w:rPr>
                <w:sz w:val="20"/>
                <w:szCs w:val="20"/>
                <w:color w:val="auto"/>
              </w:rPr>
            </w:pPr>
            <w:r>
              <w:rPr>
                <w:rFonts w:ascii="Times New Roman" w:cs="Times New Roman" w:eastAsia="Times New Roman" w:hAnsi="Times New Roman"/>
                <w:sz w:val="18"/>
                <w:szCs w:val="18"/>
                <w:color w:val="auto"/>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7,898</w:t>
            </w:r>
          </w:p>
        </w:tc>
        <w:tc>
          <w:tcPr>
            <w:tcW w:w="260" w:type="dxa"/>
            <w:vAlign w:val="bottom"/>
            <w:shd w:val="clear" w:color="auto" w:fill="CFF0FC"/>
          </w:tcPr>
          <w:p>
            <w:pPr>
              <w:spacing w:after="0"/>
              <w:rPr>
                <w:sz w:val="18"/>
                <w:szCs w:val="18"/>
                <w:color w:val="auto"/>
              </w:rPr>
            </w:pPr>
          </w:p>
        </w:tc>
        <w:tc>
          <w:tcPr>
            <w:tcW w:w="340" w:type="dxa"/>
            <w:vAlign w:val="bottom"/>
            <w:shd w:val="clear" w:color="auto" w:fill="CFF0FC"/>
          </w:tcPr>
          <w:p>
            <w:pPr>
              <w:jc w:val="right"/>
              <w:ind w:right="150"/>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5,811</w:t>
            </w:r>
          </w:p>
        </w:tc>
        <w:tc>
          <w:tcPr>
            <w:tcW w:w="260" w:type="dxa"/>
            <w:vAlign w:val="bottom"/>
            <w:shd w:val="clear" w:color="auto" w:fill="CFF0FC"/>
          </w:tcPr>
          <w:p>
            <w:pPr>
              <w:spacing w:after="0"/>
              <w:rPr>
                <w:sz w:val="18"/>
                <w:szCs w:val="18"/>
                <w:color w:val="auto"/>
              </w:rPr>
            </w:pPr>
          </w:p>
        </w:tc>
        <w:tc>
          <w:tcPr>
            <w:tcW w:w="320" w:type="dxa"/>
            <w:vAlign w:val="bottom"/>
            <w:shd w:val="clear" w:color="auto" w:fill="CFF0FC"/>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5,960</w:t>
            </w:r>
          </w:p>
        </w:tc>
        <w:tc>
          <w:tcPr>
            <w:tcW w:w="100" w:type="dxa"/>
            <w:vAlign w:val="bottom"/>
            <w:shd w:val="clear" w:color="auto" w:fill="CFF0FC"/>
          </w:tcPr>
          <w:p>
            <w:pPr>
              <w:spacing w:after="0"/>
              <w:rPr>
                <w:sz w:val="18"/>
                <w:szCs w:val="18"/>
                <w:color w:val="auto"/>
              </w:rPr>
            </w:pPr>
          </w:p>
        </w:tc>
      </w:tr>
      <w:tr>
        <w:trPr>
          <w:trHeight w:val="216"/>
        </w:trPr>
        <w:tc>
          <w:tcPr>
            <w:tcW w:w="6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Increase (decrease) related to positions taken in prior period</w:t>
            </w:r>
          </w:p>
        </w:tc>
        <w:tc>
          <w:tcPr>
            <w:tcW w:w="880" w:type="dxa"/>
            <w:vAlign w:val="bottom"/>
          </w:tcPr>
          <w:p>
            <w:pPr>
              <w:spacing w:after="0"/>
              <w:rPr>
                <w:sz w:val="18"/>
                <w:szCs w:val="18"/>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216</w:t>
            </w:r>
          </w:p>
        </w:tc>
        <w:tc>
          <w:tcPr>
            <w:tcW w:w="26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1,458</w:t>
            </w:r>
          </w:p>
        </w:tc>
        <w:tc>
          <w:tcPr>
            <w:tcW w:w="2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2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(67 )</w:t>
            </w:r>
          </w:p>
        </w:tc>
      </w:tr>
      <w:tr>
        <w:trPr>
          <w:trHeight w:val="216"/>
        </w:trPr>
        <w:tc>
          <w:tcPr>
            <w:tcW w:w="63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Increase related to positions taken in current period</w:t>
            </w:r>
          </w:p>
        </w:tc>
        <w:tc>
          <w:tcPr>
            <w:tcW w:w="880" w:type="dxa"/>
            <w:vAlign w:val="bottom"/>
            <w:shd w:val="clear" w:color="auto" w:fill="CFF0FC"/>
          </w:tcPr>
          <w:p>
            <w:pPr>
              <w:spacing w:after="0"/>
              <w:rPr>
                <w:sz w:val="18"/>
                <w:szCs w:val="18"/>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2,898</w:t>
            </w:r>
          </w:p>
        </w:tc>
        <w:tc>
          <w:tcPr>
            <w:tcW w:w="260" w:type="dxa"/>
            <w:vAlign w:val="bottom"/>
            <w:shd w:val="clear" w:color="auto" w:fill="CFF0FC"/>
          </w:tcPr>
          <w:p>
            <w:pPr>
              <w:spacing w:after="0"/>
              <w:rPr>
                <w:sz w:val="18"/>
                <w:szCs w:val="18"/>
                <w:color w:val="auto"/>
              </w:rPr>
            </w:pPr>
          </w:p>
        </w:tc>
        <w:tc>
          <w:tcPr>
            <w:tcW w:w="340" w:type="dxa"/>
            <w:vAlign w:val="bottom"/>
            <w:shd w:val="clear" w:color="auto" w:fill="CFF0FC"/>
          </w:tcPr>
          <w:p>
            <w:pPr>
              <w:spacing w:after="0"/>
              <w:rPr>
                <w:sz w:val="18"/>
                <w:szCs w:val="18"/>
                <w:color w:val="auto"/>
              </w:rPr>
            </w:pP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930</w:t>
            </w:r>
          </w:p>
        </w:tc>
        <w:tc>
          <w:tcPr>
            <w:tcW w:w="26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318</w:t>
            </w:r>
          </w:p>
        </w:tc>
        <w:tc>
          <w:tcPr>
            <w:tcW w:w="100" w:type="dxa"/>
            <w:vAlign w:val="bottom"/>
            <w:shd w:val="clear" w:color="auto" w:fill="CFF0FC"/>
          </w:tcPr>
          <w:p>
            <w:pPr>
              <w:spacing w:after="0"/>
              <w:rPr>
                <w:sz w:val="18"/>
                <w:szCs w:val="18"/>
                <w:color w:val="auto"/>
              </w:rPr>
            </w:pPr>
          </w:p>
        </w:tc>
      </w:tr>
      <w:tr>
        <w:trPr>
          <w:trHeight w:val="216"/>
        </w:trPr>
        <w:tc>
          <w:tcPr>
            <w:tcW w:w="6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Decrease related to settlement with tax authorities</w:t>
            </w:r>
          </w:p>
        </w:tc>
        <w:tc>
          <w:tcPr>
            <w:tcW w:w="880" w:type="dxa"/>
            <w:vAlign w:val="bottom"/>
          </w:tcPr>
          <w:p>
            <w:pPr>
              <w:spacing w:after="0"/>
              <w:rPr>
                <w:sz w:val="18"/>
                <w:szCs w:val="18"/>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6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6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2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(40 )</w:t>
            </w:r>
          </w:p>
        </w:tc>
      </w:tr>
      <w:tr>
        <w:trPr>
          <w:trHeight w:val="216"/>
        </w:trPr>
        <w:tc>
          <w:tcPr>
            <w:tcW w:w="63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Decrease related to expiration of statute of limitations</w:t>
            </w:r>
          </w:p>
        </w:tc>
        <w:tc>
          <w:tcPr>
            <w:tcW w:w="880" w:type="dxa"/>
            <w:vAlign w:val="bottom"/>
            <w:shd w:val="clear" w:color="auto" w:fill="CFF0FC"/>
          </w:tcPr>
          <w:p>
            <w:pPr>
              <w:spacing w:after="0"/>
              <w:rPr>
                <w:sz w:val="18"/>
                <w:szCs w:val="18"/>
                <w:color w:val="auto"/>
              </w:rPr>
            </w:pPr>
          </w:p>
        </w:tc>
        <w:tc>
          <w:tcPr>
            <w:tcW w:w="80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(959 )</w:t>
            </w:r>
          </w:p>
        </w:tc>
        <w:tc>
          <w:tcPr>
            <w:tcW w:w="340" w:type="dxa"/>
            <w:vAlign w:val="bottom"/>
            <w:shd w:val="clear" w:color="auto" w:fill="CFF0FC"/>
          </w:tcPr>
          <w:p>
            <w:pPr>
              <w:spacing w:after="0"/>
              <w:rPr>
                <w:sz w:val="18"/>
                <w:szCs w:val="18"/>
                <w:color w:val="auto"/>
              </w:rPr>
            </w:pPr>
          </w:p>
        </w:tc>
        <w:tc>
          <w:tcPr>
            <w:tcW w:w="134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(301 )</w:t>
            </w:r>
          </w:p>
        </w:tc>
        <w:tc>
          <w:tcPr>
            <w:tcW w:w="320" w:type="dxa"/>
            <w:vAlign w:val="bottom"/>
            <w:shd w:val="clear" w:color="auto" w:fill="CFF0FC"/>
          </w:tcPr>
          <w:p>
            <w:pPr>
              <w:spacing w:after="0"/>
              <w:rPr>
                <w:sz w:val="18"/>
                <w:szCs w:val="18"/>
                <w:color w:val="auto"/>
              </w:rPr>
            </w:pPr>
          </w:p>
        </w:tc>
        <w:tc>
          <w:tcPr>
            <w:tcW w:w="12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(360 )</w:t>
            </w:r>
          </w:p>
        </w:tc>
      </w:tr>
      <w:tr>
        <w:trPr>
          <w:trHeight w:val="210"/>
        </w:trPr>
        <w:tc>
          <w:tcPr>
            <w:tcW w:w="6360" w:type="dxa"/>
            <w:vAlign w:val="bottom"/>
            <w:tcBorders>
              <w:top w:val="single" w:sz="8" w:color="CFF0FC"/>
            </w:tcBorders>
          </w:tcPr>
          <w:p>
            <w:pPr>
              <w:ind w:left="200"/>
              <w:spacing w:after="0"/>
              <w:rPr>
                <w:sz w:val="20"/>
                <w:szCs w:val="20"/>
                <w:color w:val="auto"/>
              </w:rPr>
            </w:pPr>
            <w:r>
              <w:rPr>
                <w:rFonts w:ascii="Times New Roman" w:cs="Times New Roman" w:eastAsia="Times New Roman" w:hAnsi="Times New Roman"/>
                <w:sz w:val="18"/>
                <w:szCs w:val="18"/>
                <w:color w:val="auto"/>
              </w:rPr>
              <w:t>Unrecognized income tax benefits at end of year</w:t>
            </w:r>
          </w:p>
        </w:tc>
        <w:tc>
          <w:tcPr>
            <w:tcW w:w="880" w:type="dxa"/>
            <w:vAlign w:val="bottom"/>
            <w:tcBorders>
              <w:top w:val="single" w:sz="8" w:color="auto"/>
            </w:tcBorders>
          </w:tcPr>
          <w:p>
            <w:pPr>
              <w:spacing w:after="0"/>
              <w:rPr>
                <w:sz w:val="18"/>
                <w:szCs w:val="18"/>
                <w:color w:val="auto"/>
              </w:rPr>
            </w:pPr>
          </w:p>
        </w:tc>
        <w:tc>
          <w:tcPr>
            <w:tcW w:w="5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10,053</w:t>
            </w:r>
          </w:p>
        </w:tc>
        <w:tc>
          <w:tcPr>
            <w:tcW w:w="260" w:type="dxa"/>
            <w:vAlign w:val="bottom"/>
            <w:tcBorders>
              <w:top w:val="single" w:sz="8" w:color="CFF0FC"/>
            </w:tcBorders>
          </w:tcPr>
          <w:p>
            <w:pPr>
              <w:spacing w:after="0"/>
              <w:rPr>
                <w:sz w:val="18"/>
                <w:szCs w:val="18"/>
                <w:color w:val="auto"/>
              </w:rPr>
            </w:pPr>
          </w:p>
        </w:tc>
        <w:tc>
          <w:tcPr>
            <w:tcW w:w="340" w:type="dxa"/>
            <w:vAlign w:val="bottom"/>
            <w:tcBorders>
              <w:top w:val="single" w:sz="8" w:color="auto"/>
            </w:tcBorders>
          </w:tcPr>
          <w:p>
            <w:pPr>
              <w:spacing w:after="0"/>
              <w:rPr>
                <w:sz w:val="18"/>
                <w:szCs w:val="18"/>
                <w:color w:val="auto"/>
              </w:rPr>
            </w:pPr>
          </w:p>
        </w:tc>
        <w:tc>
          <w:tcPr>
            <w:tcW w:w="10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7,898</w:t>
            </w:r>
          </w:p>
        </w:tc>
        <w:tc>
          <w:tcPr>
            <w:tcW w:w="260" w:type="dxa"/>
            <w:vAlign w:val="bottom"/>
            <w:tcBorders>
              <w:top w:val="single" w:sz="8" w:color="CFF0FC"/>
            </w:tcBorders>
          </w:tcPr>
          <w:p>
            <w:pPr>
              <w:spacing w:after="0"/>
              <w:rPr>
                <w:sz w:val="18"/>
                <w:szCs w:val="18"/>
                <w:color w:val="auto"/>
              </w:rPr>
            </w:pPr>
          </w:p>
        </w:tc>
        <w:tc>
          <w:tcPr>
            <w:tcW w:w="320" w:type="dxa"/>
            <w:vAlign w:val="bottom"/>
            <w:tcBorders>
              <w:top w:val="single" w:sz="8" w:color="auto"/>
            </w:tcBorders>
          </w:tcPr>
          <w:p>
            <w:pPr>
              <w:spacing w:after="0"/>
              <w:rPr>
                <w:sz w:val="18"/>
                <w:szCs w:val="18"/>
                <w:color w:val="auto"/>
              </w:rPr>
            </w:pPr>
          </w:p>
        </w:tc>
        <w:tc>
          <w:tcPr>
            <w:tcW w:w="11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5,811</w:t>
            </w:r>
          </w:p>
        </w:tc>
        <w:tc>
          <w:tcPr>
            <w:tcW w:w="100" w:type="dxa"/>
            <w:vAlign w:val="bottom"/>
            <w:tcBorders>
              <w:top w:val="single" w:sz="8" w:color="CFF0FC"/>
            </w:tcBorders>
          </w:tcPr>
          <w:p>
            <w:pPr>
              <w:spacing w:after="0"/>
              <w:rPr>
                <w:sz w:val="18"/>
                <w:szCs w:val="18"/>
                <w:color w:val="auto"/>
              </w:rPr>
            </w:pPr>
          </w:p>
        </w:tc>
      </w:tr>
      <w:tr>
        <w:trPr>
          <w:trHeight w:val="216"/>
        </w:trPr>
        <w:tc>
          <w:tcPr>
            <w:tcW w:w="636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Accrued interest</w:t>
            </w:r>
          </w:p>
        </w:tc>
        <w:tc>
          <w:tcPr>
            <w:tcW w:w="880" w:type="dxa"/>
            <w:vAlign w:val="bottom"/>
            <w:tcBorders>
              <w:bottom w:val="single" w:sz="8" w:color="auto"/>
            </w:tcBorders>
            <w:shd w:val="clear" w:color="auto" w:fill="CFF0FC"/>
          </w:tcPr>
          <w:p>
            <w:pPr>
              <w:spacing w:after="0"/>
              <w:rPr>
                <w:sz w:val="18"/>
                <w:szCs w:val="18"/>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195</w:t>
            </w:r>
          </w:p>
        </w:tc>
        <w:tc>
          <w:tcPr>
            <w:tcW w:w="260" w:type="dxa"/>
            <w:vAlign w:val="bottom"/>
            <w:tcBorders>
              <w:bottom w:val="single" w:sz="8" w:color="CFF0FC"/>
            </w:tcBorders>
            <w:shd w:val="clear" w:color="auto" w:fill="CFF0FC"/>
          </w:tcPr>
          <w:p>
            <w:pPr>
              <w:spacing w:after="0"/>
              <w:rPr>
                <w:sz w:val="18"/>
                <w:szCs w:val="18"/>
                <w:color w:val="auto"/>
              </w:rPr>
            </w:pPr>
          </w:p>
        </w:tc>
        <w:tc>
          <w:tcPr>
            <w:tcW w:w="340" w:type="dxa"/>
            <w:vAlign w:val="bottom"/>
            <w:tcBorders>
              <w:bottom w:val="single" w:sz="8" w:color="auto"/>
            </w:tcBorders>
            <w:shd w:val="clear" w:color="auto" w:fill="CFF0FC"/>
          </w:tcPr>
          <w:p>
            <w:pPr>
              <w:spacing w:after="0"/>
              <w:rPr>
                <w:sz w:val="18"/>
                <w:szCs w:val="18"/>
                <w:color w:val="auto"/>
              </w:rPr>
            </w:pPr>
          </w:p>
        </w:tc>
        <w:tc>
          <w:tcPr>
            <w:tcW w:w="10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352</w:t>
            </w:r>
          </w:p>
        </w:tc>
        <w:tc>
          <w:tcPr>
            <w:tcW w:w="26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1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276</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3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Gross unrecognized income tax benefits at end of year</w:t>
            </w:r>
          </w:p>
        </w:tc>
        <w:tc>
          <w:tcPr>
            <w:tcW w:w="880" w:type="dxa"/>
            <w:vAlign w:val="bottom"/>
            <w:tcBorders>
              <w:bottom w:val="single" w:sz="8" w:color="auto"/>
            </w:tcBorders>
          </w:tcPr>
          <w:p>
            <w:pPr>
              <w:jc w:val="right"/>
              <w:ind w:right="676"/>
              <w:spacing w:after="0"/>
              <w:rPr>
                <w:sz w:val="20"/>
                <w:szCs w:val="20"/>
                <w:color w:val="auto"/>
              </w:rPr>
            </w:pPr>
            <w:r>
              <w:rPr>
                <w:rFonts w:ascii="Times New Roman" w:cs="Times New Roman" w:eastAsia="Times New Roman" w:hAnsi="Times New Roman"/>
                <w:sz w:val="18"/>
                <w:szCs w:val="18"/>
                <w:color w:val="auto"/>
              </w:rPr>
              <w:t>$</w:t>
            </w: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10,248</w:t>
            </w:r>
          </w:p>
        </w:tc>
        <w:tc>
          <w:tcPr>
            <w:tcW w:w="260" w:type="dxa"/>
            <w:vAlign w:val="bottom"/>
          </w:tcPr>
          <w:p>
            <w:pPr>
              <w:spacing w:after="0"/>
              <w:rPr>
                <w:sz w:val="18"/>
                <w:szCs w:val="18"/>
                <w:color w:val="auto"/>
              </w:rPr>
            </w:pPr>
          </w:p>
        </w:tc>
        <w:tc>
          <w:tcPr>
            <w:tcW w:w="340" w:type="dxa"/>
            <w:vAlign w:val="bottom"/>
            <w:tcBorders>
              <w:bottom w:val="single" w:sz="8" w:color="auto"/>
            </w:tcBorders>
          </w:tcPr>
          <w:p>
            <w:pPr>
              <w:jc w:val="right"/>
              <w:ind w:right="150"/>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8,250</w:t>
            </w:r>
          </w:p>
        </w:tc>
        <w:tc>
          <w:tcPr>
            <w:tcW w:w="260" w:type="dxa"/>
            <w:vAlign w:val="bottom"/>
          </w:tcPr>
          <w:p>
            <w:pPr>
              <w:spacing w:after="0"/>
              <w:rPr>
                <w:sz w:val="18"/>
                <w:szCs w:val="18"/>
                <w:color w:val="auto"/>
              </w:rPr>
            </w:pPr>
          </w:p>
        </w:tc>
        <w:tc>
          <w:tcPr>
            <w:tcW w:w="320" w:type="dxa"/>
            <w:vAlign w:val="bottom"/>
            <w:tcBorders>
              <w:bottom w:val="single" w:sz="8" w:color="auto"/>
            </w:tcBorders>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1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6,087</w:t>
            </w:r>
          </w:p>
        </w:tc>
        <w:tc>
          <w:tcPr>
            <w:tcW w:w="100" w:type="dxa"/>
            <w:vAlign w:val="bottom"/>
          </w:tcPr>
          <w:p>
            <w:pPr>
              <w:spacing w:after="0"/>
              <w:rPr>
                <w:sz w:val="18"/>
                <w:szCs w:val="18"/>
                <w:color w:val="auto"/>
              </w:rPr>
            </w:pPr>
          </w:p>
        </w:tc>
      </w:tr>
      <w:tr>
        <w:trPr>
          <w:trHeight w:val="20"/>
        </w:trPr>
        <w:tc>
          <w:tcPr>
            <w:tcW w:w="6360" w:type="dxa"/>
            <w:vAlign w:val="bottom"/>
          </w:tcPr>
          <w:p>
            <w:pPr>
              <w:spacing w:after="0" w:line="20" w:lineRule="exact"/>
              <w:rPr>
                <w:sz w:val="1"/>
                <w:szCs w:val="1"/>
                <w:color w:val="auto"/>
              </w:rPr>
            </w:pPr>
          </w:p>
        </w:tc>
        <w:tc>
          <w:tcPr>
            <w:tcW w:w="880" w:type="dxa"/>
            <w:vAlign w:val="bottom"/>
            <w:tcBorders>
              <w:bottom w:val="single" w:sz="8" w:color="auto"/>
            </w:tcBorders>
          </w:tcPr>
          <w:p>
            <w:pPr>
              <w:spacing w:after="0" w:line="20" w:lineRule="exact"/>
              <w:rPr>
                <w:sz w:val="1"/>
                <w:szCs w:val="1"/>
                <w:color w:val="auto"/>
              </w:rPr>
            </w:pPr>
          </w:p>
        </w:tc>
        <w:tc>
          <w:tcPr>
            <w:tcW w:w="540" w:type="dxa"/>
            <w:vAlign w:val="bottom"/>
            <w:tcBorders>
              <w:bottom w:val="single" w:sz="8" w:color="auto"/>
            </w:tcBorders>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340" w:type="dxa"/>
            <w:vAlign w:val="bottom"/>
            <w:tcBorders>
              <w:bottom w:val="single" w:sz="8" w:color="auto"/>
            </w:tcBorders>
          </w:tcPr>
          <w:p>
            <w:pPr>
              <w:spacing w:after="0" w:line="20" w:lineRule="exact"/>
              <w:rPr>
                <w:sz w:val="1"/>
                <w:szCs w:val="1"/>
                <w:color w:val="auto"/>
              </w:rPr>
            </w:pPr>
          </w:p>
        </w:tc>
        <w:tc>
          <w:tcPr>
            <w:tcW w:w="1080" w:type="dxa"/>
            <w:vAlign w:val="bottom"/>
            <w:tcBorders>
              <w:bottom w:val="single" w:sz="8" w:color="auto"/>
            </w:tcBorders>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10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4942840</wp:posOffset>
            </wp:positionH>
            <wp:positionV relativeFrom="paragraph">
              <wp:posOffset>-454025</wp:posOffset>
            </wp:positionV>
            <wp:extent cx="68580" cy="8255"/>
            <wp:wrapNone/>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41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-454025</wp:posOffset>
            </wp:positionV>
            <wp:extent cx="68580" cy="8255"/>
            <wp:wrapNone/>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41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-454025</wp:posOffset>
            </wp:positionV>
            <wp:extent cx="68580" cy="8255"/>
            <wp:wrapNone/>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41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4942840</wp:posOffset>
            </wp:positionH>
            <wp:positionV relativeFrom="paragraph">
              <wp:posOffset>-170815</wp:posOffset>
            </wp:positionV>
            <wp:extent cx="68580" cy="8255"/>
            <wp:wrapNone/>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42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6005830</wp:posOffset>
            </wp:positionH>
            <wp:positionV relativeFrom="paragraph">
              <wp:posOffset>-170815</wp:posOffset>
            </wp:positionV>
            <wp:extent cx="68580" cy="8255"/>
            <wp:wrapNone/>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42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-170815</wp:posOffset>
            </wp:positionV>
            <wp:extent cx="68580" cy="8255"/>
            <wp:wrapNone/>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422">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218"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If recognized, $10.0 million of the gross unrecognized income tax benefits as of December 31, 2024 would impact the Company’s effective tax rate. Over the next 12 months, the amount of the Company’s liability for unrecognized income tax benefits shown above is not expected to change materially. The Company recognizes estimated accrued interest related to unrecognized income tax benefits in the (benefit from) provision for income taxes. During the years ended December 31, 2024, 2023, and 2022, the Company released or recognized an immaterial amount of accrued interest. The amount of accumulated accrued interest related to the above unrecognized income tax benefits was approximately $0.2 million and $0.4 million as of December 31, 2024 and 2023, respectively.</w:t>
      </w:r>
    </w:p>
    <w:p>
      <w:pPr>
        <w:spacing w:after="0" w:line="7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Company files tax returns in numerous foreign countries as well as the United States and its tax returns may be subject to audit by tax authorities in all countries in which it files. Each country has its own statute of limitations for making assessment of additional tax liabilities. The Company’s U.S. tax returns for tax years from 2021 and forward are subject to potential examination by the Internal Revenue Service. However, due to the Company’s use of state NOL carryovers in the United States, state tax authorities may attempt to reduce or fully offset the amount of state NOL carryovers from tax years ended 2011 and forward that the Company used in later tax years. The Company’s major foreign tax jurisdictions and the tax years that remain subject to potential examination are Italy and Poland for tax years 2020 and forward; and Spain, Germany, and the United Kingdom for tax years 2021 and forward. To date there have been no material audit assessments related to audits in the United States or any of the applicable foreign jurisdictions.</w:t>
      </w:r>
    </w:p>
    <w:p>
      <w:pPr>
        <w:spacing w:after="0" w:line="81"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The U.S. enacted the IRA in August 2022. Among other things, unless an exemption by statute or regulation applies, a provision of the IRA imposes a 15% CAMT on a corporation with respect to an initial tax year and subsequent tax years, if the average annual adjusted financial statement income for any consecutive three-tax-year period preceding the initial tax year exceeds $1 billion. On September 12, 2024, the Department of Treasury and the Internal Revenue Service issued proposed regulations with respect to the application of the CAMT. Due to the Company’s adoption of ASU 2023-08, the Company is required to recognize a cumulative-effect adjustment of $12.745 billion to the opening balance of its retained earnings as of January 1, 2025. The Company will additionally be required to recognize unrealized gains or losses from changes in the fair value of digital assets in future reporting periods as income or losses. For purposes of calculating the adjusted financial statement income, the Company will be required to ratably allocate from 2025 through 2028 the increase to the Company’s retained earnings. When determining whether the Company is subject to CAMT and when calculating any related tax liability for an applicable tax year, the proposed regulations provide that, among other adjustments, the Company’s adjusted financial statement income must include this ratable amount in addition to any unrealized gains or losses reported in the applicable tax year. Accordingly, as a result of the enactment of the IRA and the Company’s adoption of ASU 2023-08 on January 1, 2025, unless the IRA is amended or the proposed regulations, when finalized, are revised to provide relief (or other interim relief is granted), the Company could become subject to CAMT in the tax years 2026 and beyond. If the Company becomes subject to the CAMT, it could result in a material tax obligation that the Company would need to satisfy in cash, which could materially affect its financial results, including its earnings and cash flow, and its financial condition.</w:t>
      </w:r>
    </w:p>
    <w:p>
      <w:pPr>
        <w:spacing w:after="0" w:line="200" w:lineRule="exact"/>
        <w:rPr>
          <w:sz w:val="20"/>
          <w:szCs w:val="20"/>
          <w:color w:val="auto"/>
        </w:rPr>
      </w:pPr>
    </w:p>
    <w:p>
      <w:pPr>
        <w:spacing w:after="0" w:line="20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(11) Share-based Compensation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Stock Incentive Plans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On May 24, 2023, the Company’s stockholders approved the Company’s 2023 Equity Plan, which became effective as of such date. No awards may be granted under the 2023 Equity Plan more than 10 years after the 2023 Equity Plan’s effective date. No new awards will</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103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42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103" w:name="page104"/>
    <w:bookmarkEnd w:id="103"/>
    <w:p>
      <w:pPr>
        <w:jc w:val="both"/>
        <w:spacing w:after="0" w:line="255" w:lineRule="auto"/>
        <w:rPr>
          <w:sz w:val="20"/>
          <w:szCs w:val="20"/>
          <w:color w:val="auto"/>
        </w:rPr>
      </w:pPr>
      <w:r>
        <w:rPr>
          <w:rFonts w:ascii="Times New Roman" w:cs="Times New Roman" w:eastAsia="Times New Roman" w:hAnsi="Times New Roman"/>
          <w:sz w:val="18"/>
          <w:szCs w:val="18"/>
          <w:color w:val="auto"/>
        </w:rPr>
        <w:t>be granted under the Company’s 2013 Equity Plan, though awards previously granted under the 2013 Equity Plan remain outstanding in accordance with their terms. Under the Stock Incentive Plans, the Company’s employees, officers, directors, and other eligible participants may be (with respect to the 2023 Equity Plan) and have been (with respect to both the 2023 Equity Plan and the 2013 Equity Plan) awarded various types of share-based compensation, including options to purchase shares of the Company’s class A common stock, restricted stock units, and other stock-based awards. Additionally, under the 2023 Equity Plan, awards may be and have been granted that are subject to the achievement of one or more performance measures established by the Company’s Board of Directors or a duly authorized committee thereof. Any shares issued under the Stock Incentive Plans may consist in whole or in part of authorized but unissued shares or treasury shares.</w:t>
      </w:r>
    </w:p>
    <w:p>
      <w:pPr>
        <w:spacing w:after="0" w:line="8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An aggregate of up to 19,327,030 shares of the Company’s class A common stock were initially authorized for issuance under the 2023 Equity Plan, comprised of (i) 2,000,000 shares of the Company’s class A common stock authorized under the 2023 Equity Plan and (ii) up to an aggregate of 17,327,030 shares of the Company’s class A common stock consisting of: (a) the shares of class A common stock reserved for issuance under the 2013 Equity Plan that remained available for grant as of May 23, 2023, and (b) shares of class A common stock subject to awards granted under the 2013 Equity Plan that were outstanding as of May 23, 2023 and which subsequently expire, terminate or are otherwise surrendered, cancelled or forfeited or repurchased by the Company at their original issuance price pursuant to a contractual repurchase right, including shares subject to awards granted under the 2013 Equity Plan that are delivered (either by actual delivery, attestation or net exercise) to the Company by a participant to (x) purchase shares upon the exercise of such award or (y) satisfy tax withholding obligations with respect to such awards, including shares retained from the award creating the tax obligation, subject, in the case of incentive stock options, to any limitations under the Internal Revenue Code of 1986, as amended. As of December 31, 2024, there were 2,608,540 shares of class A common stock reserved and available for future issuance under the 2023 Equity Plan.</w:t>
      </w:r>
    </w:p>
    <w:p>
      <w:pPr>
        <w:spacing w:after="0" w:line="86"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determining related share-based compensation expense for any award under the Stock Incentive Plans, the Company has made an accounting policy election to account for forfeitures of awards as they occur and therefore share-based compensation expense presented below has not been adjusted for any estimated forfeitures.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Stock option awards</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Stock options granted under the Stock Incentive Plans must have an exercise price equal to at least the fair market value of the Company’s class A common stock on the date of grant, become exercisable as established by the Board of Directors or the Compensation Committee, and expire no later than 10 years following the date of grant. The Company recognizes share-based compensation expense associated with such stock option awards on a straight-line basis over the award’s requisite service period (generally, the vesting period). With the exception of stock option awards to non-employee members of the Company’s Board of Directors under the 2023 Equity Plan, which vest in full after one year, the stock option awards granted to date vest in equal annual installments over an approximately four-year vesting period (unless accelerated in connection with a change in control event under specified conditions as set forth in the applicable option agreement or otherwise in accordance with provisions of the Stock Incentive Plans).</w:t>
      </w:r>
    </w:p>
    <w:p>
      <w:pPr>
        <w:spacing w:after="0" w:line="8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Share-based compensation expense related to stock option awards is based on the fair value of the stock option awards on the date of grant, as estimated using the Black-Scholes valuation model. The Black-Scholes valuation model requires the input of certain management assumptions, including the expected term, expected stock price volatility, risk-free interest rate, and expected dividend yield. The Company estimates the term over which option holders are expected to hold their stock options by using the simplified method for “plain-vanilla” stock option awards because the Company’s stock option exercise history does not provide a reasonable basis to compute the expected term for stock options granted under the Stock Incentive Plans. The Company primarily relies on historical stock price volatility using a simple average calculation method to estimate the expected stock price volatility over the expected term. The volatility assumption may be further adjusted to incorporate implied volatility if such impact would be significant to the overall fair value estimate. The risk-free interest rate is based on U.S. Treasury securities with terms that approximate the expected term of the stock options. The expected dividend yield is zero, as the Company has not previously declared cash dividends and does not currently intend to declare cash dividends on its class A common stock in the foreseeable future. These assumptions are based on management’s best judgment, and changes to these assumptions could materially affect the fair value estimates and amount of share-based compensation expense recognized.</w:t>
      </w:r>
    </w:p>
    <w:p>
      <w:pPr>
        <w:spacing w:after="0" w:line="19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104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42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104" w:name="page105"/>
    <w:bookmarkEnd w:id="104"/>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As of December 31, 2024, there were options to purchase 4,956,022 shares of class A common stock outstanding under the Stock Incentive Plans. The following table summarizes the Company’s stock option activity (in thousands, except per share data and years) for the periods indicated:</w:t>
      </w:r>
    </w:p>
    <w:p>
      <w:pPr>
        <w:spacing w:after="0" w:line="20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4180" w:type="dxa"/>
            <w:vAlign w:val="bottom"/>
          </w:tcPr>
          <w:p>
            <w:pPr>
              <w:spacing w:after="0"/>
              <w:rPr>
                <w:sz w:val="15"/>
                <w:szCs w:val="15"/>
                <w:color w:val="auto"/>
              </w:rPr>
            </w:pPr>
          </w:p>
        </w:tc>
        <w:tc>
          <w:tcPr>
            <w:tcW w:w="980" w:type="dxa"/>
            <w:vAlign w:val="bottom"/>
            <w:tcBorders>
              <w:bottom w:val="single" w:sz="8" w:color="auto"/>
            </w:tcBorders>
          </w:tcPr>
          <w:p>
            <w:pPr>
              <w:spacing w:after="0"/>
              <w:rPr>
                <w:sz w:val="15"/>
                <w:szCs w:val="15"/>
                <w:color w:val="auto"/>
              </w:rPr>
            </w:pPr>
          </w:p>
        </w:tc>
        <w:tc>
          <w:tcPr>
            <w:tcW w:w="540" w:type="dxa"/>
            <w:vAlign w:val="bottom"/>
            <w:tcBorders>
              <w:bottom w:val="single" w:sz="8" w:color="auto"/>
            </w:tcBorders>
          </w:tcPr>
          <w:p>
            <w:pPr>
              <w:spacing w:after="0"/>
              <w:rPr>
                <w:sz w:val="15"/>
                <w:szCs w:val="15"/>
                <w:color w:val="auto"/>
              </w:rPr>
            </w:pPr>
          </w:p>
        </w:tc>
        <w:tc>
          <w:tcPr>
            <w:tcW w:w="320" w:type="dxa"/>
            <w:vAlign w:val="bottom"/>
            <w:tcBorders>
              <w:bottom w:val="single" w:sz="8" w:color="auto"/>
            </w:tcBorders>
          </w:tcPr>
          <w:p>
            <w:pPr>
              <w:spacing w:after="0"/>
              <w:rPr>
                <w:sz w:val="15"/>
                <w:szCs w:val="15"/>
                <w:color w:val="auto"/>
              </w:rPr>
            </w:pPr>
          </w:p>
        </w:tc>
        <w:tc>
          <w:tcPr>
            <w:tcW w:w="140" w:type="dxa"/>
            <w:vAlign w:val="bottom"/>
            <w:tcBorders>
              <w:bottom w:val="single" w:sz="8" w:color="auto"/>
            </w:tcBorders>
          </w:tcPr>
          <w:p>
            <w:pPr>
              <w:spacing w:after="0"/>
              <w:rPr>
                <w:sz w:val="15"/>
                <w:szCs w:val="15"/>
                <w:color w:val="auto"/>
              </w:rPr>
            </w:pPr>
          </w:p>
        </w:tc>
        <w:tc>
          <w:tcPr>
            <w:tcW w:w="2840" w:type="dxa"/>
            <w:vAlign w:val="bottom"/>
            <w:tcBorders>
              <w:bottom w:val="single" w:sz="8" w:color="auto"/>
            </w:tcBorders>
            <w:gridSpan w:val="4"/>
          </w:tcPr>
          <w:p>
            <w:pPr>
              <w:jc w:val="right"/>
              <w:ind w:right="437"/>
              <w:spacing w:after="0"/>
              <w:rPr>
                <w:sz w:val="20"/>
                <w:szCs w:val="20"/>
                <w:color w:val="auto"/>
              </w:rPr>
            </w:pPr>
            <w:r>
              <w:rPr>
                <w:rFonts w:ascii="Times New Roman" w:cs="Times New Roman" w:eastAsia="Times New Roman" w:hAnsi="Times New Roman"/>
                <w:sz w:val="14"/>
                <w:szCs w:val="14"/>
                <w:b w:val="1"/>
                <w:bCs w:val="1"/>
                <w:color w:val="auto"/>
              </w:rPr>
              <w:t>Stock Options Outstanding</w:t>
            </w:r>
          </w:p>
        </w:tc>
        <w:tc>
          <w:tcPr>
            <w:tcW w:w="220" w:type="dxa"/>
            <w:vAlign w:val="bottom"/>
            <w:tcBorders>
              <w:bottom w:val="single" w:sz="8" w:color="auto"/>
            </w:tcBorders>
          </w:tcPr>
          <w:p>
            <w:pPr>
              <w:spacing w:after="0"/>
              <w:rPr>
                <w:sz w:val="15"/>
                <w:szCs w:val="15"/>
                <w:color w:val="auto"/>
              </w:rPr>
            </w:pPr>
          </w:p>
        </w:tc>
        <w:tc>
          <w:tcPr>
            <w:tcW w:w="192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17"/>
        </w:trPr>
        <w:tc>
          <w:tcPr>
            <w:tcW w:w="4180" w:type="dxa"/>
            <w:vAlign w:val="bottom"/>
          </w:tcPr>
          <w:p>
            <w:pPr>
              <w:spacing w:after="0"/>
              <w:rPr>
                <w:sz w:val="10"/>
                <w:szCs w:val="10"/>
                <w:color w:val="auto"/>
              </w:rPr>
            </w:pPr>
          </w:p>
        </w:tc>
        <w:tc>
          <w:tcPr>
            <w:tcW w:w="9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1340" w:type="dxa"/>
            <w:vAlign w:val="bottom"/>
          </w:tcPr>
          <w:p>
            <w:pPr>
              <w:jc w:val="center"/>
              <w:ind w:right="74"/>
              <w:spacing w:after="0" w:line="118" w:lineRule="exact"/>
              <w:rPr>
                <w:sz w:val="20"/>
                <w:szCs w:val="20"/>
                <w:color w:val="auto"/>
              </w:rPr>
            </w:pPr>
            <w:r>
              <w:rPr>
                <w:rFonts w:ascii="Times New Roman" w:cs="Times New Roman" w:eastAsia="Times New Roman" w:hAnsi="Times New Roman"/>
                <w:sz w:val="13"/>
                <w:szCs w:val="13"/>
                <w:b w:val="1"/>
                <w:bCs w:val="1"/>
                <w:color w:val="auto"/>
              </w:rPr>
              <w:t>Weighted Average</w:t>
            </w:r>
          </w:p>
        </w:tc>
        <w:tc>
          <w:tcPr>
            <w:tcW w:w="320" w:type="dxa"/>
            <w:vAlign w:val="bottom"/>
          </w:tcPr>
          <w:p>
            <w:pPr>
              <w:spacing w:after="0"/>
              <w:rPr>
                <w:sz w:val="10"/>
                <w:szCs w:val="10"/>
                <w:color w:val="auto"/>
              </w:rPr>
            </w:pPr>
          </w:p>
        </w:tc>
        <w:tc>
          <w:tcPr>
            <w:tcW w:w="180" w:type="dxa"/>
            <w:vAlign w:val="bottom"/>
          </w:tcPr>
          <w:p>
            <w:pPr>
              <w:spacing w:after="0"/>
              <w:rPr>
                <w:sz w:val="10"/>
                <w:szCs w:val="10"/>
                <w:color w:val="auto"/>
              </w:rPr>
            </w:pPr>
          </w:p>
        </w:tc>
        <w:tc>
          <w:tcPr>
            <w:tcW w:w="1000" w:type="dxa"/>
            <w:vAlign w:val="bottom"/>
          </w:tcPr>
          <w:p>
            <w:pPr>
              <w:jc w:val="center"/>
              <w:ind w:right="97"/>
              <w:spacing w:after="0" w:line="118" w:lineRule="exact"/>
              <w:rPr>
                <w:sz w:val="20"/>
                <w:szCs w:val="20"/>
                <w:color w:val="auto"/>
              </w:rPr>
            </w:pPr>
            <w:r>
              <w:rPr>
                <w:rFonts w:ascii="Times New Roman" w:cs="Times New Roman" w:eastAsia="Times New Roman" w:hAnsi="Times New Roman"/>
                <w:sz w:val="13"/>
                <w:szCs w:val="13"/>
                <w:b w:val="1"/>
                <w:bCs w:val="1"/>
                <w:color w:val="auto"/>
              </w:rPr>
              <w:t>Aggregate</w:t>
            </w:r>
          </w:p>
        </w:tc>
        <w:tc>
          <w:tcPr>
            <w:tcW w:w="220" w:type="dxa"/>
            <w:vAlign w:val="bottom"/>
          </w:tcPr>
          <w:p>
            <w:pPr>
              <w:spacing w:after="0"/>
              <w:rPr>
                <w:sz w:val="10"/>
                <w:szCs w:val="10"/>
                <w:color w:val="auto"/>
              </w:rPr>
            </w:pPr>
          </w:p>
        </w:tc>
        <w:tc>
          <w:tcPr>
            <w:tcW w:w="1920" w:type="dxa"/>
            <w:vAlign w:val="bottom"/>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Weighted Average</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8"/>
        </w:trPr>
        <w:tc>
          <w:tcPr>
            <w:tcW w:w="4180" w:type="dxa"/>
            <w:vAlign w:val="bottom"/>
          </w:tcPr>
          <w:p>
            <w:pPr>
              <w:spacing w:after="0"/>
              <w:rPr>
                <w:sz w:val="12"/>
                <w:szCs w:val="12"/>
                <w:color w:val="auto"/>
              </w:rPr>
            </w:pPr>
          </w:p>
        </w:tc>
        <w:tc>
          <w:tcPr>
            <w:tcW w:w="980" w:type="dxa"/>
            <w:vAlign w:val="bottom"/>
            <w:vMerge w:val="restart"/>
          </w:tcPr>
          <w:p>
            <w:pPr>
              <w:ind w:left="540"/>
              <w:spacing w:after="0"/>
              <w:rPr>
                <w:sz w:val="20"/>
                <w:szCs w:val="20"/>
                <w:color w:val="auto"/>
              </w:rPr>
            </w:pPr>
            <w:r>
              <w:rPr>
                <w:rFonts w:ascii="Times New Roman" w:cs="Times New Roman" w:eastAsia="Times New Roman" w:hAnsi="Times New Roman"/>
                <w:sz w:val="14"/>
                <w:szCs w:val="14"/>
                <w:b w:val="1"/>
                <w:bCs w:val="1"/>
                <w:color w:val="auto"/>
              </w:rPr>
              <w:t>Shares</w:t>
            </w:r>
          </w:p>
        </w:tc>
        <w:tc>
          <w:tcPr>
            <w:tcW w:w="54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340" w:type="dxa"/>
            <w:vAlign w:val="bottom"/>
          </w:tcPr>
          <w:p>
            <w:pPr>
              <w:jc w:val="center"/>
              <w:ind w:right="54"/>
              <w:spacing w:after="0" w:line="149" w:lineRule="exact"/>
              <w:rPr>
                <w:sz w:val="20"/>
                <w:szCs w:val="20"/>
                <w:color w:val="auto"/>
              </w:rPr>
            </w:pPr>
            <w:r>
              <w:rPr>
                <w:rFonts w:ascii="Times New Roman" w:cs="Times New Roman" w:eastAsia="Times New Roman" w:hAnsi="Times New Roman"/>
                <w:sz w:val="14"/>
                <w:szCs w:val="14"/>
                <w:b w:val="1"/>
                <w:bCs w:val="1"/>
                <w:color w:val="auto"/>
              </w:rPr>
              <w:t>Exercise Price</w:t>
            </w:r>
          </w:p>
        </w:tc>
        <w:tc>
          <w:tcPr>
            <w:tcW w:w="3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000" w:type="dxa"/>
            <w:vAlign w:val="bottom"/>
          </w:tcPr>
          <w:p>
            <w:pPr>
              <w:jc w:val="center"/>
              <w:ind w:right="117"/>
              <w:spacing w:after="0" w:line="149" w:lineRule="exact"/>
              <w:rPr>
                <w:sz w:val="20"/>
                <w:szCs w:val="20"/>
                <w:color w:val="auto"/>
              </w:rPr>
            </w:pPr>
            <w:r>
              <w:rPr>
                <w:rFonts w:ascii="Times New Roman" w:cs="Times New Roman" w:eastAsia="Times New Roman" w:hAnsi="Times New Roman"/>
                <w:sz w:val="14"/>
                <w:szCs w:val="14"/>
                <w:b w:val="1"/>
                <w:bCs w:val="1"/>
                <w:color w:val="auto"/>
              </w:rPr>
              <w:t>Intrinsic</w:t>
            </w:r>
          </w:p>
        </w:tc>
        <w:tc>
          <w:tcPr>
            <w:tcW w:w="220" w:type="dxa"/>
            <w:vAlign w:val="bottom"/>
          </w:tcPr>
          <w:p>
            <w:pPr>
              <w:spacing w:after="0"/>
              <w:rPr>
                <w:sz w:val="12"/>
                <w:szCs w:val="12"/>
                <w:color w:val="auto"/>
              </w:rPr>
            </w:pPr>
          </w:p>
        </w:tc>
        <w:tc>
          <w:tcPr>
            <w:tcW w:w="2020" w:type="dxa"/>
            <w:vAlign w:val="bottom"/>
            <w:gridSpan w:val="2"/>
          </w:tcPr>
          <w:p>
            <w:pPr>
              <w:jc w:val="center"/>
              <w:ind w:right="120"/>
              <w:spacing w:after="0" w:line="149" w:lineRule="exact"/>
              <w:rPr>
                <w:sz w:val="20"/>
                <w:szCs w:val="20"/>
                <w:color w:val="auto"/>
              </w:rPr>
            </w:pPr>
            <w:r>
              <w:rPr>
                <w:rFonts w:ascii="Times New Roman" w:cs="Times New Roman" w:eastAsia="Times New Roman" w:hAnsi="Times New Roman"/>
                <w:sz w:val="14"/>
                <w:szCs w:val="14"/>
                <w:b w:val="1"/>
                <w:bCs w:val="1"/>
                <w:color w:val="auto"/>
              </w:rPr>
              <w:t>Remaining Contractual</w:t>
            </w:r>
          </w:p>
        </w:tc>
        <w:tc>
          <w:tcPr>
            <w:tcW w:w="0" w:type="dxa"/>
            <w:vAlign w:val="bottom"/>
          </w:tcPr>
          <w:p>
            <w:pPr>
              <w:spacing w:after="0"/>
              <w:rPr>
                <w:sz w:val="1"/>
                <w:szCs w:val="1"/>
                <w:color w:val="auto"/>
              </w:rPr>
            </w:pPr>
          </w:p>
        </w:tc>
      </w:tr>
      <w:tr>
        <w:trPr>
          <w:trHeight w:val="173"/>
        </w:trPr>
        <w:tc>
          <w:tcPr>
            <w:tcW w:w="4180" w:type="dxa"/>
            <w:vAlign w:val="bottom"/>
          </w:tcPr>
          <w:p>
            <w:pPr>
              <w:spacing w:after="0"/>
              <w:rPr>
                <w:sz w:val="15"/>
                <w:szCs w:val="15"/>
                <w:color w:val="auto"/>
              </w:rPr>
            </w:pPr>
          </w:p>
        </w:tc>
        <w:tc>
          <w:tcPr>
            <w:tcW w:w="980" w:type="dxa"/>
            <w:vAlign w:val="bottom"/>
            <w:tcBorders>
              <w:bottom w:val="single" w:sz="8" w:color="auto"/>
            </w:tcBorders>
            <w:vMerge w:val="continue"/>
          </w:tcPr>
          <w:p>
            <w:pPr>
              <w:spacing w:after="0"/>
              <w:rPr>
                <w:sz w:val="15"/>
                <w:szCs w:val="15"/>
                <w:color w:val="auto"/>
              </w:rPr>
            </w:pPr>
          </w:p>
        </w:tc>
        <w:tc>
          <w:tcPr>
            <w:tcW w:w="540" w:type="dxa"/>
            <w:vAlign w:val="bottom"/>
            <w:tcBorders>
              <w:bottom w:val="single" w:sz="8" w:color="auto"/>
            </w:tcBorders>
          </w:tcPr>
          <w:p>
            <w:pPr>
              <w:spacing w:after="0"/>
              <w:rPr>
                <w:sz w:val="15"/>
                <w:szCs w:val="15"/>
                <w:color w:val="auto"/>
              </w:rPr>
            </w:pPr>
          </w:p>
        </w:tc>
        <w:tc>
          <w:tcPr>
            <w:tcW w:w="320" w:type="dxa"/>
            <w:vAlign w:val="bottom"/>
          </w:tcPr>
          <w:p>
            <w:pPr>
              <w:spacing w:after="0"/>
              <w:rPr>
                <w:sz w:val="15"/>
                <w:szCs w:val="15"/>
                <w:color w:val="auto"/>
              </w:rPr>
            </w:pPr>
          </w:p>
        </w:tc>
        <w:tc>
          <w:tcPr>
            <w:tcW w:w="140" w:type="dxa"/>
            <w:vAlign w:val="bottom"/>
            <w:tcBorders>
              <w:bottom w:val="single" w:sz="8" w:color="auto"/>
            </w:tcBorders>
          </w:tcPr>
          <w:p>
            <w:pPr>
              <w:spacing w:after="0"/>
              <w:rPr>
                <w:sz w:val="15"/>
                <w:szCs w:val="15"/>
                <w:color w:val="auto"/>
              </w:rPr>
            </w:pPr>
          </w:p>
        </w:tc>
        <w:tc>
          <w:tcPr>
            <w:tcW w:w="1340" w:type="dxa"/>
            <w:vAlign w:val="bottom"/>
            <w:tcBorders>
              <w:bottom w:val="single" w:sz="8" w:color="auto"/>
            </w:tcBorders>
          </w:tcPr>
          <w:p>
            <w:pPr>
              <w:jc w:val="center"/>
              <w:ind w:right="54"/>
              <w:spacing w:after="0"/>
              <w:rPr>
                <w:sz w:val="20"/>
                <w:szCs w:val="20"/>
                <w:color w:val="auto"/>
              </w:rPr>
            </w:pPr>
            <w:r>
              <w:rPr>
                <w:rFonts w:ascii="Times New Roman" w:cs="Times New Roman" w:eastAsia="Times New Roman" w:hAnsi="Times New Roman"/>
                <w:sz w:val="14"/>
                <w:szCs w:val="14"/>
                <w:b w:val="1"/>
                <w:bCs w:val="1"/>
                <w:color w:val="auto"/>
              </w:rPr>
              <w:t>Per Share</w:t>
            </w:r>
          </w:p>
        </w:tc>
        <w:tc>
          <w:tcPr>
            <w:tcW w:w="320" w:type="dxa"/>
            <w:vAlign w:val="bottom"/>
          </w:tcPr>
          <w:p>
            <w:pPr>
              <w:spacing w:after="0"/>
              <w:rPr>
                <w:sz w:val="15"/>
                <w:szCs w:val="15"/>
                <w:color w:val="auto"/>
              </w:rPr>
            </w:pPr>
          </w:p>
        </w:tc>
        <w:tc>
          <w:tcPr>
            <w:tcW w:w="180" w:type="dxa"/>
            <w:vAlign w:val="bottom"/>
            <w:tcBorders>
              <w:bottom w:val="single" w:sz="8" w:color="auto"/>
            </w:tcBorders>
          </w:tcPr>
          <w:p>
            <w:pPr>
              <w:spacing w:after="0"/>
              <w:rPr>
                <w:sz w:val="15"/>
                <w:szCs w:val="15"/>
                <w:color w:val="auto"/>
              </w:rPr>
            </w:pPr>
          </w:p>
        </w:tc>
        <w:tc>
          <w:tcPr>
            <w:tcW w:w="1000" w:type="dxa"/>
            <w:vAlign w:val="bottom"/>
            <w:tcBorders>
              <w:bottom w:val="single" w:sz="8" w:color="auto"/>
            </w:tcBorders>
          </w:tcPr>
          <w:p>
            <w:pPr>
              <w:jc w:val="center"/>
              <w:ind w:right="117"/>
              <w:spacing w:after="0"/>
              <w:rPr>
                <w:sz w:val="20"/>
                <w:szCs w:val="20"/>
                <w:color w:val="auto"/>
              </w:rPr>
            </w:pPr>
            <w:r>
              <w:rPr>
                <w:rFonts w:ascii="Times New Roman" w:cs="Times New Roman" w:eastAsia="Times New Roman" w:hAnsi="Times New Roman"/>
                <w:sz w:val="14"/>
                <w:szCs w:val="14"/>
                <w:b w:val="1"/>
                <w:bCs w:val="1"/>
                <w:color w:val="auto"/>
              </w:rPr>
              <w:t>Value</w:t>
            </w:r>
          </w:p>
        </w:tc>
        <w:tc>
          <w:tcPr>
            <w:tcW w:w="220" w:type="dxa"/>
            <w:vAlign w:val="bottom"/>
          </w:tcPr>
          <w:p>
            <w:pPr>
              <w:spacing w:after="0"/>
              <w:rPr>
                <w:sz w:val="15"/>
                <w:szCs w:val="15"/>
                <w:color w:val="auto"/>
              </w:rPr>
            </w:pPr>
          </w:p>
        </w:tc>
        <w:tc>
          <w:tcPr>
            <w:tcW w:w="19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Term (Years)</w:t>
            </w: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10"/>
        </w:trPr>
        <w:tc>
          <w:tcPr>
            <w:tcW w:w="516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January 1, 2022</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11,668</w:t>
            </w:r>
          </w:p>
        </w:tc>
        <w:tc>
          <w:tcPr>
            <w:tcW w:w="320" w:type="dxa"/>
            <w:vAlign w:val="bottom"/>
            <w:shd w:val="clear" w:color="auto" w:fill="CFF0FC"/>
          </w:tcPr>
          <w:p>
            <w:pPr>
              <w:spacing w:after="0"/>
              <w:rPr>
                <w:sz w:val="18"/>
                <w:szCs w:val="18"/>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26.87</w:t>
            </w:r>
          </w:p>
        </w:tc>
        <w:tc>
          <w:tcPr>
            <w:tcW w:w="32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100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9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16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Granted</w:t>
            </w:r>
          </w:p>
        </w:tc>
        <w:tc>
          <w:tcPr>
            <w:tcW w:w="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4,400</w:t>
            </w:r>
          </w:p>
        </w:tc>
        <w:tc>
          <w:tcPr>
            <w:tcW w:w="32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34.61</w:t>
            </w:r>
          </w:p>
        </w:tc>
        <w:tc>
          <w:tcPr>
            <w:tcW w:w="32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100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9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16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Exercised</w:t>
            </w:r>
          </w:p>
        </w:tc>
        <w:tc>
          <w:tcPr>
            <w:tcW w:w="86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(101 )</w:t>
            </w:r>
          </w:p>
        </w:tc>
        <w:tc>
          <w:tcPr>
            <w:tcW w:w="1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13.75</w:t>
            </w:r>
          </w:p>
        </w:tc>
        <w:tc>
          <w:tcPr>
            <w:tcW w:w="50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1,469</w:t>
            </w:r>
          </w:p>
        </w:tc>
        <w:tc>
          <w:tcPr>
            <w:tcW w:w="220" w:type="dxa"/>
            <w:vAlign w:val="bottom"/>
            <w:shd w:val="clear" w:color="auto" w:fill="CFF0FC"/>
          </w:tcPr>
          <w:p>
            <w:pPr>
              <w:spacing w:after="0"/>
              <w:rPr>
                <w:sz w:val="18"/>
                <w:szCs w:val="18"/>
                <w:color w:val="auto"/>
              </w:rPr>
            </w:pPr>
          </w:p>
        </w:tc>
        <w:tc>
          <w:tcPr>
            <w:tcW w:w="19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18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Forfeited/Expired</w:t>
            </w:r>
          </w:p>
        </w:tc>
        <w:tc>
          <w:tcPr>
            <w:tcW w:w="980" w:type="dxa"/>
            <w:vAlign w:val="bottom"/>
          </w:tcPr>
          <w:p>
            <w:pPr>
              <w:spacing w:after="0"/>
              <w:rPr>
                <w:sz w:val="18"/>
                <w:szCs w:val="18"/>
                <w:color w:val="auto"/>
              </w:rPr>
            </w:pPr>
          </w:p>
        </w:tc>
        <w:tc>
          <w:tcPr>
            <w:tcW w:w="86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(198 )</w:t>
            </w:r>
          </w:p>
        </w:tc>
        <w:tc>
          <w:tcPr>
            <w:tcW w:w="1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49.87</w:t>
            </w:r>
          </w:p>
        </w:tc>
        <w:tc>
          <w:tcPr>
            <w:tcW w:w="32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100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9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50"/>
        </w:trPr>
        <w:tc>
          <w:tcPr>
            <w:tcW w:w="418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December 31, 2022</w:t>
            </w:r>
          </w:p>
        </w:tc>
        <w:tc>
          <w:tcPr>
            <w:tcW w:w="980" w:type="dxa"/>
            <w:vAlign w:val="bottom"/>
            <w:tcBorders>
              <w:top w:val="single" w:sz="8" w:color="auto"/>
              <w:bottom w:val="single" w:sz="8" w:color="auto"/>
            </w:tcBorders>
            <w:shd w:val="clear" w:color="auto" w:fill="CFF0FC"/>
          </w:tcPr>
          <w:p>
            <w:pPr>
              <w:spacing w:after="0"/>
              <w:rPr>
                <w:sz w:val="21"/>
                <w:szCs w:val="21"/>
                <w:color w:val="auto"/>
              </w:rPr>
            </w:pPr>
          </w:p>
        </w:tc>
        <w:tc>
          <w:tcPr>
            <w:tcW w:w="5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15,769</w:t>
            </w:r>
          </w:p>
        </w:tc>
        <w:tc>
          <w:tcPr>
            <w:tcW w:w="320" w:type="dxa"/>
            <w:vAlign w:val="bottom"/>
            <w:tcBorders>
              <w:bottom w:val="single" w:sz="8" w:color="CFF0FC"/>
            </w:tcBorders>
            <w:shd w:val="clear" w:color="auto" w:fill="CFF0FC"/>
          </w:tcPr>
          <w:p>
            <w:pPr>
              <w:spacing w:after="0"/>
              <w:rPr>
                <w:sz w:val="21"/>
                <w:szCs w:val="21"/>
                <w:color w:val="auto"/>
              </w:rPr>
            </w:pPr>
          </w:p>
        </w:tc>
        <w:tc>
          <w:tcPr>
            <w:tcW w:w="140" w:type="dxa"/>
            <w:vAlign w:val="bottom"/>
            <w:tcBorders>
              <w:bottom w:val="single" w:sz="8" w:color="CFF0FC"/>
            </w:tcBorders>
            <w:shd w:val="clear" w:color="auto" w:fill="CFF0FC"/>
          </w:tcPr>
          <w:p>
            <w:pPr>
              <w:spacing w:after="0"/>
              <w:rPr>
                <w:sz w:val="21"/>
                <w:szCs w:val="21"/>
                <w:color w:val="auto"/>
              </w:rPr>
            </w:pPr>
          </w:p>
        </w:tc>
        <w:tc>
          <w:tcPr>
            <w:tcW w:w="13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28.83</w:t>
            </w:r>
          </w:p>
        </w:tc>
        <w:tc>
          <w:tcPr>
            <w:tcW w:w="320" w:type="dxa"/>
            <w:vAlign w:val="bottom"/>
            <w:tcBorders>
              <w:bottom w:val="single" w:sz="8" w:color="CFF0FC"/>
            </w:tcBorders>
            <w:shd w:val="clear" w:color="auto" w:fill="CFF0FC"/>
          </w:tcPr>
          <w:p>
            <w:pPr>
              <w:spacing w:after="0"/>
              <w:rPr>
                <w:sz w:val="21"/>
                <w:szCs w:val="21"/>
                <w:color w:val="auto"/>
              </w:rPr>
            </w:pPr>
          </w:p>
        </w:tc>
        <w:tc>
          <w:tcPr>
            <w:tcW w:w="180" w:type="dxa"/>
            <w:vAlign w:val="bottom"/>
            <w:tcBorders>
              <w:bottom w:val="single" w:sz="8" w:color="CFF0FC"/>
            </w:tcBorders>
            <w:shd w:val="clear" w:color="auto" w:fill="CFF0FC"/>
          </w:tcPr>
          <w:p>
            <w:pPr>
              <w:spacing w:after="0"/>
              <w:rPr>
                <w:sz w:val="21"/>
                <w:szCs w:val="21"/>
                <w:color w:val="auto"/>
              </w:rPr>
            </w:pPr>
          </w:p>
        </w:tc>
        <w:tc>
          <w:tcPr>
            <w:tcW w:w="1000" w:type="dxa"/>
            <w:vAlign w:val="bottom"/>
            <w:tcBorders>
              <w:bottom w:val="single" w:sz="8" w:color="CFF0FC"/>
            </w:tcBorders>
            <w:shd w:val="clear" w:color="auto" w:fill="CFF0FC"/>
          </w:tcPr>
          <w:p>
            <w:pPr>
              <w:spacing w:after="0"/>
              <w:rPr>
                <w:sz w:val="21"/>
                <w:szCs w:val="21"/>
                <w:color w:val="auto"/>
              </w:rPr>
            </w:pPr>
          </w:p>
        </w:tc>
        <w:tc>
          <w:tcPr>
            <w:tcW w:w="220" w:type="dxa"/>
            <w:vAlign w:val="bottom"/>
            <w:tcBorders>
              <w:bottom w:val="single" w:sz="8" w:color="CFF0FC"/>
            </w:tcBorders>
            <w:shd w:val="clear" w:color="auto" w:fill="CFF0FC"/>
          </w:tcPr>
          <w:p>
            <w:pPr>
              <w:spacing w:after="0"/>
              <w:rPr>
                <w:sz w:val="21"/>
                <w:szCs w:val="21"/>
                <w:color w:val="auto"/>
              </w:rPr>
            </w:pPr>
          </w:p>
        </w:tc>
        <w:tc>
          <w:tcPr>
            <w:tcW w:w="19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196"/>
        </w:trPr>
        <w:tc>
          <w:tcPr>
            <w:tcW w:w="5160" w:type="dxa"/>
            <w:vAlign w:val="bottom"/>
            <w:gridSpan w:val="2"/>
          </w:tcPr>
          <w:p>
            <w:pPr>
              <w:ind w:left="200"/>
              <w:spacing w:after="0" w:line="196" w:lineRule="exact"/>
              <w:rPr>
                <w:sz w:val="20"/>
                <w:szCs w:val="20"/>
                <w:color w:val="auto"/>
              </w:rPr>
            </w:pPr>
            <w:r>
              <w:rPr>
                <w:rFonts w:ascii="Times New Roman" w:cs="Times New Roman" w:eastAsia="Times New Roman" w:hAnsi="Times New Roman"/>
                <w:sz w:val="18"/>
                <w:szCs w:val="18"/>
                <w:color w:val="auto"/>
              </w:rPr>
              <w:t>Granted</w:t>
            </w:r>
          </w:p>
        </w:tc>
        <w:tc>
          <w:tcPr>
            <w:tcW w:w="54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368</w:t>
            </w:r>
          </w:p>
        </w:tc>
        <w:tc>
          <w:tcPr>
            <w:tcW w:w="32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134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29.01</w:t>
            </w:r>
          </w:p>
        </w:tc>
        <w:tc>
          <w:tcPr>
            <w:tcW w:w="32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10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92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516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Exercised</w:t>
            </w:r>
          </w:p>
        </w:tc>
        <w:tc>
          <w:tcPr>
            <w:tcW w:w="86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(1,756 )</w:t>
            </w:r>
          </w:p>
        </w:tc>
        <w:tc>
          <w:tcPr>
            <w:tcW w:w="1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17.38</w:t>
            </w:r>
          </w:p>
        </w:tc>
        <w:tc>
          <w:tcPr>
            <w:tcW w:w="50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36,636</w:t>
            </w:r>
          </w:p>
        </w:tc>
        <w:tc>
          <w:tcPr>
            <w:tcW w:w="220" w:type="dxa"/>
            <w:vAlign w:val="bottom"/>
            <w:shd w:val="clear" w:color="auto" w:fill="CFF0FC"/>
          </w:tcPr>
          <w:p>
            <w:pPr>
              <w:spacing w:after="0"/>
              <w:rPr>
                <w:sz w:val="18"/>
                <w:szCs w:val="18"/>
                <w:color w:val="auto"/>
              </w:rPr>
            </w:pPr>
          </w:p>
        </w:tc>
        <w:tc>
          <w:tcPr>
            <w:tcW w:w="19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18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Forfeited/Expired</w:t>
            </w:r>
          </w:p>
        </w:tc>
        <w:tc>
          <w:tcPr>
            <w:tcW w:w="980" w:type="dxa"/>
            <w:vAlign w:val="bottom"/>
          </w:tcPr>
          <w:p>
            <w:pPr>
              <w:spacing w:after="0"/>
              <w:rPr>
                <w:sz w:val="18"/>
                <w:szCs w:val="18"/>
                <w:color w:val="auto"/>
              </w:rPr>
            </w:pPr>
          </w:p>
        </w:tc>
        <w:tc>
          <w:tcPr>
            <w:tcW w:w="86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(1,445 )</w:t>
            </w:r>
          </w:p>
        </w:tc>
        <w:tc>
          <w:tcPr>
            <w:tcW w:w="1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44.15</w:t>
            </w:r>
          </w:p>
        </w:tc>
        <w:tc>
          <w:tcPr>
            <w:tcW w:w="32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100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9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49"/>
        </w:trPr>
        <w:tc>
          <w:tcPr>
            <w:tcW w:w="418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December 31, 2023</w:t>
            </w:r>
          </w:p>
        </w:tc>
        <w:tc>
          <w:tcPr>
            <w:tcW w:w="980" w:type="dxa"/>
            <w:vAlign w:val="bottom"/>
            <w:tcBorders>
              <w:top w:val="single" w:sz="8" w:color="auto"/>
              <w:bottom w:val="single" w:sz="8" w:color="auto"/>
            </w:tcBorders>
            <w:shd w:val="clear" w:color="auto" w:fill="CFF0FC"/>
          </w:tcPr>
          <w:p>
            <w:pPr>
              <w:spacing w:after="0"/>
              <w:rPr>
                <w:sz w:val="21"/>
                <w:szCs w:val="21"/>
                <w:color w:val="auto"/>
              </w:rPr>
            </w:pPr>
          </w:p>
        </w:tc>
        <w:tc>
          <w:tcPr>
            <w:tcW w:w="5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12,936</w:t>
            </w:r>
          </w:p>
        </w:tc>
        <w:tc>
          <w:tcPr>
            <w:tcW w:w="320" w:type="dxa"/>
            <w:vAlign w:val="bottom"/>
            <w:tcBorders>
              <w:bottom w:val="single" w:sz="8" w:color="CFF0FC"/>
            </w:tcBorders>
            <w:shd w:val="clear" w:color="auto" w:fill="CFF0FC"/>
          </w:tcPr>
          <w:p>
            <w:pPr>
              <w:spacing w:after="0"/>
              <w:rPr>
                <w:sz w:val="21"/>
                <w:szCs w:val="21"/>
                <w:color w:val="auto"/>
              </w:rPr>
            </w:pPr>
          </w:p>
        </w:tc>
        <w:tc>
          <w:tcPr>
            <w:tcW w:w="140" w:type="dxa"/>
            <w:vAlign w:val="bottom"/>
            <w:tcBorders>
              <w:bottom w:val="single" w:sz="8" w:color="CFF0FC"/>
            </w:tcBorders>
            <w:shd w:val="clear" w:color="auto" w:fill="CFF0FC"/>
          </w:tcPr>
          <w:p>
            <w:pPr>
              <w:spacing w:after="0"/>
              <w:rPr>
                <w:sz w:val="21"/>
                <w:szCs w:val="21"/>
                <w:color w:val="auto"/>
              </w:rPr>
            </w:pPr>
          </w:p>
        </w:tc>
        <w:tc>
          <w:tcPr>
            <w:tcW w:w="13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28.68</w:t>
            </w:r>
          </w:p>
        </w:tc>
        <w:tc>
          <w:tcPr>
            <w:tcW w:w="320" w:type="dxa"/>
            <w:vAlign w:val="bottom"/>
            <w:tcBorders>
              <w:bottom w:val="single" w:sz="8" w:color="CFF0FC"/>
            </w:tcBorders>
            <w:shd w:val="clear" w:color="auto" w:fill="CFF0FC"/>
          </w:tcPr>
          <w:p>
            <w:pPr>
              <w:spacing w:after="0"/>
              <w:rPr>
                <w:sz w:val="21"/>
                <w:szCs w:val="21"/>
                <w:color w:val="auto"/>
              </w:rPr>
            </w:pPr>
          </w:p>
        </w:tc>
        <w:tc>
          <w:tcPr>
            <w:tcW w:w="180" w:type="dxa"/>
            <w:vAlign w:val="bottom"/>
            <w:tcBorders>
              <w:bottom w:val="single" w:sz="8" w:color="CFF0FC"/>
            </w:tcBorders>
            <w:shd w:val="clear" w:color="auto" w:fill="CFF0FC"/>
          </w:tcPr>
          <w:p>
            <w:pPr>
              <w:spacing w:after="0"/>
              <w:rPr>
                <w:sz w:val="21"/>
                <w:szCs w:val="21"/>
                <w:color w:val="auto"/>
              </w:rPr>
            </w:pPr>
          </w:p>
        </w:tc>
        <w:tc>
          <w:tcPr>
            <w:tcW w:w="1000" w:type="dxa"/>
            <w:vAlign w:val="bottom"/>
            <w:tcBorders>
              <w:bottom w:val="single" w:sz="8" w:color="CFF0FC"/>
            </w:tcBorders>
            <w:shd w:val="clear" w:color="auto" w:fill="CFF0FC"/>
          </w:tcPr>
          <w:p>
            <w:pPr>
              <w:spacing w:after="0"/>
              <w:rPr>
                <w:sz w:val="21"/>
                <w:szCs w:val="21"/>
                <w:color w:val="auto"/>
              </w:rPr>
            </w:pPr>
          </w:p>
        </w:tc>
        <w:tc>
          <w:tcPr>
            <w:tcW w:w="220" w:type="dxa"/>
            <w:vAlign w:val="bottom"/>
            <w:tcBorders>
              <w:bottom w:val="single" w:sz="8" w:color="CFF0FC"/>
            </w:tcBorders>
            <w:shd w:val="clear" w:color="auto" w:fill="CFF0FC"/>
          </w:tcPr>
          <w:p>
            <w:pPr>
              <w:spacing w:after="0"/>
              <w:rPr>
                <w:sz w:val="21"/>
                <w:szCs w:val="21"/>
                <w:color w:val="auto"/>
              </w:rPr>
            </w:pPr>
          </w:p>
        </w:tc>
        <w:tc>
          <w:tcPr>
            <w:tcW w:w="19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197"/>
        </w:trPr>
        <w:tc>
          <w:tcPr>
            <w:tcW w:w="5160" w:type="dxa"/>
            <w:vAlign w:val="bottom"/>
            <w:gridSpan w:val="2"/>
          </w:tcPr>
          <w:p>
            <w:pPr>
              <w:ind w:left="200"/>
              <w:spacing w:after="0" w:line="196" w:lineRule="exact"/>
              <w:rPr>
                <w:sz w:val="20"/>
                <w:szCs w:val="20"/>
                <w:color w:val="auto"/>
              </w:rPr>
            </w:pPr>
            <w:r>
              <w:rPr>
                <w:rFonts w:ascii="Times New Roman" w:cs="Times New Roman" w:eastAsia="Times New Roman" w:hAnsi="Times New Roman"/>
                <w:sz w:val="18"/>
                <w:szCs w:val="18"/>
                <w:color w:val="auto"/>
              </w:rPr>
              <w:t>Granted</w:t>
            </w:r>
          </w:p>
        </w:tc>
        <w:tc>
          <w:tcPr>
            <w:tcW w:w="54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97</w:t>
            </w:r>
          </w:p>
        </w:tc>
        <w:tc>
          <w:tcPr>
            <w:tcW w:w="32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134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163.16</w:t>
            </w:r>
          </w:p>
        </w:tc>
        <w:tc>
          <w:tcPr>
            <w:tcW w:w="32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100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92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516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Exercised</w:t>
            </w:r>
          </w:p>
        </w:tc>
        <w:tc>
          <w:tcPr>
            <w:tcW w:w="86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(7,826 )</w:t>
            </w:r>
          </w:p>
        </w:tc>
        <w:tc>
          <w:tcPr>
            <w:tcW w:w="1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23.55</w:t>
            </w:r>
          </w:p>
        </w:tc>
        <w:tc>
          <w:tcPr>
            <w:tcW w:w="50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807,096</w:t>
            </w:r>
          </w:p>
        </w:tc>
        <w:tc>
          <w:tcPr>
            <w:tcW w:w="220" w:type="dxa"/>
            <w:vAlign w:val="bottom"/>
            <w:shd w:val="clear" w:color="auto" w:fill="CFF0FC"/>
          </w:tcPr>
          <w:p>
            <w:pPr>
              <w:spacing w:after="0"/>
              <w:rPr>
                <w:sz w:val="18"/>
                <w:szCs w:val="18"/>
                <w:color w:val="auto"/>
              </w:rPr>
            </w:pPr>
          </w:p>
        </w:tc>
        <w:tc>
          <w:tcPr>
            <w:tcW w:w="19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18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Forfeited/Expired</w:t>
            </w:r>
          </w:p>
        </w:tc>
        <w:tc>
          <w:tcPr>
            <w:tcW w:w="980" w:type="dxa"/>
            <w:vAlign w:val="bottom"/>
          </w:tcPr>
          <w:p>
            <w:pPr>
              <w:spacing w:after="0"/>
              <w:rPr>
                <w:sz w:val="18"/>
                <w:szCs w:val="18"/>
                <w:color w:val="auto"/>
              </w:rPr>
            </w:pPr>
          </w:p>
        </w:tc>
        <w:tc>
          <w:tcPr>
            <w:tcW w:w="86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(251 )</w:t>
            </w:r>
          </w:p>
        </w:tc>
        <w:tc>
          <w:tcPr>
            <w:tcW w:w="1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45.58</w:t>
            </w:r>
          </w:p>
        </w:tc>
        <w:tc>
          <w:tcPr>
            <w:tcW w:w="32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100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9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50"/>
        </w:trPr>
        <w:tc>
          <w:tcPr>
            <w:tcW w:w="418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December 31, 2024</w:t>
            </w:r>
          </w:p>
        </w:tc>
        <w:tc>
          <w:tcPr>
            <w:tcW w:w="980" w:type="dxa"/>
            <w:vAlign w:val="bottom"/>
            <w:tcBorders>
              <w:top w:val="single" w:sz="8" w:color="auto"/>
              <w:bottom w:val="single" w:sz="8" w:color="auto"/>
            </w:tcBorders>
            <w:shd w:val="clear" w:color="auto" w:fill="CFF0FC"/>
          </w:tcPr>
          <w:p>
            <w:pPr>
              <w:spacing w:after="0"/>
              <w:rPr>
                <w:sz w:val="21"/>
                <w:szCs w:val="21"/>
                <w:color w:val="auto"/>
              </w:rPr>
            </w:pPr>
          </w:p>
        </w:tc>
        <w:tc>
          <w:tcPr>
            <w:tcW w:w="5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4,956</w:t>
            </w:r>
          </w:p>
        </w:tc>
        <w:tc>
          <w:tcPr>
            <w:tcW w:w="320" w:type="dxa"/>
            <w:vAlign w:val="bottom"/>
            <w:tcBorders>
              <w:bottom w:val="single" w:sz="8" w:color="CFF0FC"/>
            </w:tcBorders>
            <w:shd w:val="clear" w:color="auto" w:fill="CFF0FC"/>
          </w:tcPr>
          <w:p>
            <w:pPr>
              <w:spacing w:after="0"/>
              <w:rPr>
                <w:sz w:val="21"/>
                <w:szCs w:val="21"/>
                <w:color w:val="auto"/>
              </w:rPr>
            </w:pPr>
          </w:p>
        </w:tc>
        <w:tc>
          <w:tcPr>
            <w:tcW w:w="1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38.56</w:t>
            </w:r>
          </w:p>
        </w:tc>
        <w:tc>
          <w:tcPr>
            <w:tcW w:w="320" w:type="dxa"/>
            <w:vAlign w:val="bottom"/>
            <w:tcBorders>
              <w:bottom w:val="single" w:sz="8" w:color="CFF0FC"/>
            </w:tcBorders>
            <w:shd w:val="clear" w:color="auto" w:fill="CFF0FC"/>
          </w:tcPr>
          <w:p>
            <w:pPr>
              <w:spacing w:after="0"/>
              <w:rPr>
                <w:sz w:val="21"/>
                <w:szCs w:val="21"/>
                <w:color w:val="auto"/>
              </w:rPr>
            </w:pPr>
          </w:p>
        </w:tc>
        <w:tc>
          <w:tcPr>
            <w:tcW w:w="180" w:type="dxa"/>
            <w:vAlign w:val="bottom"/>
            <w:tcBorders>
              <w:bottom w:val="single" w:sz="8" w:color="CFF0FC"/>
            </w:tcBorders>
            <w:shd w:val="clear" w:color="auto" w:fill="CFF0FC"/>
          </w:tcPr>
          <w:p>
            <w:pPr>
              <w:spacing w:after="0"/>
              <w:rPr>
                <w:sz w:val="21"/>
                <w:szCs w:val="21"/>
                <w:color w:val="auto"/>
              </w:rPr>
            </w:pPr>
          </w:p>
        </w:tc>
        <w:tc>
          <w:tcPr>
            <w:tcW w:w="1000" w:type="dxa"/>
            <w:vAlign w:val="bottom"/>
            <w:tcBorders>
              <w:bottom w:val="single" w:sz="8" w:color="CFF0FC"/>
            </w:tcBorders>
            <w:shd w:val="clear" w:color="auto" w:fill="CFF0FC"/>
          </w:tcPr>
          <w:p>
            <w:pPr>
              <w:spacing w:after="0"/>
              <w:rPr>
                <w:sz w:val="21"/>
                <w:szCs w:val="21"/>
                <w:color w:val="auto"/>
              </w:rPr>
            </w:pPr>
          </w:p>
        </w:tc>
        <w:tc>
          <w:tcPr>
            <w:tcW w:w="220" w:type="dxa"/>
            <w:vAlign w:val="bottom"/>
            <w:tcBorders>
              <w:bottom w:val="single" w:sz="8" w:color="CFF0FC"/>
            </w:tcBorders>
            <w:shd w:val="clear" w:color="auto" w:fill="CFF0FC"/>
          </w:tcPr>
          <w:p>
            <w:pPr>
              <w:spacing w:after="0"/>
              <w:rPr>
                <w:sz w:val="21"/>
                <w:szCs w:val="21"/>
                <w:color w:val="auto"/>
              </w:rPr>
            </w:pPr>
          </w:p>
        </w:tc>
        <w:tc>
          <w:tcPr>
            <w:tcW w:w="19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196"/>
        </w:trPr>
        <w:tc>
          <w:tcPr>
            <w:tcW w:w="5160" w:type="dxa"/>
            <w:vAlign w:val="bottom"/>
            <w:gridSpan w:val="2"/>
          </w:tcPr>
          <w:p>
            <w:pPr>
              <w:ind w:left="20"/>
              <w:spacing w:after="0" w:line="196" w:lineRule="exact"/>
              <w:rPr>
                <w:sz w:val="20"/>
                <w:szCs w:val="20"/>
                <w:color w:val="auto"/>
              </w:rPr>
            </w:pPr>
            <w:r>
              <w:rPr>
                <w:rFonts w:ascii="Times New Roman" w:cs="Times New Roman" w:eastAsia="Times New Roman" w:hAnsi="Times New Roman"/>
                <w:sz w:val="18"/>
                <w:szCs w:val="18"/>
                <w:color w:val="auto"/>
              </w:rPr>
              <w:t>Exercisable as of December 31, 2024</w:t>
            </w:r>
          </w:p>
        </w:tc>
        <w:tc>
          <w:tcPr>
            <w:tcW w:w="54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2,484</w:t>
            </w:r>
          </w:p>
        </w:tc>
        <w:tc>
          <w:tcPr>
            <w:tcW w:w="320" w:type="dxa"/>
            <w:vAlign w:val="bottom"/>
          </w:tcPr>
          <w:p>
            <w:pPr>
              <w:spacing w:after="0"/>
              <w:rPr>
                <w:sz w:val="17"/>
                <w:szCs w:val="17"/>
                <w:color w:val="auto"/>
              </w:rPr>
            </w:pPr>
          </w:p>
        </w:tc>
        <w:tc>
          <w:tcPr>
            <w:tcW w:w="14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32.10</w:t>
            </w:r>
          </w:p>
        </w:tc>
        <w:tc>
          <w:tcPr>
            <w:tcW w:w="500" w:type="dxa"/>
            <w:vAlign w:val="bottom"/>
            <w:gridSpan w:val="2"/>
          </w:tcPr>
          <w:p>
            <w:pPr>
              <w:jc w:val="right"/>
              <w:ind w:right="8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639,759</w:t>
            </w:r>
          </w:p>
        </w:tc>
        <w:tc>
          <w:tcPr>
            <w:tcW w:w="2140" w:type="dxa"/>
            <w:vAlign w:val="bottom"/>
            <w:gridSpan w:val="2"/>
          </w:tcPr>
          <w:p>
            <w:pPr>
              <w:jc w:val="right"/>
              <w:spacing w:after="0" w:line="196" w:lineRule="exact"/>
              <w:rPr>
                <w:sz w:val="20"/>
                <w:szCs w:val="20"/>
                <w:color w:val="auto"/>
              </w:rPr>
            </w:pPr>
            <w:r>
              <w:rPr>
                <w:rFonts w:ascii="Times New Roman" w:cs="Times New Roman" w:eastAsia="Times New Roman" w:hAnsi="Times New Roman"/>
                <w:sz w:val="18"/>
                <w:szCs w:val="18"/>
                <w:color w:val="auto"/>
              </w:rPr>
              <w:t>5.9</w:t>
            </w:r>
          </w:p>
        </w:tc>
        <w:tc>
          <w:tcPr>
            <w:tcW w:w="1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418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Expected to vest as of December 31, 2024</w:t>
            </w:r>
          </w:p>
        </w:tc>
        <w:tc>
          <w:tcPr>
            <w:tcW w:w="980" w:type="dxa"/>
            <w:vAlign w:val="bottom"/>
            <w:tcBorders>
              <w:bottom w:val="single" w:sz="8" w:color="auto"/>
            </w:tcBorders>
            <w:shd w:val="clear" w:color="auto" w:fill="CFF0FC"/>
          </w:tcPr>
          <w:p>
            <w:pPr>
              <w:spacing w:after="0"/>
              <w:rPr>
                <w:sz w:val="18"/>
                <w:szCs w:val="18"/>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2,472</w:t>
            </w:r>
          </w:p>
        </w:tc>
        <w:tc>
          <w:tcPr>
            <w:tcW w:w="320" w:type="dxa"/>
            <w:vAlign w:val="bottom"/>
            <w:tcBorders>
              <w:bottom w:val="single" w:sz="8" w:color="CFF0FC"/>
            </w:tcBorders>
            <w:shd w:val="clear" w:color="auto" w:fill="CFF0FC"/>
          </w:tcPr>
          <w:p>
            <w:pPr>
              <w:spacing w:after="0"/>
              <w:rPr>
                <w:sz w:val="18"/>
                <w:szCs w:val="18"/>
                <w:color w:val="auto"/>
              </w:rPr>
            </w:pPr>
          </w:p>
        </w:tc>
        <w:tc>
          <w:tcPr>
            <w:tcW w:w="1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45.04</w:t>
            </w:r>
          </w:p>
        </w:tc>
        <w:tc>
          <w:tcPr>
            <w:tcW w:w="320" w:type="dxa"/>
            <w:vAlign w:val="bottom"/>
            <w:tcBorders>
              <w:bottom w:val="single" w:sz="8" w:color="CFF0FC"/>
            </w:tcBorders>
            <w:shd w:val="clear" w:color="auto" w:fill="CFF0FC"/>
          </w:tcPr>
          <w:p>
            <w:pPr>
              <w:spacing w:after="0"/>
              <w:rPr>
                <w:sz w:val="18"/>
                <w:szCs w:val="18"/>
                <w:color w:val="auto"/>
              </w:rPr>
            </w:pPr>
          </w:p>
        </w:tc>
        <w:tc>
          <w:tcPr>
            <w:tcW w:w="180" w:type="dxa"/>
            <w:vAlign w:val="bottom"/>
            <w:tcBorders>
              <w:bottom w:val="single" w:sz="8" w:color="auto"/>
            </w:tcBorders>
            <w:shd w:val="clear" w:color="auto" w:fill="CFF0FC"/>
          </w:tcPr>
          <w:p>
            <w:pPr>
              <w:spacing w:after="0"/>
              <w:rPr>
                <w:sz w:val="18"/>
                <w:szCs w:val="18"/>
                <w:color w:val="auto"/>
              </w:rPr>
            </w:pPr>
          </w:p>
        </w:tc>
        <w:tc>
          <w:tcPr>
            <w:tcW w:w="10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604,514</w:t>
            </w:r>
          </w:p>
        </w:tc>
        <w:tc>
          <w:tcPr>
            <w:tcW w:w="2140" w:type="dxa"/>
            <w:vAlign w:val="bottom"/>
            <w:tcBorders>
              <w:bottom w:val="single" w:sz="8" w:color="CFF0FC"/>
            </w:tcBorders>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7.2</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516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Total</w:t>
            </w:r>
          </w:p>
        </w:tc>
        <w:tc>
          <w:tcPr>
            <w:tcW w:w="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4,956</w:t>
            </w:r>
          </w:p>
        </w:tc>
        <w:tc>
          <w:tcPr>
            <w:tcW w:w="320" w:type="dxa"/>
            <w:vAlign w:val="bottom"/>
          </w:tcPr>
          <w:p>
            <w:pPr>
              <w:spacing w:after="0"/>
              <w:rPr>
                <w:sz w:val="18"/>
                <w:szCs w:val="18"/>
                <w:color w:val="auto"/>
              </w:rPr>
            </w:pP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38.56</w:t>
            </w:r>
          </w:p>
        </w:tc>
        <w:tc>
          <w:tcPr>
            <w:tcW w:w="500" w:type="dxa"/>
            <w:vAlign w:val="bottom"/>
            <w:gridSpan w:val="2"/>
          </w:tcPr>
          <w:p>
            <w:pPr>
              <w:jc w:val="right"/>
              <w:ind w:right="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1,244,273</w:t>
            </w:r>
          </w:p>
        </w:tc>
        <w:tc>
          <w:tcPr>
            <w:tcW w:w="2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6.5</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4180" w:type="dxa"/>
            <w:vAlign w:val="bottom"/>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340" w:type="dxa"/>
            <w:vAlign w:val="bottom"/>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10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92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3622675</wp:posOffset>
            </wp:positionH>
            <wp:positionV relativeFrom="paragraph">
              <wp:posOffset>-1636395</wp:posOffset>
            </wp:positionV>
            <wp:extent cx="68580" cy="8255"/>
            <wp:wrapNone/>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42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3622675</wp:posOffset>
            </wp:positionH>
            <wp:positionV relativeFrom="paragraph">
              <wp:posOffset>-1619885</wp:posOffset>
            </wp:positionV>
            <wp:extent cx="68580" cy="8255"/>
            <wp:wrapNone/>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42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3622675</wp:posOffset>
            </wp:positionH>
            <wp:positionV relativeFrom="paragraph">
              <wp:posOffset>-1054100</wp:posOffset>
            </wp:positionV>
            <wp:extent cx="68580" cy="8255"/>
            <wp:wrapNone/>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42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3622675</wp:posOffset>
            </wp:positionH>
            <wp:positionV relativeFrom="paragraph">
              <wp:posOffset>-1036320</wp:posOffset>
            </wp:positionV>
            <wp:extent cx="68580" cy="8255"/>
            <wp:wrapNone/>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42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3622675</wp:posOffset>
            </wp:positionH>
            <wp:positionV relativeFrom="paragraph">
              <wp:posOffset>-471170</wp:posOffset>
            </wp:positionV>
            <wp:extent cx="68580" cy="8255"/>
            <wp:wrapNone/>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42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3622675</wp:posOffset>
            </wp:positionH>
            <wp:positionV relativeFrom="paragraph">
              <wp:posOffset>-454025</wp:posOffset>
            </wp:positionV>
            <wp:extent cx="68580" cy="8255"/>
            <wp:wrapNone/>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43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3622675</wp:posOffset>
            </wp:positionH>
            <wp:positionV relativeFrom="paragraph">
              <wp:posOffset>-170815</wp:posOffset>
            </wp:positionV>
            <wp:extent cx="68580" cy="8255"/>
            <wp:wrapNone/>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43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5714365</wp:posOffset>
            </wp:positionH>
            <wp:positionV relativeFrom="paragraph">
              <wp:posOffset>-170815</wp:posOffset>
            </wp:positionV>
            <wp:extent cx="68580" cy="8255"/>
            <wp:wrapNone/>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432">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21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Stock options outstanding as of December 31, 2024 are comprised of the following range of exercise prices per share (in thousands, except per share data and years):</w:t>
      </w:r>
    </w:p>
    <w:p>
      <w:pPr>
        <w:spacing w:after="0" w:line="155"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512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6000" w:type="dxa"/>
            <w:vAlign w:val="bottom"/>
            <w:gridSpan w:val="7"/>
          </w:tcPr>
          <w:p>
            <w:pPr>
              <w:ind w:left="1440"/>
              <w:spacing w:after="0"/>
              <w:rPr>
                <w:sz w:val="20"/>
                <w:szCs w:val="20"/>
                <w:color w:val="auto"/>
              </w:rPr>
            </w:pPr>
            <w:r>
              <w:rPr>
                <w:rFonts w:ascii="Times New Roman" w:cs="Times New Roman" w:eastAsia="Times New Roman" w:hAnsi="Times New Roman"/>
                <w:sz w:val="14"/>
                <w:szCs w:val="14"/>
                <w:b w:val="1"/>
                <w:bCs w:val="1"/>
                <w:color w:val="auto"/>
              </w:rPr>
              <w:t>Stock Options Outstanding at December 31, 2024</w:t>
            </w:r>
          </w:p>
        </w:tc>
        <w:tc>
          <w:tcPr>
            <w:tcW w:w="0" w:type="dxa"/>
            <w:vAlign w:val="bottom"/>
          </w:tcPr>
          <w:p>
            <w:pPr>
              <w:spacing w:after="0"/>
              <w:rPr>
                <w:sz w:val="1"/>
                <w:szCs w:val="1"/>
                <w:color w:val="auto"/>
              </w:rPr>
            </w:pPr>
          </w:p>
        </w:tc>
      </w:tr>
      <w:tr>
        <w:trPr>
          <w:trHeight w:val="117"/>
        </w:trPr>
        <w:tc>
          <w:tcPr>
            <w:tcW w:w="51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1820" w:type="dxa"/>
            <w:vAlign w:val="bottom"/>
            <w:tcBorders>
              <w:top w:val="single" w:sz="8" w:color="auto"/>
            </w:tcBorders>
          </w:tcPr>
          <w:p>
            <w:pPr>
              <w:spacing w:after="0"/>
              <w:rPr>
                <w:sz w:val="10"/>
                <w:szCs w:val="10"/>
                <w:color w:val="auto"/>
              </w:rPr>
            </w:pPr>
          </w:p>
        </w:tc>
        <w:tc>
          <w:tcPr>
            <w:tcW w:w="300" w:type="dxa"/>
            <w:vAlign w:val="bottom"/>
            <w:tcBorders>
              <w:top w:val="single" w:sz="8" w:color="auto"/>
            </w:tcBorders>
          </w:tcPr>
          <w:p>
            <w:pPr>
              <w:spacing w:after="0"/>
              <w:rPr>
                <w:sz w:val="10"/>
                <w:szCs w:val="10"/>
                <w:color w:val="auto"/>
              </w:rPr>
            </w:pPr>
          </w:p>
        </w:tc>
        <w:tc>
          <w:tcPr>
            <w:tcW w:w="200" w:type="dxa"/>
            <w:vAlign w:val="bottom"/>
            <w:tcBorders>
              <w:top w:val="single" w:sz="8" w:color="auto"/>
            </w:tcBorders>
          </w:tcPr>
          <w:p>
            <w:pPr>
              <w:spacing w:after="0"/>
              <w:rPr>
                <w:sz w:val="10"/>
                <w:szCs w:val="10"/>
                <w:color w:val="auto"/>
              </w:rPr>
            </w:pPr>
          </w:p>
        </w:tc>
        <w:tc>
          <w:tcPr>
            <w:tcW w:w="1560" w:type="dxa"/>
            <w:vAlign w:val="bottom"/>
            <w:tcBorders>
              <w:top w:val="single" w:sz="8" w:color="auto"/>
            </w:tcBorders>
          </w:tcPr>
          <w:p>
            <w:pPr>
              <w:jc w:val="center"/>
              <w:ind w:right="135"/>
              <w:spacing w:after="0" w:line="118" w:lineRule="exact"/>
              <w:rPr>
                <w:sz w:val="20"/>
                <w:szCs w:val="20"/>
                <w:color w:val="auto"/>
              </w:rPr>
            </w:pPr>
            <w:r>
              <w:rPr>
                <w:rFonts w:ascii="Times New Roman" w:cs="Times New Roman" w:eastAsia="Times New Roman" w:hAnsi="Times New Roman"/>
                <w:sz w:val="13"/>
                <w:szCs w:val="13"/>
                <w:b w:val="1"/>
                <w:bCs w:val="1"/>
                <w:color w:val="auto"/>
              </w:rPr>
              <w:t>Weighted Average</w:t>
            </w:r>
          </w:p>
        </w:tc>
        <w:tc>
          <w:tcPr>
            <w:tcW w:w="220" w:type="dxa"/>
            <w:vAlign w:val="bottom"/>
            <w:tcBorders>
              <w:top w:val="single" w:sz="8" w:color="auto"/>
            </w:tcBorders>
          </w:tcPr>
          <w:p>
            <w:pPr>
              <w:spacing w:after="0"/>
              <w:rPr>
                <w:sz w:val="10"/>
                <w:szCs w:val="10"/>
                <w:color w:val="auto"/>
              </w:rPr>
            </w:pPr>
          </w:p>
        </w:tc>
        <w:tc>
          <w:tcPr>
            <w:tcW w:w="1800" w:type="dxa"/>
            <w:vAlign w:val="bottom"/>
            <w:tcBorders>
              <w:top w:val="single" w:sz="8" w:color="auto"/>
            </w:tcBorders>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Weighted Average</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8"/>
        </w:trPr>
        <w:tc>
          <w:tcPr>
            <w:tcW w:w="5120" w:type="dxa"/>
            <w:vAlign w:val="bottom"/>
            <w:vMerge w:val="restart"/>
          </w:tcPr>
          <w:p>
            <w:pPr>
              <w:ind w:left="20"/>
              <w:spacing w:after="0"/>
              <w:rPr>
                <w:sz w:val="20"/>
                <w:szCs w:val="20"/>
                <w:color w:val="auto"/>
              </w:rPr>
            </w:pPr>
            <w:r>
              <w:rPr>
                <w:rFonts w:ascii="Times New Roman" w:cs="Times New Roman" w:eastAsia="Times New Roman" w:hAnsi="Times New Roman"/>
                <w:sz w:val="14"/>
                <w:szCs w:val="14"/>
                <w:b w:val="1"/>
                <w:bCs w:val="1"/>
                <w:color w:val="auto"/>
              </w:rPr>
              <w:t>Range of Exercise Prices per Share</w:t>
            </w:r>
          </w:p>
        </w:tc>
        <w:tc>
          <w:tcPr>
            <w:tcW w:w="120" w:type="dxa"/>
            <w:vAlign w:val="bottom"/>
            <w:vMerge w:val="restart"/>
          </w:tcPr>
          <w:p>
            <w:pPr>
              <w:spacing w:after="0"/>
              <w:rPr>
                <w:sz w:val="12"/>
                <w:szCs w:val="12"/>
                <w:color w:val="auto"/>
              </w:rPr>
            </w:pPr>
          </w:p>
        </w:tc>
        <w:tc>
          <w:tcPr>
            <w:tcW w:w="1820" w:type="dxa"/>
            <w:vAlign w:val="bottom"/>
            <w:vMerge w:val="restart"/>
          </w:tcPr>
          <w:p>
            <w:pPr>
              <w:jc w:val="right"/>
              <w:ind w:right="614"/>
              <w:spacing w:after="0"/>
              <w:rPr>
                <w:sz w:val="20"/>
                <w:szCs w:val="20"/>
                <w:color w:val="auto"/>
              </w:rPr>
            </w:pPr>
            <w:r>
              <w:rPr>
                <w:rFonts w:ascii="Times New Roman" w:cs="Times New Roman" w:eastAsia="Times New Roman" w:hAnsi="Times New Roman"/>
                <w:sz w:val="14"/>
                <w:szCs w:val="14"/>
                <w:b w:val="1"/>
                <w:bCs w:val="1"/>
                <w:color w:val="auto"/>
              </w:rPr>
              <w:t>Shares</w:t>
            </w:r>
          </w:p>
        </w:tc>
        <w:tc>
          <w:tcPr>
            <w:tcW w:w="30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560" w:type="dxa"/>
            <w:vAlign w:val="bottom"/>
          </w:tcPr>
          <w:p>
            <w:pPr>
              <w:jc w:val="center"/>
              <w:ind w:right="115"/>
              <w:spacing w:after="0" w:line="149" w:lineRule="exact"/>
              <w:rPr>
                <w:sz w:val="20"/>
                <w:szCs w:val="20"/>
                <w:color w:val="auto"/>
              </w:rPr>
            </w:pPr>
            <w:r>
              <w:rPr>
                <w:rFonts w:ascii="Times New Roman" w:cs="Times New Roman" w:eastAsia="Times New Roman" w:hAnsi="Times New Roman"/>
                <w:sz w:val="14"/>
                <w:szCs w:val="14"/>
                <w:b w:val="1"/>
                <w:bCs w:val="1"/>
                <w:color w:val="auto"/>
              </w:rPr>
              <w:t>Exercise Price</w:t>
            </w:r>
          </w:p>
        </w:tc>
        <w:tc>
          <w:tcPr>
            <w:tcW w:w="220" w:type="dxa"/>
            <w:vAlign w:val="bottom"/>
          </w:tcPr>
          <w:p>
            <w:pPr>
              <w:spacing w:after="0"/>
              <w:rPr>
                <w:sz w:val="12"/>
                <w:szCs w:val="12"/>
                <w:color w:val="auto"/>
              </w:rPr>
            </w:pPr>
          </w:p>
        </w:tc>
        <w:tc>
          <w:tcPr>
            <w:tcW w:w="1900" w:type="dxa"/>
            <w:vAlign w:val="bottom"/>
            <w:gridSpan w:val="2"/>
          </w:tcPr>
          <w:p>
            <w:pPr>
              <w:jc w:val="center"/>
              <w:ind w:right="120"/>
              <w:spacing w:after="0" w:line="149" w:lineRule="exact"/>
              <w:rPr>
                <w:sz w:val="20"/>
                <w:szCs w:val="20"/>
                <w:color w:val="auto"/>
              </w:rPr>
            </w:pPr>
            <w:r>
              <w:rPr>
                <w:rFonts w:ascii="Times New Roman" w:cs="Times New Roman" w:eastAsia="Times New Roman" w:hAnsi="Times New Roman"/>
                <w:sz w:val="14"/>
                <w:szCs w:val="14"/>
                <w:b w:val="1"/>
                <w:bCs w:val="1"/>
                <w:color w:val="auto"/>
              </w:rPr>
              <w:t>Remaining Contractual</w:t>
            </w:r>
          </w:p>
        </w:tc>
        <w:tc>
          <w:tcPr>
            <w:tcW w:w="0" w:type="dxa"/>
            <w:vAlign w:val="bottom"/>
          </w:tcPr>
          <w:p>
            <w:pPr>
              <w:spacing w:after="0"/>
              <w:rPr>
                <w:sz w:val="1"/>
                <w:szCs w:val="1"/>
                <w:color w:val="auto"/>
              </w:rPr>
            </w:pPr>
          </w:p>
        </w:tc>
      </w:tr>
      <w:tr>
        <w:trPr>
          <w:trHeight w:val="173"/>
        </w:trPr>
        <w:tc>
          <w:tcPr>
            <w:tcW w:w="5120" w:type="dxa"/>
            <w:vAlign w:val="bottom"/>
            <w:tcBorders>
              <w:bottom w:val="single" w:sz="8" w:color="auto"/>
            </w:tcBorders>
            <w:vMerge w:val="continue"/>
          </w:tcPr>
          <w:p>
            <w:pPr>
              <w:spacing w:after="0"/>
              <w:rPr>
                <w:sz w:val="15"/>
                <w:szCs w:val="15"/>
                <w:color w:val="auto"/>
              </w:rPr>
            </w:pPr>
          </w:p>
        </w:tc>
        <w:tc>
          <w:tcPr>
            <w:tcW w:w="120" w:type="dxa"/>
            <w:vAlign w:val="bottom"/>
            <w:vMerge w:val="continue"/>
          </w:tcPr>
          <w:p>
            <w:pPr>
              <w:spacing w:after="0"/>
              <w:rPr>
                <w:sz w:val="15"/>
                <w:szCs w:val="15"/>
                <w:color w:val="auto"/>
              </w:rPr>
            </w:pPr>
          </w:p>
        </w:tc>
        <w:tc>
          <w:tcPr>
            <w:tcW w:w="1820" w:type="dxa"/>
            <w:vAlign w:val="bottom"/>
            <w:tcBorders>
              <w:bottom w:val="single" w:sz="8" w:color="auto"/>
            </w:tcBorders>
            <w:vMerge w:val="continue"/>
          </w:tcPr>
          <w:p>
            <w:pPr>
              <w:spacing w:after="0"/>
              <w:rPr>
                <w:sz w:val="15"/>
                <w:szCs w:val="15"/>
                <w:color w:val="auto"/>
              </w:rPr>
            </w:pPr>
          </w:p>
        </w:tc>
        <w:tc>
          <w:tcPr>
            <w:tcW w:w="30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560" w:type="dxa"/>
            <w:vAlign w:val="bottom"/>
            <w:tcBorders>
              <w:bottom w:val="single" w:sz="8" w:color="auto"/>
            </w:tcBorders>
          </w:tcPr>
          <w:p>
            <w:pPr>
              <w:jc w:val="center"/>
              <w:ind w:right="115"/>
              <w:spacing w:after="0"/>
              <w:rPr>
                <w:sz w:val="20"/>
                <w:szCs w:val="20"/>
                <w:color w:val="auto"/>
              </w:rPr>
            </w:pPr>
            <w:r>
              <w:rPr>
                <w:rFonts w:ascii="Times New Roman" w:cs="Times New Roman" w:eastAsia="Times New Roman" w:hAnsi="Times New Roman"/>
                <w:sz w:val="14"/>
                <w:szCs w:val="14"/>
                <w:b w:val="1"/>
                <w:bCs w:val="1"/>
                <w:color w:val="auto"/>
              </w:rPr>
              <w:t>Per Share</w:t>
            </w:r>
          </w:p>
        </w:tc>
        <w:tc>
          <w:tcPr>
            <w:tcW w:w="220" w:type="dxa"/>
            <w:vAlign w:val="bottom"/>
          </w:tcPr>
          <w:p>
            <w:pPr>
              <w:spacing w:after="0"/>
              <w:rPr>
                <w:sz w:val="15"/>
                <w:szCs w:val="15"/>
                <w:color w:val="auto"/>
              </w:rPr>
            </w:pPr>
          </w:p>
        </w:tc>
        <w:tc>
          <w:tcPr>
            <w:tcW w:w="180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Term (Years)</w:t>
            </w: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09"/>
        </w:trPr>
        <w:tc>
          <w:tcPr>
            <w:tcW w:w="5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$12.45 - $20.00</w:t>
            </w:r>
          </w:p>
        </w:tc>
        <w:tc>
          <w:tcPr>
            <w:tcW w:w="120" w:type="dxa"/>
            <w:vAlign w:val="bottom"/>
            <w:shd w:val="clear" w:color="auto" w:fill="CFF0FC"/>
          </w:tcPr>
          <w:p>
            <w:pPr>
              <w:spacing w:after="0"/>
              <w:rPr>
                <w:sz w:val="18"/>
                <w:szCs w:val="18"/>
                <w:color w:val="auto"/>
              </w:rPr>
            </w:pP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1,324</w:t>
            </w:r>
          </w:p>
        </w:tc>
        <w:tc>
          <w:tcPr>
            <w:tcW w:w="50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15.64</w:t>
            </w:r>
          </w:p>
        </w:tc>
        <w:tc>
          <w:tcPr>
            <w:tcW w:w="20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5.1</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1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$20.01 - $30.00</w:t>
            </w:r>
          </w:p>
        </w:tc>
        <w:tc>
          <w:tcPr>
            <w:tcW w:w="120" w:type="dxa"/>
            <w:vAlign w:val="bottom"/>
          </w:tcPr>
          <w:p>
            <w:pPr>
              <w:spacing w:after="0"/>
              <w:rPr>
                <w:sz w:val="18"/>
                <w:szCs w:val="18"/>
                <w:color w:val="auto"/>
              </w:rPr>
            </w:pPr>
          </w:p>
        </w:tc>
        <w:tc>
          <w:tcPr>
            <w:tcW w:w="1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1,021</w:t>
            </w:r>
          </w:p>
        </w:tc>
        <w:tc>
          <w:tcPr>
            <w:tcW w:w="500" w:type="dxa"/>
            <w:vAlign w:val="bottom"/>
            <w:gridSpan w:val="2"/>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24.94</w:t>
            </w:r>
          </w:p>
        </w:tc>
        <w:tc>
          <w:tcPr>
            <w:tcW w:w="20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7.8</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$30.01 - $40.00</w:t>
            </w:r>
          </w:p>
        </w:tc>
        <w:tc>
          <w:tcPr>
            <w:tcW w:w="120" w:type="dxa"/>
            <w:vAlign w:val="bottom"/>
            <w:shd w:val="clear" w:color="auto" w:fill="CFF0FC"/>
          </w:tcPr>
          <w:p>
            <w:pPr>
              <w:spacing w:after="0"/>
              <w:rPr>
                <w:sz w:val="18"/>
                <w:szCs w:val="18"/>
                <w:color w:val="auto"/>
              </w:rPr>
            </w:pP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w:t>
            </w:r>
          </w:p>
        </w:tc>
        <w:tc>
          <w:tcPr>
            <w:tcW w:w="50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30.16</w:t>
            </w:r>
          </w:p>
        </w:tc>
        <w:tc>
          <w:tcPr>
            <w:tcW w:w="20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8.4</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1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$40.01 - $50.00</w:t>
            </w:r>
          </w:p>
        </w:tc>
        <w:tc>
          <w:tcPr>
            <w:tcW w:w="120" w:type="dxa"/>
            <w:vAlign w:val="bottom"/>
          </w:tcPr>
          <w:p>
            <w:pPr>
              <w:spacing w:after="0"/>
              <w:rPr>
                <w:sz w:val="18"/>
                <w:szCs w:val="18"/>
                <w:color w:val="auto"/>
              </w:rPr>
            </w:pPr>
          </w:p>
        </w:tc>
        <w:tc>
          <w:tcPr>
            <w:tcW w:w="1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1,567</w:t>
            </w:r>
          </w:p>
        </w:tc>
        <w:tc>
          <w:tcPr>
            <w:tcW w:w="500" w:type="dxa"/>
            <w:vAlign w:val="bottom"/>
            <w:gridSpan w:val="2"/>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41.18</w:t>
            </w:r>
          </w:p>
        </w:tc>
        <w:tc>
          <w:tcPr>
            <w:tcW w:w="20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7.0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$60.01 - $70.00</w:t>
            </w:r>
          </w:p>
        </w:tc>
        <w:tc>
          <w:tcPr>
            <w:tcW w:w="120" w:type="dxa"/>
            <w:vAlign w:val="bottom"/>
            <w:shd w:val="clear" w:color="auto" w:fill="CFF0FC"/>
          </w:tcPr>
          <w:p>
            <w:pPr>
              <w:spacing w:after="0"/>
              <w:rPr>
                <w:sz w:val="18"/>
                <w:szCs w:val="18"/>
                <w:color w:val="auto"/>
              </w:rPr>
            </w:pP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924</w:t>
            </w:r>
          </w:p>
        </w:tc>
        <w:tc>
          <w:tcPr>
            <w:tcW w:w="50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69.12</w:t>
            </w:r>
          </w:p>
        </w:tc>
        <w:tc>
          <w:tcPr>
            <w:tcW w:w="20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6.1</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1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$150.01 - $160.00</w:t>
            </w:r>
          </w:p>
        </w:tc>
        <w:tc>
          <w:tcPr>
            <w:tcW w:w="120" w:type="dxa"/>
            <w:vAlign w:val="bottom"/>
          </w:tcPr>
          <w:p>
            <w:pPr>
              <w:spacing w:after="0"/>
              <w:rPr>
                <w:sz w:val="18"/>
                <w:szCs w:val="18"/>
                <w:color w:val="auto"/>
              </w:rPr>
            </w:pPr>
          </w:p>
        </w:tc>
        <w:tc>
          <w:tcPr>
            <w:tcW w:w="1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91</w:t>
            </w:r>
          </w:p>
        </w:tc>
        <w:tc>
          <w:tcPr>
            <w:tcW w:w="500" w:type="dxa"/>
            <w:vAlign w:val="bottom"/>
            <w:gridSpan w:val="2"/>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159.47</w:t>
            </w:r>
          </w:p>
        </w:tc>
        <w:tc>
          <w:tcPr>
            <w:tcW w:w="20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9.2</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1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$220.01 - $222.99</w:t>
            </w:r>
          </w:p>
        </w:tc>
        <w:tc>
          <w:tcPr>
            <w:tcW w:w="120" w:type="dxa"/>
            <w:vAlign w:val="bottom"/>
            <w:tcBorders>
              <w:bottom w:val="single" w:sz="8" w:color="CFF0FC"/>
            </w:tcBorders>
            <w:shd w:val="clear" w:color="auto" w:fill="CFF0FC"/>
          </w:tcPr>
          <w:p>
            <w:pPr>
              <w:spacing w:after="0"/>
              <w:rPr>
                <w:sz w:val="18"/>
                <w:szCs w:val="18"/>
                <w:color w:val="auto"/>
              </w:rPr>
            </w:pPr>
          </w:p>
        </w:tc>
        <w:tc>
          <w:tcPr>
            <w:tcW w:w="18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w:t>
            </w:r>
          </w:p>
        </w:tc>
        <w:tc>
          <w:tcPr>
            <w:tcW w:w="500" w:type="dxa"/>
            <w:vAlign w:val="bottom"/>
            <w:tcBorders>
              <w:bottom w:val="single" w:sz="8" w:color="CFF0FC"/>
            </w:tcBorders>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222.99</w:t>
            </w:r>
          </w:p>
        </w:tc>
        <w:tc>
          <w:tcPr>
            <w:tcW w:w="2020" w:type="dxa"/>
            <w:vAlign w:val="bottom"/>
            <w:tcBorders>
              <w:bottom w:val="single" w:sz="8" w:color="CFF0FC"/>
            </w:tcBorders>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9.8</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524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Total</w:t>
            </w:r>
          </w:p>
        </w:tc>
        <w:tc>
          <w:tcPr>
            <w:tcW w:w="18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4,956</w:t>
            </w:r>
          </w:p>
        </w:tc>
        <w:tc>
          <w:tcPr>
            <w:tcW w:w="500" w:type="dxa"/>
            <w:vAlign w:val="bottom"/>
            <w:gridSpan w:val="2"/>
          </w:tcPr>
          <w:p>
            <w:pPr>
              <w:jc w:val="right"/>
              <w:ind w:right="10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38.56</w:t>
            </w:r>
          </w:p>
        </w:tc>
        <w:tc>
          <w:tcPr>
            <w:tcW w:w="20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6.5</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512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1820" w:type="dxa"/>
            <w:vAlign w:val="bottom"/>
            <w:tcBorders>
              <w:bottom w:val="single" w:sz="8" w:color="auto"/>
            </w:tcBorders>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56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80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4488180</wp:posOffset>
            </wp:positionH>
            <wp:positionV relativeFrom="paragraph">
              <wp:posOffset>-170815</wp:posOffset>
            </wp:positionV>
            <wp:extent cx="77470" cy="8255"/>
            <wp:wrapNone/>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433">
                      <a:extLst>
                        <a:ext uri="{28A0092B-C50C-407E-A947-70E740481C1C}"/>
                      </a:extLst>
                    </a:blip>
                    <a:srcRect/>
                    <a:stretch>
                      <a:fillRect/>
                    </a:stretch>
                  </pic:blipFill>
                  <pic:spPr bwMode="auto">
                    <a:xfrm>
                      <a:off x="0" y="0"/>
                      <a:ext cx="77470" cy="8255"/>
                    </a:xfrm>
                    <a:prstGeom prst="rect">
                      <a:avLst/>
                    </a:prstGeom>
                    <a:noFill/>
                  </pic:spPr>
                </pic:pic>
              </a:graphicData>
            </a:graphic>
          </wp:anchor>
        </w:drawing>
      </w:r>
    </w:p>
    <w:p>
      <w:pPr>
        <w:spacing w:after="0" w:line="20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An aggregate of 1,727,360, 2,606,250, and 2,455,000 stock options with an aggregate grant date fair value of $41.3 million, $51.6 million, and $35.8 million vested during the years ended December 31, 2024, 2023, and 2022, respectively.</w:t>
      </w:r>
    </w:p>
    <w:p>
      <w:pPr>
        <w:spacing w:after="0" w:line="54"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weighted average grant date fair value of stock option awards using the Black-Scholes valuation model was $114.18, $19.49, and $20.16 for each share subject to a stock option granted during the years ended December 31, 2024, 2023, and 2022, respectively, based on the following assumptions:</w:t>
      </w:r>
    </w:p>
    <w:p>
      <w:pPr>
        <w:spacing w:after="0" w:line="20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5900" w:type="dxa"/>
            <w:vAlign w:val="bottom"/>
          </w:tcPr>
          <w:p>
            <w:pPr>
              <w:spacing w:after="0"/>
              <w:rPr>
                <w:sz w:val="15"/>
                <w:szCs w:val="15"/>
                <w:color w:val="auto"/>
              </w:rPr>
            </w:pPr>
          </w:p>
        </w:tc>
        <w:tc>
          <w:tcPr>
            <w:tcW w:w="1680" w:type="dxa"/>
            <w:vAlign w:val="bottom"/>
            <w:tcBorders>
              <w:bottom w:val="single" w:sz="8" w:color="auto"/>
            </w:tcBorders>
          </w:tcPr>
          <w:p>
            <w:pPr>
              <w:spacing w:after="0"/>
              <w:rPr>
                <w:sz w:val="15"/>
                <w:szCs w:val="15"/>
                <w:color w:val="auto"/>
              </w:rPr>
            </w:pPr>
          </w:p>
        </w:tc>
        <w:tc>
          <w:tcPr>
            <w:tcW w:w="184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140" w:type="dxa"/>
            <w:vAlign w:val="bottom"/>
            <w:tcBorders>
              <w:bottom w:val="single" w:sz="8" w:color="auto"/>
            </w:tcBorders>
          </w:tcPr>
          <w:p>
            <w:pPr>
              <w:spacing w:after="0"/>
              <w:rPr>
                <w:sz w:val="15"/>
                <w:szCs w:val="15"/>
                <w:color w:val="auto"/>
              </w:rPr>
            </w:pPr>
          </w:p>
        </w:tc>
        <w:tc>
          <w:tcPr>
            <w:tcW w:w="1680" w:type="dxa"/>
            <w:vAlign w:val="bottom"/>
            <w:tcBorders>
              <w:bottom w:val="single" w:sz="8" w:color="auto"/>
            </w:tcBorders>
          </w:tcPr>
          <w:p>
            <w:pPr>
              <w:spacing w:after="0"/>
              <w:rPr>
                <w:sz w:val="15"/>
                <w:szCs w:val="15"/>
                <w:color w:val="auto"/>
              </w:rPr>
            </w:pPr>
          </w:p>
        </w:tc>
      </w:tr>
      <w:tr>
        <w:trPr>
          <w:trHeight w:val="142"/>
        </w:trPr>
        <w:tc>
          <w:tcPr>
            <w:tcW w:w="5900" w:type="dxa"/>
            <w:vAlign w:val="bottom"/>
          </w:tcPr>
          <w:p>
            <w:pPr>
              <w:spacing w:after="0"/>
              <w:rPr>
                <w:sz w:val="12"/>
                <w:szCs w:val="12"/>
                <w:color w:val="auto"/>
              </w:rPr>
            </w:pPr>
          </w:p>
        </w:tc>
        <w:tc>
          <w:tcPr>
            <w:tcW w:w="1680" w:type="dxa"/>
            <w:vAlign w:val="bottom"/>
            <w:tcBorders>
              <w:bottom w:val="single" w:sz="8" w:color="auto"/>
            </w:tcBorders>
          </w:tcPr>
          <w:p>
            <w:pPr>
              <w:jc w:val="right"/>
              <w:ind w:right="614"/>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160" w:type="dxa"/>
            <w:vAlign w:val="bottom"/>
          </w:tcPr>
          <w:p>
            <w:pPr>
              <w:spacing w:after="0"/>
              <w:rPr>
                <w:sz w:val="12"/>
                <w:szCs w:val="12"/>
                <w:color w:val="auto"/>
              </w:rPr>
            </w:pPr>
          </w:p>
        </w:tc>
        <w:tc>
          <w:tcPr>
            <w:tcW w:w="1680" w:type="dxa"/>
            <w:vAlign w:val="bottom"/>
            <w:tcBorders>
              <w:bottom w:val="single" w:sz="8" w:color="auto"/>
            </w:tcBorders>
          </w:tcPr>
          <w:p>
            <w:pPr>
              <w:jc w:val="right"/>
              <w:ind w:right="628"/>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40" w:type="dxa"/>
            <w:vAlign w:val="bottom"/>
          </w:tcPr>
          <w:p>
            <w:pPr>
              <w:spacing w:after="0"/>
              <w:rPr>
                <w:sz w:val="12"/>
                <w:szCs w:val="12"/>
                <w:color w:val="auto"/>
              </w:rPr>
            </w:pPr>
          </w:p>
        </w:tc>
        <w:tc>
          <w:tcPr>
            <w:tcW w:w="1680" w:type="dxa"/>
            <w:vAlign w:val="bottom"/>
            <w:tcBorders>
              <w:bottom w:val="single" w:sz="8" w:color="auto"/>
            </w:tcBorders>
          </w:tcPr>
          <w:p>
            <w:pPr>
              <w:jc w:val="right"/>
              <w:ind w:right="628"/>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r>
      <w:tr>
        <w:trPr>
          <w:trHeight w:val="210"/>
        </w:trPr>
        <w:tc>
          <w:tcPr>
            <w:tcW w:w="59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Expected term of awards in years</w:t>
            </w:r>
          </w:p>
        </w:tc>
        <w:tc>
          <w:tcPr>
            <w:tcW w:w="1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5.5 - 6.3</w:t>
            </w:r>
          </w:p>
        </w:tc>
        <w:tc>
          <w:tcPr>
            <w:tcW w:w="1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5.5 - 6.3</w:t>
            </w:r>
          </w:p>
        </w:tc>
        <w:tc>
          <w:tcPr>
            <w:tcW w:w="18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6.3</w:t>
            </w:r>
          </w:p>
        </w:tc>
      </w:tr>
      <w:tr>
        <w:trPr>
          <w:trHeight w:val="216"/>
        </w:trPr>
        <w:tc>
          <w:tcPr>
            <w:tcW w:w="59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Expected volatility</w:t>
            </w:r>
          </w:p>
        </w:tc>
        <w:tc>
          <w:tcPr>
            <w:tcW w:w="1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75.1% - 82.8%</w:t>
            </w:r>
          </w:p>
        </w:tc>
        <w:tc>
          <w:tcPr>
            <w:tcW w:w="18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70.6% - 74.1%</w:t>
            </w:r>
          </w:p>
        </w:tc>
        <w:tc>
          <w:tcPr>
            <w:tcW w:w="18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58.4% - 75.5%</w:t>
            </w:r>
          </w:p>
        </w:tc>
      </w:tr>
      <w:tr>
        <w:trPr>
          <w:trHeight w:val="216"/>
        </w:trPr>
        <w:tc>
          <w:tcPr>
            <w:tcW w:w="59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Risk-free interest rate</w:t>
            </w:r>
          </w:p>
        </w:tc>
        <w:tc>
          <w:tcPr>
            <w:tcW w:w="1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 - 4.5%</w:t>
            </w:r>
          </w:p>
        </w:tc>
        <w:tc>
          <w:tcPr>
            <w:tcW w:w="1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 - 4.4%</w:t>
            </w:r>
          </w:p>
        </w:tc>
        <w:tc>
          <w:tcPr>
            <w:tcW w:w="18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 - 3.9%</w:t>
            </w:r>
          </w:p>
        </w:tc>
      </w:tr>
      <w:tr>
        <w:trPr>
          <w:trHeight w:val="234"/>
        </w:trPr>
        <w:tc>
          <w:tcPr>
            <w:tcW w:w="59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Expected dividend yield</w:t>
            </w:r>
          </w:p>
        </w:tc>
        <w:tc>
          <w:tcPr>
            <w:tcW w:w="1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8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0.0%</w:t>
            </w:r>
          </w:p>
        </w:tc>
        <w:tc>
          <w:tcPr>
            <w:tcW w:w="18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0.0%</w:t>
            </w:r>
          </w:p>
        </w:tc>
      </w:tr>
    </w:tbl>
    <w:p>
      <w:pPr>
        <w:spacing w:after="0" w:line="22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recognized approximately $39.4 million, $44.8 million, and $48.3 million in share-based compensation expense for the years ended December 31, 2024, 2023, and 2022, respectively, from stock options granted under the Stock Incentive Plans. As of December 31, 2024, there was approximately $36.1 million of total unrecognized share-based compensation expense related to unvested stock options, which the Company expects to recognize over a weighted average vesting period of approximately 1.8 years.</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105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43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105" w:name="page106"/>
    <w:bookmarkEnd w:id="105"/>
    <w:p>
      <w:pPr>
        <w:spacing w:after="0"/>
        <w:rPr>
          <w:sz w:val="20"/>
          <w:szCs w:val="20"/>
          <w:color w:val="auto"/>
        </w:rPr>
      </w:pPr>
      <w:r>
        <w:rPr>
          <w:rFonts w:ascii="Times New Roman" w:cs="Times New Roman" w:eastAsia="Times New Roman" w:hAnsi="Times New Roman"/>
          <w:sz w:val="18"/>
          <w:szCs w:val="18"/>
          <w:b w:val="1"/>
          <w:bCs w:val="1"/>
          <w:i w:val="1"/>
          <w:iCs w:val="1"/>
          <w:color w:val="auto"/>
        </w:rPr>
        <w:t>Share-settled restricted stock units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Share-settled restricted stock units granted under the Stock Incentive Plans entitle recipients to receive a number of shares of the Company’s class A common stock over a vesting period, as specified in the applicable restricted stock unit agreement. Although the Company may in its sole discretion elect to pay fully or partially in cash in lieu of settling solely in shares, it does not currently intend to do so.</w:t>
      </w:r>
    </w:p>
    <w:p>
      <w:pPr>
        <w:spacing w:after="0" w:line="68"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Share-based compensation expense related to share-settled restricted stock units is based on the fair value of the Company’s class A common stock on the date of grant. The Company recognizes share-based compensation expense associated with such share-settled restricted stock unit awards on a straight-line basis over the award’s requisite service period (generally, the vesting period). With the exception of share-settled restricted stock unit awards to non-employee members of the Company’s Board of Directors, which vest in full after one year, the share-settled restricted stock unit awards granted to date vest in equal annual installments over a four-year period (unless accelerated in connection with a change in control event under specified conditions as set forth in the applicable restricted stock unit agreement or otherwise in accordance with provisions of the Stock Incentive Plan or applicable restricted stock unit agreement). In the second quarter of 2024, the Company transitioned from a “net settlement” approach, which it previously used in nearly all jurisdictions in which restricted stock units were granted, to generally using a “sell-to-cover” approach for settling its share-settled restricted stock units. Under a “net settlement” approach, when settling restricted stock units, the Company withholds shares equal in value to the statutory withholding obligations and pays the tax withholding amount from its own cash reserves. The tax payment under the “net settlement” approach is reflected as a financing activity on the Consolidated Statements of Cash Flows. Under a “sell-to-cover” approach, shares underlying vested awards are issued in full and participants sell shares in the market in amounts necessary to satisfy statutory withholding obligations. The tax withholding obligations are therefore satisfied with proceeds from these sales rather than from the Company’s cash reserves.</w:t>
      </w:r>
    </w:p>
    <w:p>
      <w:pPr>
        <w:spacing w:after="0" w:line="7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of December 31, 2024, there were 1,230,672 share-settled restricted stock units outstanding under the Stock Incentive Plans. The following table summarizes the Company’s share-settled restricted stock unit activity (in thousands) for the periods indicated:</w:t>
      </w:r>
    </w:p>
    <w:p>
      <w:pPr>
        <w:spacing w:after="0" w:line="209" w:lineRule="exact"/>
        <w:rPr>
          <w:sz w:val="20"/>
          <w:szCs w:val="20"/>
          <w:color w:val="auto"/>
        </w:rPr>
      </w:pPr>
    </w:p>
    <w:p>
      <w:pPr>
        <w:ind w:left="7240"/>
        <w:spacing w:after="0"/>
        <w:rPr>
          <w:sz w:val="20"/>
          <w:szCs w:val="20"/>
          <w:color w:val="auto"/>
        </w:rPr>
      </w:pPr>
      <w:r>
        <w:rPr>
          <w:rFonts w:ascii="Times New Roman" w:cs="Times New Roman" w:eastAsia="Times New Roman" w:hAnsi="Times New Roman"/>
          <w:sz w:val="14"/>
          <w:szCs w:val="14"/>
          <w:b w:val="1"/>
          <w:bCs w:val="1"/>
          <w:color w:val="auto"/>
        </w:rPr>
        <w:t>Share-Settled Restricted Stock Units Outstanding</w:t>
      </w:r>
    </w:p>
    <w:p>
      <w:pPr>
        <w:spacing w:after="0" w:line="12" w:lineRule="exact"/>
        <w:rPr>
          <w:sz w:val="20"/>
          <w:szCs w:val="20"/>
          <w:color w:val="auto"/>
        </w:rPr>
      </w:pPr>
    </w:p>
    <w:tbl>
      <w:tblPr>
        <w:tblLayout w:type="fixed"/>
        <w:tblInd w:w="0" w:type="dxa"/>
        <w:tblCellMar>
          <w:top w:w="0" w:type="dxa"/>
          <w:left w:w="0" w:type="dxa"/>
          <w:bottom w:w="0" w:type="dxa"/>
          <w:right w:w="0" w:type="dxa"/>
        </w:tblCellMar>
      </w:tblPr>
      <w:tr>
        <w:trPr>
          <w:trHeight w:val="117"/>
        </w:trPr>
        <w:tc>
          <w:tcPr>
            <w:tcW w:w="6420" w:type="dxa"/>
            <w:vAlign w:val="bottom"/>
          </w:tcPr>
          <w:p>
            <w:pPr>
              <w:spacing w:after="0"/>
              <w:rPr>
                <w:sz w:val="10"/>
                <w:szCs w:val="10"/>
                <w:color w:val="auto"/>
              </w:rPr>
            </w:pPr>
          </w:p>
        </w:tc>
        <w:tc>
          <w:tcPr>
            <w:tcW w:w="1540" w:type="dxa"/>
            <w:vAlign w:val="bottom"/>
            <w:tcBorders>
              <w:top w:val="single" w:sz="8" w:color="auto"/>
            </w:tcBorders>
            <w:vMerge w:val="restart"/>
          </w:tcPr>
          <w:p>
            <w:pPr>
              <w:ind w:left="940"/>
              <w:spacing w:after="0"/>
              <w:rPr>
                <w:sz w:val="20"/>
                <w:szCs w:val="20"/>
                <w:color w:val="auto"/>
              </w:rPr>
            </w:pPr>
            <w:r>
              <w:rPr>
                <w:rFonts w:ascii="Times New Roman" w:cs="Times New Roman" w:eastAsia="Times New Roman" w:hAnsi="Times New Roman"/>
                <w:sz w:val="14"/>
                <w:szCs w:val="14"/>
                <w:b w:val="1"/>
                <w:bCs w:val="1"/>
                <w:color w:val="auto"/>
              </w:rPr>
              <w:t>Units</w:t>
            </w:r>
          </w:p>
        </w:tc>
        <w:tc>
          <w:tcPr>
            <w:tcW w:w="680" w:type="dxa"/>
            <w:vAlign w:val="bottom"/>
            <w:tcBorders>
              <w:top w:val="single" w:sz="8" w:color="auto"/>
            </w:tcBorders>
          </w:tcPr>
          <w:p>
            <w:pPr>
              <w:spacing w:after="0"/>
              <w:rPr>
                <w:sz w:val="10"/>
                <w:szCs w:val="10"/>
                <w:color w:val="auto"/>
              </w:rPr>
            </w:pPr>
          </w:p>
        </w:tc>
        <w:tc>
          <w:tcPr>
            <w:tcW w:w="320" w:type="dxa"/>
            <w:vAlign w:val="bottom"/>
            <w:tcBorders>
              <w:top w:val="single" w:sz="8" w:color="auto"/>
            </w:tcBorders>
          </w:tcPr>
          <w:p>
            <w:pPr>
              <w:spacing w:after="0"/>
              <w:rPr>
                <w:sz w:val="10"/>
                <w:szCs w:val="10"/>
                <w:color w:val="auto"/>
              </w:rPr>
            </w:pPr>
          </w:p>
        </w:tc>
        <w:tc>
          <w:tcPr>
            <w:tcW w:w="360" w:type="dxa"/>
            <w:vAlign w:val="bottom"/>
            <w:tcBorders>
              <w:top w:val="single" w:sz="8" w:color="auto"/>
            </w:tcBorders>
          </w:tcPr>
          <w:p>
            <w:pPr>
              <w:spacing w:after="0"/>
              <w:rPr>
                <w:sz w:val="10"/>
                <w:szCs w:val="10"/>
                <w:color w:val="auto"/>
              </w:rPr>
            </w:pPr>
          </w:p>
        </w:tc>
        <w:tc>
          <w:tcPr>
            <w:tcW w:w="1820" w:type="dxa"/>
            <w:vAlign w:val="bottom"/>
            <w:tcBorders>
              <w:top w:val="single" w:sz="8" w:color="auto"/>
            </w:tcBorders>
          </w:tcPr>
          <w:p>
            <w:pPr>
              <w:jc w:val="right"/>
              <w:ind w:right="697"/>
              <w:spacing w:after="0" w:line="118" w:lineRule="exact"/>
              <w:rPr>
                <w:sz w:val="20"/>
                <w:szCs w:val="20"/>
                <w:color w:val="auto"/>
              </w:rPr>
            </w:pPr>
            <w:r>
              <w:rPr>
                <w:rFonts w:ascii="Times New Roman" w:cs="Times New Roman" w:eastAsia="Times New Roman" w:hAnsi="Times New Roman"/>
                <w:sz w:val="13"/>
                <w:szCs w:val="13"/>
                <w:b w:val="1"/>
                <w:bCs w:val="1"/>
                <w:color w:val="auto"/>
              </w:rPr>
              <w:t>Aggregate</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73"/>
        </w:trPr>
        <w:tc>
          <w:tcPr>
            <w:tcW w:w="6420" w:type="dxa"/>
            <w:vAlign w:val="bottom"/>
          </w:tcPr>
          <w:p>
            <w:pPr>
              <w:spacing w:after="0"/>
              <w:rPr>
                <w:sz w:val="15"/>
                <w:szCs w:val="15"/>
                <w:color w:val="auto"/>
              </w:rPr>
            </w:pPr>
          </w:p>
        </w:tc>
        <w:tc>
          <w:tcPr>
            <w:tcW w:w="1540" w:type="dxa"/>
            <w:vAlign w:val="bottom"/>
            <w:tcBorders>
              <w:bottom w:val="single" w:sz="8" w:color="auto"/>
            </w:tcBorders>
            <w:vMerge w:val="continue"/>
          </w:tcPr>
          <w:p>
            <w:pPr>
              <w:spacing w:after="0"/>
              <w:rPr>
                <w:sz w:val="15"/>
                <w:szCs w:val="15"/>
                <w:color w:val="auto"/>
              </w:rPr>
            </w:pPr>
          </w:p>
        </w:tc>
        <w:tc>
          <w:tcPr>
            <w:tcW w:w="680" w:type="dxa"/>
            <w:vAlign w:val="bottom"/>
            <w:tcBorders>
              <w:bottom w:val="single" w:sz="8" w:color="auto"/>
            </w:tcBorders>
          </w:tcPr>
          <w:p>
            <w:pPr>
              <w:spacing w:after="0"/>
              <w:rPr>
                <w:sz w:val="15"/>
                <w:szCs w:val="15"/>
                <w:color w:val="auto"/>
              </w:rPr>
            </w:pPr>
          </w:p>
        </w:tc>
        <w:tc>
          <w:tcPr>
            <w:tcW w:w="320" w:type="dxa"/>
            <w:vAlign w:val="bottom"/>
          </w:tcPr>
          <w:p>
            <w:pPr>
              <w:spacing w:after="0"/>
              <w:rPr>
                <w:sz w:val="15"/>
                <w:szCs w:val="15"/>
                <w:color w:val="auto"/>
              </w:rPr>
            </w:pPr>
          </w:p>
        </w:tc>
        <w:tc>
          <w:tcPr>
            <w:tcW w:w="360" w:type="dxa"/>
            <w:vAlign w:val="bottom"/>
            <w:tcBorders>
              <w:bottom w:val="single" w:sz="8" w:color="auto"/>
            </w:tcBorders>
          </w:tcPr>
          <w:p>
            <w:pPr>
              <w:spacing w:after="0"/>
              <w:rPr>
                <w:sz w:val="15"/>
                <w:szCs w:val="15"/>
                <w:color w:val="auto"/>
              </w:rPr>
            </w:pPr>
          </w:p>
        </w:tc>
        <w:tc>
          <w:tcPr>
            <w:tcW w:w="1820" w:type="dxa"/>
            <w:vAlign w:val="bottom"/>
            <w:tcBorders>
              <w:bottom w:val="single" w:sz="8" w:color="auto"/>
            </w:tcBorders>
          </w:tcPr>
          <w:p>
            <w:pPr>
              <w:jc w:val="right"/>
              <w:ind w:right="557"/>
              <w:spacing w:after="0"/>
              <w:rPr>
                <w:sz w:val="20"/>
                <w:szCs w:val="20"/>
                <w:color w:val="auto"/>
              </w:rPr>
            </w:pPr>
            <w:r>
              <w:rPr>
                <w:rFonts w:ascii="Times New Roman" w:cs="Times New Roman" w:eastAsia="Times New Roman" w:hAnsi="Times New Roman"/>
                <w:sz w:val="14"/>
                <w:szCs w:val="14"/>
                <w:b w:val="1"/>
                <w:bCs w:val="1"/>
                <w:color w:val="auto"/>
              </w:rPr>
              <w:t>Intrinsic Value</w:t>
            </w: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10"/>
        </w:trPr>
        <w:tc>
          <w:tcPr>
            <w:tcW w:w="796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January 1, 2022</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1,051</w:t>
            </w:r>
          </w:p>
        </w:tc>
        <w:tc>
          <w:tcPr>
            <w:tcW w:w="3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18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96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Granted</w:t>
            </w:r>
          </w:p>
        </w:tc>
        <w:tc>
          <w:tcPr>
            <w:tcW w:w="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602</w:t>
            </w:r>
          </w:p>
        </w:tc>
        <w:tc>
          <w:tcPr>
            <w:tcW w:w="3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18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96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Vested</w:t>
            </w:r>
          </w:p>
        </w:tc>
        <w:tc>
          <w:tcPr>
            <w:tcW w:w="100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(282 )</w:t>
            </w: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6,604</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4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w:t>
            </w:r>
          </w:p>
        </w:tc>
        <w:tc>
          <w:tcPr>
            <w:tcW w:w="1540" w:type="dxa"/>
            <w:vAlign w:val="bottom"/>
          </w:tcPr>
          <w:p>
            <w:pPr>
              <w:spacing w:after="0"/>
              <w:rPr>
                <w:sz w:val="18"/>
                <w:szCs w:val="18"/>
                <w:color w:val="auto"/>
              </w:rPr>
            </w:pPr>
          </w:p>
        </w:tc>
        <w:tc>
          <w:tcPr>
            <w:tcW w:w="100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(175 )</w:t>
            </w:r>
          </w:p>
        </w:tc>
        <w:tc>
          <w:tcPr>
            <w:tcW w:w="360" w:type="dxa"/>
            <w:vAlign w:val="bottom"/>
          </w:tcPr>
          <w:p>
            <w:pPr>
              <w:spacing w:after="0"/>
              <w:rPr>
                <w:sz w:val="18"/>
                <w:szCs w:val="18"/>
                <w:color w:val="auto"/>
              </w:rPr>
            </w:pPr>
          </w:p>
        </w:tc>
        <w:tc>
          <w:tcPr>
            <w:tcW w:w="18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50"/>
        </w:trPr>
        <w:tc>
          <w:tcPr>
            <w:tcW w:w="64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December 31, 2022</w:t>
            </w:r>
          </w:p>
        </w:tc>
        <w:tc>
          <w:tcPr>
            <w:tcW w:w="1540" w:type="dxa"/>
            <w:vAlign w:val="bottom"/>
            <w:tcBorders>
              <w:top w:val="single" w:sz="8" w:color="auto"/>
              <w:bottom w:val="single" w:sz="8" w:color="auto"/>
            </w:tcBorders>
            <w:shd w:val="clear" w:color="auto" w:fill="CFF0FC"/>
          </w:tcPr>
          <w:p>
            <w:pPr>
              <w:spacing w:after="0"/>
              <w:rPr>
                <w:sz w:val="21"/>
                <w:szCs w:val="21"/>
                <w:color w:val="auto"/>
              </w:rPr>
            </w:pPr>
          </w:p>
        </w:tc>
        <w:tc>
          <w:tcPr>
            <w:tcW w:w="6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1,196</w:t>
            </w:r>
          </w:p>
        </w:tc>
        <w:tc>
          <w:tcPr>
            <w:tcW w:w="320" w:type="dxa"/>
            <w:vAlign w:val="bottom"/>
            <w:tcBorders>
              <w:bottom w:val="single" w:sz="8" w:color="CFF0FC"/>
            </w:tcBorders>
            <w:shd w:val="clear" w:color="auto" w:fill="CFF0FC"/>
          </w:tcPr>
          <w:p>
            <w:pPr>
              <w:spacing w:after="0"/>
              <w:rPr>
                <w:sz w:val="21"/>
                <w:szCs w:val="21"/>
                <w:color w:val="auto"/>
              </w:rPr>
            </w:pPr>
          </w:p>
        </w:tc>
        <w:tc>
          <w:tcPr>
            <w:tcW w:w="360" w:type="dxa"/>
            <w:vAlign w:val="bottom"/>
            <w:tcBorders>
              <w:bottom w:val="single" w:sz="8" w:color="CFF0FC"/>
            </w:tcBorders>
            <w:shd w:val="clear" w:color="auto" w:fill="CFF0FC"/>
          </w:tcPr>
          <w:p>
            <w:pPr>
              <w:spacing w:after="0"/>
              <w:rPr>
                <w:sz w:val="21"/>
                <w:szCs w:val="21"/>
                <w:color w:val="auto"/>
              </w:rPr>
            </w:pPr>
          </w:p>
        </w:tc>
        <w:tc>
          <w:tcPr>
            <w:tcW w:w="18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197"/>
        </w:trPr>
        <w:tc>
          <w:tcPr>
            <w:tcW w:w="7960" w:type="dxa"/>
            <w:vAlign w:val="bottom"/>
            <w:gridSpan w:val="2"/>
          </w:tcPr>
          <w:p>
            <w:pPr>
              <w:ind w:left="200"/>
              <w:spacing w:after="0" w:line="196" w:lineRule="exact"/>
              <w:rPr>
                <w:sz w:val="20"/>
                <w:szCs w:val="20"/>
                <w:color w:val="auto"/>
              </w:rPr>
            </w:pPr>
            <w:r>
              <w:rPr>
                <w:rFonts w:ascii="Times New Roman" w:cs="Times New Roman" w:eastAsia="Times New Roman" w:hAnsi="Times New Roman"/>
                <w:sz w:val="18"/>
                <w:szCs w:val="18"/>
                <w:color w:val="auto"/>
              </w:rPr>
              <w:t>Granted</w:t>
            </w:r>
          </w:p>
        </w:tc>
        <w:tc>
          <w:tcPr>
            <w:tcW w:w="68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1,229</w:t>
            </w:r>
          </w:p>
        </w:tc>
        <w:tc>
          <w:tcPr>
            <w:tcW w:w="320" w:type="dxa"/>
            <w:vAlign w:val="bottom"/>
          </w:tcPr>
          <w:p>
            <w:pPr>
              <w:spacing w:after="0"/>
              <w:rPr>
                <w:sz w:val="17"/>
                <w:szCs w:val="17"/>
                <w:color w:val="auto"/>
              </w:rPr>
            </w:pPr>
          </w:p>
        </w:tc>
        <w:tc>
          <w:tcPr>
            <w:tcW w:w="360" w:type="dxa"/>
            <w:vAlign w:val="bottom"/>
          </w:tcPr>
          <w:p>
            <w:pPr>
              <w:spacing w:after="0"/>
              <w:rPr>
                <w:sz w:val="17"/>
                <w:szCs w:val="17"/>
                <w:color w:val="auto"/>
              </w:rPr>
            </w:pPr>
          </w:p>
        </w:tc>
        <w:tc>
          <w:tcPr>
            <w:tcW w:w="182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796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Vested</w:t>
            </w:r>
          </w:p>
        </w:tc>
        <w:tc>
          <w:tcPr>
            <w:tcW w:w="100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(365 )</w:t>
            </w: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14,817</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4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w:t>
            </w:r>
          </w:p>
        </w:tc>
        <w:tc>
          <w:tcPr>
            <w:tcW w:w="1540" w:type="dxa"/>
            <w:vAlign w:val="bottom"/>
          </w:tcPr>
          <w:p>
            <w:pPr>
              <w:spacing w:after="0"/>
              <w:rPr>
                <w:sz w:val="18"/>
                <w:szCs w:val="18"/>
                <w:color w:val="auto"/>
              </w:rPr>
            </w:pPr>
          </w:p>
        </w:tc>
        <w:tc>
          <w:tcPr>
            <w:tcW w:w="100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(208 )</w:t>
            </w:r>
          </w:p>
        </w:tc>
        <w:tc>
          <w:tcPr>
            <w:tcW w:w="360" w:type="dxa"/>
            <w:vAlign w:val="bottom"/>
          </w:tcPr>
          <w:p>
            <w:pPr>
              <w:spacing w:after="0"/>
              <w:rPr>
                <w:sz w:val="18"/>
                <w:szCs w:val="18"/>
                <w:color w:val="auto"/>
              </w:rPr>
            </w:pPr>
          </w:p>
        </w:tc>
        <w:tc>
          <w:tcPr>
            <w:tcW w:w="18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50"/>
        </w:trPr>
        <w:tc>
          <w:tcPr>
            <w:tcW w:w="64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December 31, 2023</w:t>
            </w:r>
          </w:p>
        </w:tc>
        <w:tc>
          <w:tcPr>
            <w:tcW w:w="1540" w:type="dxa"/>
            <w:vAlign w:val="bottom"/>
            <w:tcBorders>
              <w:top w:val="single" w:sz="8" w:color="auto"/>
              <w:bottom w:val="single" w:sz="8" w:color="auto"/>
            </w:tcBorders>
            <w:shd w:val="clear" w:color="auto" w:fill="CFF0FC"/>
          </w:tcPr>
          <w:p>
            <w:pPr>
              <w:spacing w:after="0"/>
              <w:rPr>
                <w:sz w:val="21"/>
                <w:szCs w:val="21"/>
                <w:color w:val="auto"/>
              </w:rPr>
            </w:pPr>
          </w:p>
        </w:tc>
        <w:tc>
          <w:tcPr>
            <w:tcW w:w="6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1,852</w:t>
            </w:r>
          </w:p>
        </w:tc>
        <w:tc>
          <w:tcPr>
            <w:tcW w:w="320" w:type="dxa"/>
            <w:vAlign w:val="bottom"/>
            <w:tcBorders>
              <w:bottom w:val="single" w:sz="8" w:color="CFF0FC"/>
            </w:tcBorders>
            <w:shd w:val="clear" w:color="auto" w:fill="CFF0FC"/>
          </w:tcPr>
          <w:p>
            <w:pPr>
              <w:spacing w:after="0"/>
              <w:rPr>
                <w:sz w:val="21"/>
                <w:szCs w:val="21"/>
                <w:color w:val="auto"/>
              </w:rPr>
            </w:pPr>
          </w:p>
        </w:tc>
        <w:tc>
          <w:tcPr>
            <w:tcW w:w="360" w:type="dxa"/>
            <w:vAlign w:val="bottom"/>
            <w:tcBorders>
              <w:bottom w:val="single" w:sz="8" w:color="CFF0FC"/>
            </w:tcBorders>
            <w:shd w:val="clear" w:color="auto" w:fill="CFF0FC"/>
          </w:tcPr>
          <w:p>
            <w:pPr>
              <w:spacing w:after="0"/>
              <w:rPr>
                <w:sz w:val="21"/>
                <w:szCs w:val="21"/>
                <w:color w:val="auto"/>
              </w:rPr>
            </w:pPr>
          </w:p>
        </w:tc>
        <w:tc>
          <w:tcPr>
            <w:tcW w:w="18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197"/>
        </w:trPr>
        <w:tc>
          <w:tcPr>
            <w:tcW w:w="7960" w:type="dxa"/>
            <w:vAlign w:val="bottom"/>
            <w:gridSpan w:val="2"/>
          </w:tcPr>
          <w:p>
            <w:pPr>
              <w:ind w:left="200"/>
              <w:spacing w:after="0" w:line="196" w:lineRule="exact"/>
              <w:rPr>
                <w:sz w:val="20"/>
                <w:szCs w:val="20"/>
                <w:color w:val="auto"/>
              </w:rPr>
            </w:pPr>
            <w:r>
              <w:rPr>
                <w:rFonts w:ascii="Times New Roman" w:cs="Times New Roman" w:eastAsia="Times New Roman" w:hAnsi="Times New Roman"/>
                <w:sz w:val="18"/>
                <w:szCs w:val="18"/>
                <w:color w:val="auto"/>
              </w:rPr>
              <w:t>Granted</w:t>
            </w:r>
          </w:p>
        </w:tc>
        <w:tc>
          <w:tcPr>
            <w:tcW w:w="68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328</w:t>
            </w:r>
          </w:p>
        </w:tc>
        <w:tc>
          <w:tcPr>
            <w:tcW w:w="320" w:type="dxa"/>
            <w:vAlign w:val="bottom"/>
          </w:tcPr>
          <w:p>
            <w:pPr>
              <w:spacing w:after="0"/>
              <w:rPr>
                <w:sz w:val="17"/>
                <w:szCs w:val="17"/>
                <w:color w:val="auto"/>
              </w:rPr>
            </w:pPr>
          </w:p>
        </w:tc>
        <w:tc>
          <w:tcPr>
            <w:tcW w:w="360" w:type="dxa"/>
            <w:vAlign w:val="bottom"/>
          </w:tcPr>
          <w:p>
            <w:pPr>
              <w:spacing w:after="0"/>
              <w:rPr>
                <w:sz w:val="17"/>
                <w:szCs w:val="17"/>
                <w:color w:val="auto"/>
              </w:rPr>
            </w:pPr>
          </w:p>
        </w:tc>
        <w:tc>
          <w:tcPr>
            <w:tcW w:w="182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796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Vested</w:t>
            </w:r>
          </w:p>
        </w:tc>
        <w:tc>
          <w:tcPr>
            <w:tcW w:w="100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(571 )</w:t>
            </w: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112,476</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4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w:t>
            </w:r>
          </w:p>
        </w:tc>
        <w:tc>
          <w:tcPr>
            <w:tcW w:w="1540" w:type="dxa"/>
            <w:vAlign w:val="bottom"/>
          </w:tcPr>
          <w:p>
            <w:pPr>
              <w:spacing w:after="0"/>
              <w:rPr>
                <w:sz w:val="18"/>
                <w:szCs w:val="18"/>
                <w:color w:val="auto"/>
              </w:rPr>
            </w:pPr>
          </w:p>
        </w:tc>
        <w:tc>
          <w:tcPr>
            <w:tcW w:w="100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(378 )</w:t>
            </w:r>
          </w:p>
        </w:tc>
        <w:tc>
          <w:tcPr>
            <w:tcW w:w="360" w:type="dxa"/>
            <w:vAlign w:val="bottom"/>
          </w:tcPr>
          <w:p>
            <w:pPr>
              <w:spacing w:after="0"/>
              <w:rPr>
                <w:sz w:val="18"/>
                <w:szCs w:val="18"/>
                <w:color w:val="auto"/>
              </w:rPr>
            </w:pPr>
          </w:p>
        </w:tc>
        <w:tc>
          <w:tcPr>
            <w:tcW w:w="18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50"/>
        </w:trPr>
        <w:tc>
          <w:tcPr>
            <w:tcW w:w="64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December 31, 2024</w:t>
            </w:r>
          </w:p>
        </w:tc>
        <w:tc>
          <w:tcPr>
            <w:tcW w:w="1540" w:type="dxa"/>
            <w:vAlign w:val="bottom"/>
            <w:tcBorders>
              <w:top w:val="single" w:sz="8" w:color="auto"/>
              <w:bottom w:val="single" w:sz="8" w:color="auto"/>
            </w:tcBorders>
            <w:shd w:val="clear" w:color="auto" w:fill="CFF0FC"/>
          </w:tcPr>
          <w:p>
            <w:pPr>
              <w:spacing w:after="0"/>
              <w:rPr>
                <w:sz w:val="21"/>
                <w:szCs w:val="21"/>
                <w:color w:val="auto"/>
              </w:rPr>
            </w:pPr>
          </w:p>
        </w:tc>
        <w:tc>
          <w:tcPr>
            <w:tcW w:w="6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1,231</w:t>
            </w:r>
          </w:p>
        </w:tc>
        <w:tc>
          <w:tcPr>
            <w:tcW w:w="320" w:type="dxa"/>
            <w:vAlign w:val="bottom"/>
            <w:tcBorders>
              <w:bottom w:val="single" w:sz="8" w:color="CFF0FC"/>
            </w:tcBorders>
            <w:shd w:val="clear" w:color="auto" w:fill="CFF0FC"/>
          </w:tcPr>
          <w:p>
            <w:pPr>
              <w:spacing w:after="0"/>
              <w:rPr>
                <w:sz w:val="21"/>
                <w:szCs w:val="21"/>
                <w:color w:val="auto"/>
              </w:rPr>
            </w:pPr>
          </w:p>
        </w:tc>
        <w:tc>
          <w:tcPr>
            <w:tcW w:w="360" w:type="dxa"/>
            <w:vAlign w:val="bottom"/>
            <w:tcBorders>
              <w:bottom w:val="single" w:sz="8" w:color="CFF0FC"/>
            </w:tcBorders>
            <w:shd w:val="clear" w:color="auto" w:fill="CFF0FC"/>
          </w:tcPr>
          <w:p>
            <w:pPr>
              <w:spacing w:after="0"/>
              <w:rPr>
                <w:sz w:val="21"/>
                <w:szCs w:val="21"/>
                <w:color w:val="auto"/>
              </w:rPr>
            </w:pPr>
          </w:p>
        </w:tc>
        <w:tc>
          <w:tcPr>
            <w:tcW w:w="18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15"/>
        </w:trPr>
        <w:tc>
          <w:tcPr>
            <w:tcW w:w="796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Expected to vest as of December 31, 2024</w:t>
            </w:r>
          </w:p>
        </w:tc>
        <w:tc>
          <w:tcPr>
            <w:tcW w:w="6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1,231</w:t>
            </w:r>
          </w:p>
        </w:tc>
        <w:tc>
          <w:tcPr>
            <w:tcW w:w="320" w:type="dxa"/>
            <w:vAlign w:val="bottom"/>
          </w:tcPr>
          <w:p>
            <w:pPr>
              <w:spacing w:after="0"/>
              <w:rPr>
                <w:sz w:val="18"/>
                <w:szCs w:val="18"/>
                <w:color w:val="auto"/>
              </w:rPr>
            </w:pP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356,427</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5491480</wp:posOffset>
            </wp:positionH>
            <wp:positionV relativeFrom="paragraph">
              <wp:posOffset>-1339850</wp:posOffset>
            </wp:positionV>
            <wp:extent cx="68580" cy="8255"/>
            <wp:wrapNone/>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43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5491480</wp:posOffset>
            </wp:positionH>
            <wp:positionV relativeFrom="paragraph">
              <wp:posOffset>-1322705</wp:posOffset>
            </wp:positionV>
            <wp:extent cx="68580" cy="8255"/>
            <wp:wrapNone/>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43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5491480</wp:posOffset>
            </wp:positionH>
            <wp:positionV relativeFrom="paragraph">
              <wp:posOffset>-756920</wp:posOffset>
            </wp:positionV>
            <wp:extent cx="68580" cy="8255"/>
            <wp:wrapNone/>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43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5491480</wp:posOffset>
            </wp:positionH>
            <wp:positionV relativeFrom="paragraph">
              <wp:posOffset>-739775</wp:posOffset>
            </wp:positionV>
            <wp:extent cx="68580" cy="8255"/>
            <wp:wrapNone/>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43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5491480</wp:posOffset>
            </wp:positionH>
            <wp:positionV relativeFrom="paragraph">
              <wp:posOffset>-173990</wp:posOffset>
            </wp:positionV>
            <wp:extent cx="68580" cy="8255"/>
            <wp:wrapNone/>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43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5491480</wp:posOffset>
            </wp:positionH>
            <wp:positionV relativeFrom="paragraph">
              <wp:posOffset>-156845</wp:posOffset>
            </wp:positionV>
            <wp:extent cx="68580" cy="8255"/>
            <wp:wrapNone/>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440">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59"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During the year ended December 31, 2024, 570,980 share-settled restricted stock units having an aggregate grant date fair value of $19.0 million vested, and 25,060 shares were withheld to satisfy tax obligations, resulting in 545,920 issued shares. During the year ended December 31, 2023, 365,020 share-settled restricted stock units having an aggregate grant date fair value of $13.5 million vested, and 104,400 shares were withheld to satisfy tax obligations, resulting in 260,620 issued shares. During the year ended December 31, 2022, 281,800 share-settled restricted stock units having an aggregate grant date fair value of $12.3 million vested, and 94,670 shares were withheld to satisfy tax obligations, resulting in 187,130 issued shares. The weighted average grant date fair value of share-settled restricted stock units granted during the years ended December 31, 2024, 2023, and 2022 was $146.50, $29.28 and $24.62, respectively, based on the fair value of the Company’s class A common stock. The Company recognized approximately $24.2 million, $17.4 million, and $13.4 million in share-based compensation expense for the years ended December 31, 2024, 2023, and 2022, respectively, from share-settled restricted stock units granted under the Stock Incentive Plans. As of December 31, 2024, there was approximately $57.4 million of total unrecognized share-based compensation expense related to unvested share-settled restricted stock units, which the Company expects to recognize over a weighted average vesting period of approximately 2.8 years.</w:t>
      </w:r>
    </w:p>
    <w:p>
      <w:pPr>
        <w:spacing w:after="0" w:line="29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Share-settled performance stock units</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106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44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332" w:right="339" w:bottom="1440" w:gutter="0" w:footer="0" w:header="0"/>
        </w:sectPr>
      </w:pPr>
    </w:p>
    <w:bookmarkStart w:id="106" w:name="page107"/>
    <w:bookmarkEnd w:id="106"/>
    <w:p>
      <w:pPr>
        <w:jc w:val="both"/>
        <w:spacing w:after="0" w:line="261" w:lineRule="auto"/>
        <w:rPr>
          <w:sz w:val="20"/>
          <w:szCs w:val="20"/>
          <w:color w:val="auto"/>
        </w:rPr>
      </w:pPr>
      <w:r>
        <w:rPr>
          <w:rFonts w:ascii="Times New Roman" w:cs="Times New Roman" w:eastAsia="Times New Roman" w:hAnsi="Times New Roman"/>
          <w:sz w:val="18"/>
          <w:szCs w:val="18"/>
          <w:color w:val="auto"/>
        </w:rPr>
        <w:t>During 2023 and 2024, the Company granted performance stock units under the 2023 Equity Plan. Performance stock units entitle recipients to receive a number of shares of the Company’s class A common stock at a specified date in the future based on achievement of one or more performance measures, as specified in the applicable performance stock unit agreement. Although the Company may in its sole discretion elect to pay fully or partially in cash in lieu of settling solely in shares, it does not currently intend to do so.</w:t>
      </w:r>
    </w:p>
    <w:p>
      <w:pPr>
        <w:spacing w:after="0" w:line="180"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vesting of each performance stock unit granted is subject to the Company’s achievement of a relative total shareholder return (“TSR”) performance goal over a three-year performance period with the number of performance stock units granted representing the number of performance stock units that would vest based on target performance. As more fully specified in the applicable grant agreements, the number of performance stock units that will vest will be based on the percentile ranking of the Company’s TSR over the three-year performance period as compared to the TSR of the members of the Nasdaq Composite Index over the same period (the “TSR Goal”), with the payout factor ranging from 0% to 200% of the number of performance stock units granted. The performance stock units, to the extent vested, will vest on the date the Compensation Committee of the Company’s Board of Directors certifies the level of achievement of the TSR Goal.</w:t>
      </w:r>
    </w:p>
    <w:p>
      <w:pPr>
        <w:spacing w:after="0" w:line="8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Vesting of the performance stock units is also generally subject to the provision of service through the vesting date of the award (unless accelerated in connection with a termination following a change in control event as set forth in the applicable performance stock unit agreement or otherwise in accordance with provisions of the 2023 Equity Plan or applicable performance stock unit agreement).</w:t>
      </w:r>
    </w:p>
    <w:p>
      <w:pPr>
        <w:spacing w:after="0" w:line="66" w:lineRule="exact"/>
        <w:rPr>
          <w:sz w:val="20"/>
          <w:szCs w:val="20"/>
          <w:color w:val="auto"/>
        </w:rPr>
      </w:pPr>
    </w:p>
    <w:p>
      <w:pPr>
        <w:jc w:val="both"/>
        <w:spacing w:after="0" w:line="257" w:lineRule="auto"/>
        <w:rPr>
          <w:sz w:val="20"/>
          <w:szCs w:val="20"/>
          <w:color w:val="auto"/>
        </w:rPr>
      </w:pPr>
      <w:r>
        <w:rPr>
          <w:rFonts w:ascii="Times New Roman" w:cs="Times New Roman" w:eastAsia="Times New Roman" w:hAnsi="Times New Roman"/>
          <w:sz w:val="18"/>
          <w:szCs w:val="18"/>
          <w:color w:val="auto"/>
        </w:rPr>
        <w:t xml:space="preserve">The TSR Goal is considered a “market condition” under ASC 718, </w:t>
      </w:r>
      <w:r>
        <w:rPr>
          <w:rFonts w:ascii="Times New Roman" w:cs="Times New Roman" w:eastAsia="Times New Roman" w:hAnsi="Times New Roman"/>
          <w:sz w:val="18"/>
          <w:szCs w:val="18"/>
          <w:i w:val="1"/>
          <w:iCs w:val="1"/>
          <w:color w:val="auto"/>
        </w:rPr>
        <w:t>Compensation—Stock Compensation</w:t>
      </w:r>
      <w:r>
        <w:rPr>
          <w:rFonts w:ascii="Times New Roman" w:cs="Times New Roman" w:eastAsia="Times New Roman" w:hAnsi="Times New Roman"/>
          <w:sz w:val="18"/>
          <w:szCs w:val="18"/>
          <w:color w:val="auto"/>
        </w:rPr>
        <w:t>. The Company uses a Monte Carlo simulation model to determine the grant date fair value of performance awards with a market condition. The Monte Carlo simulation takes into consideration the assumptions noted below, in addition to the probability that the market condition will be achieved based on predicted stock price paths compared to peer companies in the Nasdaq Composite Index. The Company did not grant any performance awards prior to 2023. The weighted average grant date fair value of performance stock units using the Monte-Carlo simulation model was $313.86 and $48.62 for each performance stock unit granted during the years ended December 31, 2024 and 2023, respectively, based on the following assumptions:</w:t>
      </w:r>
    </w:p>
    <w:p>
      <w:pPr>
        <w:spacing w:after="0" w:line="178"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320" w:type="dxa"/>
            <w:vAlign w:val="bottom"/>
          </w:tcPr>
          <w:p>
            <w:pPr>
              <w:spacing w:after="0"/>
              <w:rPr>
                <w:sz w:val="15"/>
                <w:szCs w:val="15"/>
                <w:color w:val="auto"/>
              </w:rPr>
            </w:pPr>
          </w:p>
        </w:tc>
        <w:tc>
          <w:tcPr>
            <w:tcW w:w="3340" w:type="dxa"/>
            <w:vAlign w:val="bottom"/>
            <w:tcBorders>
              <w:bottom w:val="single" w:sz="8" w:color="auto"/>
            </w:tcBorders>
            <w:gridSpan w:val="3"/>
          </w:tcPr>
          <w:p>
            <w:pPr>
              <w:ind w:left="1520"/>
              <w:spacing w:after="0"/>
              <w:rPr>
                <w:sz w:val="20"/>
                <w:szCs w:val="20"/>
                <w:color w:val="auto"/>
              </w:rPr>
            </w:pPr>
            <w:r>
              <w:rPr>
                <w:rFonts w:ascii="Times New Roman" w:cs="Times New Roman" w:eastAsia="Times New Roman" w:hAnsi="Times New Roman"/>
                <w:sz w:val="14"/>
                <w:szCs w:val="14"/>
                <w:b w:val="1"/>
                <w:bCs w:val="1"/>
                <w:color w:val="auto"/>
              </w:rPr>
              <w:t>Years ending December 31,</w:t>
            </w:r>
          </w:p>
        </w:tc>
        <w:tc>
          <w:tcPr>
            <w:tcW w:w="1400" w:type="dxa"/>
            <w:vAlign w:val="bottom"/>
            <w:tcBorders>
              <w:bottom w:val="single" w:sz="8" w:color="auto"/>
            </w:tcBorders>
          </w:tcPr>
          <w:p>
            <w:pPr>
              <w:spacing w:after="0"/>
              <w:rPr>
                <w:sz w:val="15"/>
                <w:szCs w:val="15"/>
                <w:color w:val="auto"/>
              </w:rPr>
            </w:pPr>
          </w:p>
        </w:tc>
        <w:tc>
          <w:tcPr>
            <w:tcW w:w="180" w:type="dxa"/>
            <w:vAlign w:val="bottom"/>
          </w:tcPr>
          <w:p>
            <w:pPr>
              <w:spacing w:after="0"/>
              <w:rPr>
                <w:sz w:val="15"/>
                <w:szCs w:val="15"/>
                <w:color w:val="auto"/>
              </w:rPr>
            </w:pPr>
          </w:p>
        </w:tc>
      </w:tr>
      <w:tr>
        <w:trPr>
          <w:trHeight w:val="142"/>
        </w:trPr>
        <w:tc>
          <w:tcPr>
            <w:tcW w:w="6320" w:type="dxa"/>
            <w:vAlign w:val="bottom"/>
          </w:tcPr>
          <w:p>
            <w:pPr>
              <w:spacing w:after="0"/>
              <w:rPr>
                <w:sz w:val="12"/>
                <w:szCs w:val="12"/>
                <w:color w:val="auto"/>
              </w:rPr>
            </w:pPr>
          </w:p>
        </w:tc>
        <w:tc>
          <w:tcPr>
            <w:tcW w:w="2200" w:type="dxa"/>
            <w:vAlign w:val="bottom"/>
            <w:tcBorders>
              <w:bottom w:val="single" w:sz="8" w:color="auto"/>
            </w:tcBorders>
          </w:tcPr>
          <w:p>
            <w:pPr>
              <w:jc w:val="right"/>
              <w:ind w:right="876"/>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340" w:type="dxa"/>
            <w:vAlign w:val="bottom"/>
          </w:tcPr>
          <w:p>
            <w:pPr>
              <w:spacing w:after="0"/>
              <w:rPr>
                <w:sz w:val="12"/>
                <w:szCs w:val="12"/>
                <w:color w:val="auto"/>
              </w:rPr>
            </w:pPr>
          </w:p>
        </w:tc>
        <w:tc>
          <w:tcPr>
            <w:tcW w:w="800" w:type="dxa"/>
            <w:vAlign w:val="bottom"/>
            <w:tcBorders>
              <w:bottom w:val="single" w:sz="8" w:color="auto"/>
            </w:tcBorders>
          </w:tcPr>
          <w:p>
            <w:pPr>
              <w:spacing w:after="0"/>
              <w:rPr>
                <w:sz w:val="12"/>
                <w:szCs w:val="12"/>
                <w:color w:val="auto"/>
              </w:rPr>
            </w:pPr>
          </w:p>
        </w:tc>
        <w:tc>
          <w:tcPr>
            <w:tcW w:w="1400" w:type="dxa"/>
            <w:vAlign w:val="bottom"/>
            <w:tcBorders>
              <w:bottom w:val="single" w:sz="8" w:color="auto"/>
            </w:tcBorders>
          </w:tcPr>
          <w:p>
            <w:pPr>
              <w:jc w:val="right"/>
              <w:ind w:right="894"/>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80" w:type="dxa"/>
            <w:vAlign w:val="bottom"/>
          </w:tcPr>
          <w:p>
            <w:pPr>
              <w:spacing w:after="0"/>
              <w:rPr>
                <w:sz w:val="12"/>
                <w:szCs w:val="12"/>
                <w:color w:val="auto"/>
              </w:rPr>
            </w:pPr>
          </w:p>
        </w:tc>
      </w:tr>
      <w:tr>
        <w:trPr>
          <w:trHeight w:val="209"/>
        </w:trPr>
        <w:tc>
          <w:tcPr>
            <w:tcW w:w="63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Expected term of awards in years</w:t>
            </w:r>
          </w:p>
        </w:tc>
        <w:tc>
          <w:tcPr>
            <w:tcW w:w="2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w:t>
            </w:r>
          </w:p>
        </w:tc>
        <w:tc>
          <w:tcPr>
            <w:tcW w:w="340" w:type="dxa"/>
            <w:vAlign w:val="bottom"/>
            <w:shd w:val="clear" w:color="auto" w:fill="CFF0FC"/>
          </w:tcPr>
          <w:p>
            <w:pPr>
              <w:spacing w:after="0"/>
              <w:rPr>
                <w:sz w:val="18"/>
                <w:szCs w:val="18"/>
                <w:color w:val="auto"/>
              </w:rPr>
            </w:pPr>
          </w:p>
        </w:tc>
        <w:tc>
          <w:tcPr>
            <w:tcW w:w="80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w:t>
            </w:r>
          </w:p>
        </w:tc>
        <w:tc>
          <w:tcPr>
            <w:tcW w:w="180" w:type="dxa"/>
            <w:vAlign w:val="bottom"/>
            <w:shd w:val="clear" w:color="auto" w:fill="CFF0FC"/>
          </w:tcPr>
          <w:p>
            <w:pPr>
              <w:spacing w:after="0"/>
              <w:rPr>
                <w:sz w:val="18"/>
                <w:szCs w:val="18"/>
                <w:color w:val="auto"/>
              </w:rPr>
            </w:pPr>
          </w:p>
        </w:tc>
      </w:tr>
      <w:tr>
        <w:trPr>
          <w:trHeight w:val="216"/>
        </w:trPr>
        <w:tc>
          <w:tcPr>
            <w:tcW w:w="63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Expected volatility</w:t>
            </w:r>
          </w:p>
        </w:tc>
        <w:tc>
          <w:tcPr>
            <w:tcW w:w="2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92.67% - 95.50%</w:t>
            </w:r>
          </w:p>
        </w:tc>
        <w:tc>
          <w:tcPr>
            <w:tcW w:w="340" w:type="dxa"/>
            <w:vAlign w:val="bottom"/>
          </w:tcPr>
          <w:p>
            <w:pPr>
              <w:spacing w:after="0"/>
              <w:rPr>
                <w:sz w:val="18"/>
                <w:szCs w:val="18"/>
                <w:color w:val="auto"/>
              </w:rPr>
            </w:pPr>
          </w:p>
        </w:tc>
        <w:tc>
          <w:tcPr>
            <w:tcW w:w="8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95.6 %</w:t>
            </w:r>
          </w:p>
        </w:tc>
      </w:tr>
      <w:tr>
        <w:trPr>
          <w:trHeight w:val="216"/>
        </w:trPr>
        <w:tc>
          <w:tcPr>
            <w:tcW w:w="63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Risk-free interest rate</w:t>
            </w:r>
          </w:p>
        </w:tc>
        <w:tc>
          <w:tcPr>
            <w:tcW w:w="2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4.1% -4.4%</w:t>
            </w:r>
          </w:p>
        </w:tc>
        <w:tc>
          <w:tcPr>
            <w:tcW w:w="340" w:type="dxa"/>
            <w:vAlign w:val="bottom"/>
            <w:shd w:val="clear" w:color="auto" w:fill="CFF0FC"/>
          </w:tcPr>
          <w:p>
            <w:pPr>
              <w:spacing w:after="0"/>
              <w:rPr>
                <w:sz w:val="18"/>
                <w:szCs w:val="18"/>
                <w:color w:val="auto"/>
              </w:rPr>
            </w:pPr>
          </w:p>
        </w:tc>
        <w:tc>
          <w:tcPr>
            <w:tcW w:w="800" w:type="dxa"/>
            <w:vAlign w:val="bottom"/>
            <w:shd w:val="clear" w:color="auto" w:fill="CFF0FC"/>
          </w:tcPr>
          <w:p>
            <w:pPr>
              <w:spacing w:after="0"/>
              <w:rPr>
                <w:sz w:val="18"/>
                <w:szCs w:val="18"/>
                <w:color w:val="auto"/>
              </w:rPr>
            </w:pPr>
          </w:p>
        </w:tc>
        <w:tc>
          <w:tcPr>
            <w:tcW w:w="158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4.1 %</w:t>
            </w:r>
          </w:p>
        </w:tc>
      </w:tr>
      <w:tr>
        <w:trPr>
          <w:trHeight w:val="234"/>
        </w:trPr>
        <w:tc>
          <w:tcPr>
            <w:tcW w:w="63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Expected dividend yield</w:t>
            </w:r>
          </w:p>
        </w:tc>
        <w:tc>
          <w:tcPr>
            <w:tcW w:w="254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0.0 %</w:t>
            </w:r>
          </w:p>
        </w:tc>
        <w:tc>
          <w:tcPr>
            <w:tcW w:w="800" w:type="dxa"/>
            <w:vAlign w:val="bottom"/>
          </w:tcPr>
          <w:p>
            <w:pPr>
              <w:spacing w:after="0"/>
              <w:rPr>
                <w:sz w:val="20"/>
                <w:szCs w:val="20"/>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0.0 %</w:t>
            </w:r>
          </w:p>
        </w:tc>
      </w:tr>
    </w:tbl>
    <w:p>
      <w:pPr>
        <w:spacing w:after="0" w:line="206"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Since the Company accounts for forfeitures as they occur, as long as the performance stock unit recipient provides service to the Company during the requisite service period, share-based compensation expense associated with the grant date fair value of the performance stock units is recognized ratably over the performance period, regardless of the Company’s actual level of achievement against the TSR Goal.</w:t>
      </w:r>
    </w:p>
    <w:p>
      <w:pPr>
        <w:spacing w:after="0" w:line="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 of December 31, 2024, there were 306,939 performance stock units outstanding under the 2023 Equity Plan. The following table summarizes the</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Company’s performance stock unit activity (in thousands) for the period indicated:</w:t>
      </w:r>
    </w:p>
    <w:p>
      <w:pPr>
        <w:spacing w:after="0" w:line="200" w:lineRule="exact"/>
        <w:rPr>
          <w:sz w:val="20"/>
          <w:szCs w:val="20"/>
          <w:color w:val="auto"/>
        </w:rPr>
      </w:pPr>
    </w:p>
    <w:p>
      <w:pPr>
        <w:ind w:left="7160"/>
        <w:spacing w:after="0"/>
        <w:rPr>
          <w:sz w:val="20"/>
          <w:szCs w:val="20"/>
          <w:color w:val="auto"/>
        </w:rPr>
      </w:pPr>
      <w:r>
        <w:rPr>
          <w:rFonts w:ascii="Times New Roman" w:cs="Times New Roman" w:eastAsia="Times New Roman" w:hAnsi="Times New Roman"/>
          <w:sz w:val="14"/>
          <w:szCs w:val="14"/>
          <w:b w:val="1"/>
          <w:bCs w:val="1"/>
          <w:color w:val="auto"/>
        </w:rPr>
        <w:t>Share-Settled Performance Stock Units Outstanding</w:t>
      </w:r>
    </w:p>
    <w:p>
      <w:pPr>
        <w:spacing w:after="0" w:line="12" w:lineRule="exact"/>
        <w:rPr>
          <w:sz w:val="20"/>
          <w:szCs w:val="20"/>
          <w:color w:val="auto"/>
        </w:rPr>
      </w:pPr>
    </w:p>
    <w:tbl>
      <w:tblPr>
        <w:tblLayout w:type="fixed"/>
        <w:tblInd w:w="0" w:type="dxa"/>
        <w:tblCellMar>
          <w:top w:w="0" w:type="dxa"/>
          <w:left w:w="0" w:type="dxa"/>
          <w:bottom w:w="0" w:type="dxa"/>
          <w:right w:w="0" w:type="dxa"/>
        </w:tblCellMar>
      </w:tblPr>
      <w:tr>
        <w:trPr>
          <w:trHeight w:val="117"/>
        </w:trPr>
        <w:tc>
          <w:tcPr>
            <w:tcW w:w="6420" w:type="dxa"/>
            <w:vAlign w:val="bottom"/>
          </w:tcPr>
          <w:p>
            <w:pPr>
              <w:spacing w:after="0"/>
              <w:rPr>
                <w:sz w:val="10"/>
                <w:szCs w:val="10"/>
                <w:color w:val="auto"/>
              </w:rPr>
            </w:pPr>
          </w:p>
        </w:tc>
        <w:tc>
          <w:tcPr>
            <w:tcW w:w="1600" w:type="dxa"/>
            <w:vAlign w:val="bottom"/>
            <w:tcBorders>
              <w:top w:val="single" w:sz="8" w:color="auto"/>
            </w:tcBorders>
            <w:vMerge w:val="restart"/>
          </w:tcPr>
          <w:p>
            <w:pPr>
              <w:ind w:left="940"/>
              <w:spacing w:after="0"/>
              <w:rPr>
                <w:sz w:val="20"/>
                <w:szCs w:val="20"/>
                <w:color w:val="auto"/>
              </w:rPr>
            </w:pPr>
            <w:r>
              <w:rPr>
                <w:rFonts w:ascii="Times New Roman" w:cs="Times New Roman" w:eastAsia="Times New Roman" w:hAnsi="Times New Roman"/>
                <w:sz w:val="14"/>
                <w:szCs w:val="14"/>
                <w:b w:val="1"/>
                <w:bCs w:val="1"/>
                <w:color w:val="auto"/>
              </w:rPr>
              <w:t>Units</w:t>
            </w:r>
          </w:p>
        </w:tc>
        <w:tc>
          <w:tcPr>
            <w:tcW w:w="620" w:type="dxa"/>
            <w:vAlign w:val="bottom"/>
            <w:tcBorders>
              <w:top w:val="single" w:sz="8" w:color="auto"/>
            </w:tcBorders>
          </w:tcPr>
          <w:p>
            <w:pPr>
              <w:spacing w:after="0"/>
              <w:rPr>
                <w:sz w:val="10"/>
                <w:szCs w:val="10"/>
                <w:color w:val="auto"/>
              </w:rPr>
            </w:pPr>
          </w:p>
        </w:tc>
        <w:tc>
          <w:tcPr>
            <w:tcW w:w="320" w:type="dxa"/>
            <w:vAlign w:val="bottom"/>
            <w:tcBorders>
              <w:top w:val="single" w:sz="8" w:color="auto"/>
            </w:tcBorders>
          </w:tcPr>
          <w:p>
            <w:pPr>
              <w:spacing w:after="0"/>
              <w:rPr>
                <w:sz w:val="10"/>
                <w:szCs w:val="10"/>
                <w:color w:val="auto"/>
              </w:rPr>
            </w:pPr>
          </w:p>
        </w:tc>
        <w:tc>
          <w:tcPr>
            <w:tcW w:w="360" w:type="dxa"/>
            <w:vAlign w:val="bottom"/>
            <w:tcBorders>
              <w:top w:val="single" w:sz="8" w:color="auto"/>
            </w:tcBorders>
          </w:tcPr>
          <w:p>
            <w:pPr>
              <w:spacing w:after="0"/>
              <w:rPr>
                <w:sz w:val="10"/>
                <w:szCs w:val="10"/>
                <w:color w:val="auto"/>
              </w:rPr>
            </w:pPr>
          </w:p>
        </w:tc>
        <w:tc>
          <w:tcPr>
            <w:tcW w:w="1820" w:type="dxa"/>
            <w:vAlign w:val="bottom"/>
            <w:tcBorders>
              <w:top w:val="single" w:sz="8" w:color="auto"/>
            </w:tcBorders>
          </w:tcPr>
          <w:p>
            <w:pPr>
              <w:jc w:val="right"/>
              <w:ind w:right="698"/>
              <w:spacing w:after="0" w:line="118" w:lineRule="exact"/>
              <w:rPr>
                <w:sz w:val="20"/>
                <w:szCs w:val="20"/>
                <w:color w:val="auto"/>
              </w:rPr>
            </w:pPr>
            <w:r>
              <w:rPr>
                <w:rFonts w:ascii="Times New Roman" w:cs="Times New Roman" w:eastAsia="Times New Roman" w:hAnsi="Times New Roman"/>
                <w:sz w:val="13"/>
                <w:szCs w:val="13"/>
                <w:b w:val="1"/>
                <w:bCs w:val="1"/>
                <w:color w:val="auto"/>
              </w:rPr>
              <w:t>Aggregate</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73"/>
        </w:trPr>
        <w:tc>
          <w:tcPr>
            <w:tcW w:w="6420" w:type="dxa"/>
            <w:vAlign w:val="bottom"/>
          </w:tcPr>
          <w:p>
            <w:pPr>
              <w:spacing w:after="0"/>
              <w:rPr>
                <w:sz w:val="15"/>
                <w:szCs w:val="15"/>
                <w:color w:val="auto"/>
              </w:rPr>
            </w:pPr>
          </w:p>
        </w:tc>
        <w:tc>
          <w:tcPr>
            <w:tcW w:w="1600" w:type="dxa"/>
            <w:vAlign w:val="bottom"/>
            <w:tcBorders>
              <w:bottom w:val="single" w:sz="8" w:color="auto"/>
            </w:tcBorders>
            <w:vMerge w:val="continue"/>
          </w:tcPr>
          <w:p>
            <w:pPr>
              <w:spacing w:after="0"/>
              <w:rPr>
                <w:sz w:val="15"/>
                <w:szCs w:val="15"/>
                <w:color w:val="auto"/>
              </w:rPr>
            </w:pPr>
          </w:p>
        </w:tc>
        <w:tc>
          <w:tcPr>
            <w:tcW w:w="620" w:type="dxa"/>
            <w:vAlign w:val="bottom"/>
            <w:tcBorders>
              <w:bottom w:val="single" w:sz="8" w:color="auto"/>
            </w:tcBorders>
          </w:tcPr>
          <w:p>
            <w:pPr>
              <w:spacing w:after="0"/>
              <w:rPr>
                <w:sz w:val="15"/>
                <w:szCs w:val="15"/>
                <w:color w:val="auto"/>
              </w:rPr>
            </w:pPr>
          </w:p>
        </w:tc>
        <w:tc>
          <w:tcPr>
            <w:tcW w:w="320" w:type="dxa"/>
            <w:vAlign w:val="bottom"/>
          </w:tcPr>
          <w:p>
            <w:pPr>
              <w:spacing w:after="0"/>
              <w:rPr>
                <w:sz w:val="15"/>
                <w:szCs w:val="15"/>
                <w:color w:val="auto"/>
              </w:rPr>
            </w:pPr>
          </w:p>
        </w:tc>
        <w:tc>
          <w:tcPr>
            <w:tcW w:w="360" w:type="dxa"/>
            <w:vAlign w:val="bottom"/>
            <w:tcBorders>
              <w:bottom w:val="single" w:sz="8" w:color="auto"/>
            </w:tcBorders>
          </w:tcPr>
          <w:p>
            <w:pPr>
              <w:spacing w:after="0"/>
              <w:rPr>
                <w:sz w:val="15"/>
                <w:szCs w:val="15"/>
                <w:color w:val="auto"/>
              </w:rPr>
            </w:pPr>
          </w:p>
        </w:tc>
        <w:tc>
          <w:tcPr>
            <w:tcW w:w="1820" w:type="dxa"/>
            <w:vAlign w:val="bottom"/>
            <w:tcBorders>
              <w:bottom w:val="single" w:sz="8" w:color="auto"/>
            </w:tcBorders>
          </w:tcPr>
          <w:p>
            <w:pPr>
              <w:jc w:val="right"/>
              <w:ind w:right="558"/>
              <w:spacing w:after="0"/>
              <w:rPr>
                <w:sz w:val="20"/>
                <w:szCs w:val="20"/>
                <w:color w:val="auto"/>
              </w:rPr>
            </w:pPr>
            <w:r>
              <w:rPr>
                <w:rFonts w:ascii="Times New Roman" w:cs="Times New Roman" w:eastAsia="Times New Roman" w:hAnsi="Times New Roman"/>
                <w:sz w:val="14"/>
                <w:szCs w:val="14"/>
                <w:b w:val="1"/>
                <w:bCs w:val="1"/>
                <w:color w:val="auto"/>
              </w:rPr>
              <w:t>Intrinsic Value</w:t>
            </w: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09"/>
        </w:trPr>
        <w:tc>
          <w:tcPr>
            <w:tcW w:w="80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January 1, 2023</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2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18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802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Granted</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267</w:t>
            </w:r>
          </w:p>
        </w:tc>
        <w:tc>
          <w:tcPr>
            <w:tcW w:w="32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18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802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Vested</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20" w:type="dxa"/>
            <w:vAlign w:val="bottom"/>
            <w:shd w:val="clear" w:color="auto" w:fill="CFF0FC"/>
          </w:tcPr>
          <w:p>
            <w:pPr>
              <w:spacing w:after="0"/>
              <w:rPr>
                <w:sz w:val="18"/>
                <w:szCs w:val="18"/>
                <w:color w:val="auto"/>
              </w:rPr>
            </w:pP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4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w:t>
            </w:r>
          </w:p>
        </w:tc>
        <w:tc>
          <w:tcPr>
            <w:tcW w:w="1600" w:type="dxa"/>
            <w:vAlign w:val="bottom"/>
          </w:tcPr>
          <w:p>
            <w:pPr>
              <w:spacing w:after="0"/>
              <w:rPr>
                <w:sz w:val="18"/>
                <w:szCs w:val="18"/>
                <w:color w:val="auto"/>
              </w:rPr>
            </w:pPr>
          </w:p>
        </w:tc>
        <w:tc>
          <w:tcPr>
            <w:tcW w:w="94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(13 )</w:t>
            </w:r>
          </w:p>
        </w:tc>
        <w:tc>
          <w:tcPr>
            <w:tcW w:w="360" w:type="dxa"/>
            <w:vAlign w:val="bottom"/>
          </w:tcPr>
          <w:p>
            <w:pPr>
              <w:spacing w:after="0"/>
              <w:rPr>
                <w:sz w:val="18"/>
                <w:szCs w:val="18"/>
                <w:color w:val="auto"/>
              </w:rPr>
            </w:pPr>
          </w:p>
        </w:tc>
        <w:tc>
          <w:tcPr>
            <w:tcW w:w="18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50"/>
        </w:trPr>
        <w:tc>
          <w:tcPr>
            <w:tcW w:w="64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December 31, 2023</w:t>
            </w:r>
          </w:p>
        </w:tc>
        <w:tc>
          <w:tcPr>
            <w:tcW w:w="1600" w:type="dxa"/>
            <w:vAlign w:val="bottom"/>
            <w:tcBorders>
              <w:top w:val="single" w:sz="8" w:color="auto"/>
              <w:bottom w:val="single" w:sz="8" w:color="auto"/>
            </w:tcBorders>
            <w:shd w:val="clear" w:color="auto" w:fill="CFF0FC"/>
          </w:tcPr>
          <w:p>
            <w:pPr>
              <w:spacing w:after="0"/>
              <w:rPr>
                <w:sz w:val="21"/>
                <w:szCs w:val="21"/>
                <w:color w:val="auto"/>
              </w:rPr>
            </w:pPr>
          </w:p>
        </w:tc>
        <w:tc>
          <w:tcPr>
            <w:tcW w:w="62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254</w:t>
            </w:r>
          </w:p>
        </w:tc>
        <w:tc>
          <w:tcPr>
            <w:tcW w:w="320" w:type="dxa"/>
            <w:vAlign w:val="bottom"/>
            <w:tcBorders>
              <w:bottom w:val="single" w:sz="8" w:color="CFF0FC"/>
            </w:tcBorders>
            <w:shd w:val="clear" w:color="auto" w:fill="CFF0FC"/>
          </w:tcPr>
          <w:p>
            <w:pPr>
              <w:spacing w:after="0"/>
              <w:rPr>
                <w:sz w:val="21"/>
                <w:szCs w:val="21"/>
                <w:color w:val="auto"/>
              </w:rPr>
            </w:pPr>
          </w:p>
        </w:tc>
        <w:tc>
          <w:tcPr>
            <w:tcW w:w="360" w:type="dxa"/>
            <w:vAlign w:val="bottom"/>
            <w:tcBorders>
              <w:bottom w:val="single" w:sz="8" w:color="CFF0FC"/>
            </w:tcBorders>
            <w:shd w:val="clear" w:color="auto" w:fill="CFF0FC"/>
          </w:tcPr>
          <w:p>
            <w:pPr>
              <w:spacing w:after="0"/>
              <w:rPr>
                <w:sz w:val="21"/>
                <w:szCs w:val="21"/>
                <w:color w:val="auto"/>
              </w:rPr>
            </w:pPr>
          </w:p>
        </w:tc>
        <w:tc>
          <w:tcPr>
            <w:tcW w:w="18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197"/>
        </w:trPr>
        <w:tc>
          <w:tcPr>
            <w:tcW w:w="8020" w:type="dxa"/>
            <w:vAlign w:val="bottom"/>
            <w:gridSpan w:val="2"/>
          </w:tcPr>
          <w:p>
            <w:pPr>
              <w:ind w:left="200"/>
              <w:spacing w:after="0" w:line="196" w:lineRule="exact"/>
              <w:rPr>
                <w:sz w:val="20"/>
                <w:szCs w:val="20"/>
                <w:color w:val="auto"/>
              </w:rPr>
            </w:pPr>
            <w:r>
              <w:rPr>
                <w:rFonts w:ascii="Times New Roman" w:cs="Times New Roman" w:eastAsia="Times New Roman" w:hAnsi="Times New Roman"/>
                <w:sz w:val="18"/>
                <w:szCs w:val="18"/>
                <w:color w:val="auto"/>
              </w:rPr>
              <w:t>Granted</w:t>
            </w:r>
          </w:p>
        </w:tc>
        <w:tc>
          <w:tcPr>
            <w:tcW w:w="62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60</w:t>
            </w:r>
          </w:p>
        </w:tc>
        <w:tc>
          <w:tcPr>
            <w:tcW w:w="320" w:type="dxa"/>
            <w:vAlign w:val="bottom"/>
          </w:tcPr>
          <w:p>
            <w:pPr>
              <w:spacing w:after="0"/>
              <w:rPr>
                <w:sz w:val="17"/>
                <w:szCs w:val="17"/>
                <w:color w:val="auto"/>
              </w:rPr>
            </w:pPr>
          </w:p>
        </w:tc>
        <w:tc>
          <w:tcPr>
            <w:tcW w:w="360" w:type="dxa"/>
            <w:vAlign w:val="bottom"/>
          </w:tcPr>
          <w:p>
            <w:pPr>
              <w:spacing w:after="0"/>
              <w:rPr>
                <w:sz w:val="17"/>
                <w:szCs w:val="17"/>
                <w:color w:val="auto"/>
              </w:rPr>
            </w:pPr>
          </w:p>
        </w:tc>
        <w:tc>
          <w:tcPr>
            <w:tcW w:w="182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802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Vested</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20" w:type="dxa"/>
            <w:vAlign w:val="bottom"/>
            <w:shd w:val="clear" w:color="auto" w:fill="CFF0FC"/>
          </w:tcPr>
          <w:p>
            <w:pPr>
              <w:spacing w:after="0"/>
              <w:rPr>
                <w:sz w:val="18"/>
                <w:szCs w:val="18"/>
                <w:color w:val="auto"/>
              </w:rPr>
            </w:pP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4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w:t>
            </w:r>
          </w:p>
        </w:tc>
        <w:tc>
          <w:tcPr>
            <w:tcW w:w="1600" w:type="dxa"/>
            <w:vAlign w:val="bottom"/>
          </w:tcPr>
          <w:p>
            <w:pPr>
              <w:spacing w:after="0"/>
              <w:rPr>
                <w:sz w:val="18"/>
                <w:szCs w:val="18"/>
                <w:color w:val="auto"/>
              </w:rPr>
            </w:pPr>
          </w:p>
        </w:tc>
        <w:tc>
          <w:tcPr>
            <w:tcW w:w="94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(7 )</w:t>
            </w:r>
          </w:p>
        </w:tc>
        <w:tc>
          <w:tcPr>
            <w:tcW w:w="360" w:type="dxa"/>
            <w:vAlign w:val="bottom"/>
          </w:tcPr>
          <w:p>
            <w:pPr>
              <w:spacing w:after="0"/>
              <w:rPr>
                <w:sz w:val="18"/>
                <w:szCs w:val="18"/>
                <w:color w:val="auto"/>
              </w:rPr>
            </w:pPr>
          </w:p>
        </w:tc>
        <w:tc>
          <w:tcPr>
            <w:tcW w:w="18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50"/>
        </w:trPr>
        <w:tc>
          <w:tcPr>
            <w:tcW w:w="64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December 31, 2024</w:t>
            </w:r>
          </w:p>
        </w:tc>
        <w:tc>
          <w:tcPr>
            <w:tcW w:w="1600" w:type="dxa"/>
            <w:vAlign w:val="bottom"/>
            <w:tcBorders>
              <w:top w:val="single" w:sz="8" w:color="auto"/>
              <w:bottom w:val="single" w:sz="8" w:color="auto"/>
            </w:tcBorders>
            <w:shd w:val="clear" w:color="auto" w:fill="CFF0FC"/>
          </w:tcPr>
          <w:p>
            <w:pPr>
              <w:spacing w:after="0"/>
              <w:rPr>
                <w:sz w:val="21"/>
                <w:szCs w:val="21"/>
                <w:color w:val="auto"/>
              </w:rPr>
            </w:pPr>
          </w:p>
        </w:tc>
        <w:tc>
          <w:tcPr>
            <w:tcW w:w="62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307</w:t>
            </w:r>
          </w:p>
        </w:tc>
        <w:tc>
          <w:tcPr>
            <w:tcW w:w="320" w:type="dxa"/>
            <w:vAlign w:val="bottom"/>
            <w:tcBorders>
              <w:bottom w:val="single" w:sz="8" w:color="CFF0FC"/>
            </w:tcBorders>
            <w:shd w:val="clear" w:color="auto" w:fill="CFF0FC"/>
          </w:tcPr>
          <w:p>
            <w:pPr>
              <w:spacing w:after="0"/>
              <w:rPr>
                <w:sz w:val="21"/>
                <w:szCs w:val="21"/>
                <w:color w:val="auto"/>
              </w:rPr>
            </w:pPr>
          </w:p>
        </w:tc>
        <w:tc>
          <w:tcPr>
            <w:tcW w:w="360" w:type="dxa"/>
            <w:vAlign w:val="bottom"/>
            <w:tcBorders>
              <w:bottom w:val="single" w:sz="8" w:color="CFF0FC"/>
            </w:tcBorders>
            <w:shd w:val="clear" w:color="auto" w:fill="CFF0FC"/>
          </w:tcPr>
          <w:p>
            <w:pPr>
              <w:spacing w:after="0"/>
              <w:rPr>
                <w:sz w:val="21"/>
                <w:szCs w:val="21"/>
                <w:color w:val="auto"/>
              </w:rPr>
            </w:pPr>
          </w:p>
        </w:tc>
        <w:tc>
          <w:tcPr>
            <w:tcW w:w="18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15"/>
        </w:trPr>
        <w:tc>
          <w:tcPr>
            <w:tcW w:w="802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Expected to vest as of December 31, 2024</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307</w:t>
            </w:r>
          </w:p>
        </w:tc>
        <w:tc>
          <w:tcPr>
            <w:tcW w:w="320" w:type="dxa"/>
            <w:vAlign w:val="bottom"/>
          </w:tcPr>
          <w:p>
            <w:pPr>
              <w:spacing w:after="0"/>
              <w:rPr>
                <w:sz w:val="18"/>
                <w:szCs w:val="18"/>
                <w:color w:val="auto"/>
              </w:rPr>
            </w:pP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177,791</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5491480</wp:posOffset>
            </wp:positionH>
            <wp:positionV relativeFrom="paragraph">
              <wp:posOffset>-756920</wp:posOffset>
            </wp:positionV>
            <wp:extent cx="68580" cy="8890"/>
            <wp:wrapNone/>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44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5491480</wp:posOffset>
            </wp:positionH>
            <wp:positionV relativeFrom="paragraph">
              <wp:posOffset>-739775</wp:posOffset>
            </wp:positionV>
            <wp:extent cx="68580" cy="8255"/>
            <wp:wrapNone/>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44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5491480</wp:posOffset>
            </wp:positionH>
            <wp:positionV relativeFrom="paragraph">
              <wp:posOffset>-173990</wp:posOffset>
            </wp:positionV>
            <wp:extent cx="68580" cy="8890"/>
            <wp:wrapNone/>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44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5491480</wp:posOffset>
            </wp:positionH>
            <wp:positionV relativeFrom="paragraph">
              <wp:posOffset>-156845</wp:posOffset>
            </wp:positionV>
            <wp:extent cx="68580" cy="8255"/>
            <wp:wrapNone/>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445">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5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No performance stock units vested during the years ended December 31, 2024 or 2023. For the years ended December 31, 2024 and 2023, the Company recognized approximately $8.4 million and $2.3 million, respectively, in share-based compensation expense from performance stock units granted under the 2023 Equity Plan. As of December 31, 2024, there was approximately $20.1 million of total unrecognized share-based compensation expense related to unvested performance stock units, which the Company expects to recognize over a weighted average vesting period of approximately 2.1 years.</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107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44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107" w:name="page108"/>
    <w:bookmarkEnd w:id="107"/>
    <w:p>
      <w:pPr>
        <w:spacing w:after="0"/>
        <w:rPr>
          <w:sz w:val="20"/>
          <w:szCs w:val="20"/>
          <w:color w:val="auto"/>
        </w:rPr>
      </w:pPr>
      <w:r>
        <w:rPr>
          <w:rFonts w:ascii="Times New Roman" w:cs="Times New Roman" w:eastAsia="Times New Roman" w:hAnsi="Times New Roman"/>
          <w:sz w:val="18"/>
          <w:szCs w:val="18"/>
          <w:b w:val="1"/>
          <w:bCs w:val="1"/>
          <w:i w:val="1"/>
          <w:iCs w:val="1"/>
          <w:color w:val="auto"/>
        </w:rPr>
        <w:t>Other stock-based awards and cash-settled restricted stock units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From time to time the Company has granted “other stock-based awards” and “cash-settled restricted stock units” under the 2013 Equity Plan. No other stock-based awards or cash-settled restricted stock units were granted in 2024, 2023, or 2022. As of December 31, 2024, there were a total of 3,750 other stock-based awards outstanding and 1,250 cash-settled restricted stock units outstanding, respectively, under the 2013 Equity Plan.</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Other stock-based awards are similar to stock options, and cash-settled restricted stock units are similar to the Company’s share-settled restricted stock units, except in each case these awards are settled in cash only and not in shares of the Company’s class A common stock. Due to their required cash settlement feature, these awards are classified as liabilities in the Company’s Consolidated Balance Sheets and the fair value of the awards is remeasured each quarterly reporting period.</w:t>
      </w:r>
    </w:p>
    <w:p>
      <w:pPr>
        <w:spacing w:after="0" w:line="72"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recognized approximately $2.8 million and $3.2 million, respectively, in share-based compensation expense from other stock-based awards and cash-settled restricted stock units for the years ended December 31, 2024 and 2023. During the year ended December 31, 2022, the Company recognized a reduction of approximately $0.5 million in share-based compensation expense from other stock-based awards and cash-settled restricted stock units. As of December 31, 2024, there was approximately $0.2 million of total unrecognized share-based compensation expense related to other stock-based awards and cash-settled restricted stock units, which the Company expects to recognize over a weighted average vesting period of approximately 0.1 years, subject to additional fair value adjustments through the earlier of settlement or expiration.</w:t>
      </w: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2021 ESPP</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also maintains the 2021 ESPP. The purpose of the 2021 ESPP is to provide eligible employees of the Company and certain of its subsidiaries with opportunities to purchase shares of the Company’s class A common stock in 6-month offering periods commencing on each March 1 and September</w:t>
      </w:r>
    </w:p>
    <w:p>
      <w:pPr>
        <w:jc w:val="both"/>
        <w:ind w:firstLine="8"/>
        <w:spacing w:after="0" w:line="253" w:lineRule="auto"/>
        <w:tabs>
          <w:tab w:leader="none" w:pos="193" w:val="left"/>
        </w:tabs>
        <w:numPr>
          <w:ilvl w:val="0"/>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 aggregate of 1,000,000 shares of the Company’s class A common stock has been authorized for issuance under the 2021 ESPP. During the years ended December 31, 2024, 2023, and 2022, 93,668 shares,198,560 shares, and 159,250 shares, respectively, of class A common stock were issued in connection with the 2021 ESPP. As of December 31, 2024, 502,402 shares of the Company’s class A common stock remained available for issuance under the 2021 ESPP.</w:t>
      </w:r>
    </w:p>
    <w:p>
      <w:pPr>
        <w:spacing w:after="0" w:line="8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Unless otherwise determined by the Board of Directors, shares are purchased at a price equal to 85% of the lesser of the closing price of the Company’s class A common stock on the first or last business day of the offering period, respectively. Share-based compensation expense is based on the grant date fair value, which consists of the intrinsic value of the 15% discounted share purchase rights and the fair value of the look-back provision using the Black-Scholes valuation model, recognized on a straight-line basis over the offering period. The grant date is the offering period commencement date.</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During the years ended December 31, 2024, 2023, and 2022, the Company recognized approximately $2.2 million, $1.9 million and $2.4 million, respectively, in share-based compensation expense related to the 2021 ESPP. As of December 31, 2024, there was approximately $0.5 million of total unrecognized share-based compensation expense related to the 2021 ESPP, which the Company expects to recognize over a period of approximately 0.2 years.</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Tax Benefits Related to Equity Plans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summarizes the tax (benefit) expense related to the Company’s equity plans (in thousands) for the periods indicated:</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5480" w:type="dxa"/>
            <w:vAlign w:val="bottom"/>
          </w:tcPr>
          <w:p>
            <w:pPr>
              <w:spacing w:after="0"/>
              <w:rPr>
                <w:sz w:val="15"/>
                <w:szCs w:val="15"/>
                <w:color w:val="auto"/>
              </w:rPr>
            </w:pPr>
          </w:p>
        </w:tc>
        <w:tc>
          <w:tcPr>
            <w:tcW w:w="2460" w:type="dxa"/>
            <w:vAlign w:val="bottom"/>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2360" w:type="dxa"/>
            <w:vAlign w:val="bottom"/>
            <w:tcBorders>
              <w:bottom w:val="single" w:sz="8" w:color="auto"/>
            </w:tcBorders>
            <w:gridSpan w:val="6"/>
          </w:tcPr>
          <w:p>
            <w:pPr>
              <w:jc w:val="right"/>
              <w:ind w:right="1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68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5480" w:type="dxa"/>
            <w:vAlign w:val="bottom"/>
          </w:tcPr>
          <w:p>
            <w:pPr>
              <w:spacing w:after="0"/>
              <w:rPr>
                <w:sz w:val="12"/>
                <w:szCs w:val="12"/>
                <w:color w:val="auto"/>
              </w:rPr>
            </w:pPr>
          </w:p>
        </w:tc>
        <w:tc>
          <w:tcPr>
            <w:tcW w:w="246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740" w:type="dxa"/>
            <w:vAlign w:val="bottom"/>
            <w:tcBorders>
              <w:bottom w:val="single" w:sz="8" w:color="auto"/>
            </w:tcBorders>
          </w:tcPr>
          <w:p>
            <w:pPr>
              <w:jc w:val="right"/>
              <w:ind w:right="237"/>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6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680" w:type="dxa"/>
            <w:vAlign w:val="bottom"/>
            <w:tcBorders>
              <w:bottom w:val="single" w:sz="8" w:color="auto"/>
            </w:tcBorders>
          </w:tcPr>
          <w:p>
            <w:pPr>
              <w:jc w:val="right"/>
              <w:ind w:right="215"/>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8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680" w:type="dxa"/>
            <w:vAlign w:val="bottom"/>
            <w:tcBorders>
              <w:bottom w:val="single" w:sz="8" w:color="auto"/>
            </w:tcBorders>
          </w:tcPr>
          <w:p>
            <w:pPr>
              <w:jc w:val="right"/>
              <w:ind w:right="215"/>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54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Tax (benefit) expense related to:</w:t>
            </w:r>
          </w:p>
        </w:tc>
        <w:tc>
          <w:tcPr>
            <w:tcW w:w="24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74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68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6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4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26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(15,652 )</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(12,874 )</w:t>
            </w: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7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(12,155 )</w:t>
            </w:r>
          </w:p>
        </w:tc>
        <w:tc>
          <w:tcPr>
            <w:tcW w:w="0" w:type="dxa"/>
            <w:vAlign w:val="bottom"/>
          </w:tcPr>
          <w:p>
            <w:pPr>
              <w:spacing w:after="0"/>
              <w:rPr>
                <w:sz w:val="1"/>
                <w:szCs w:val="1"/>
                <w:color w:val="auto"/>
              </w:rPr>
            </w:pPr>
          </w:p>
        </w:tc>
      </w:tr>
      <w:tr>
        <w:trPr>
          <w:trHeight w:val="216"/>
        </w:trPr>
        <w:tc>
          <w:tcPr>
            <w:tcW w:w="54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Exercises of stock options and vesting of share-settled restricted stock units</w:t>
            </w:r>
          </w:p>
        </w:tc>
        <w:tc>
          <w:tcPr>
            <w:tcW w:w="24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00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(216,477 )</w:t>
            </w:r>
          </w:p>
        </w:tc>
        <w:tc>
          <w:tcPr>
            <w:tcW w:w="200" w:type="dxa"/>
            <w:vAlign w:val="bottom"/>
            <w:shd w:val="clear" w:color="auto" w:fill="CFF0FC"/>
          </w:tcPr>
          <w:p>
            <w:pPr>
              <w:spacing w:after="0"/>
              <w:rPr>
                <w:sz w:val="18"/>
                <w:szCs w:val="18"/>
                <w:color w:val="auto"/>
              </w:rPr>
            </w:pPr>
          </w:p>
        </w:tc>
        <w:tc>
          <w:tcPr>
            <w:tcW w:w="9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(3,367 )</w:t>
            </w:r>
          </w:p>
        </w:tc>
        <w:tc>
          <w:tcPr>
            <w:tcW w:w="200" w:type="dxa"/>
            <w:vAlign w:val="bottom"/>
            <w:shd w:val="clear" w:color="auto" w:fill="CFF0FC"/>
          </w:tcPr>
          <w:p>
            <w:pPr>
              <w:spacing w:after="0"/>
              <w:rPr>
                <w:sz w:val="18"/>
                <w:szCs w:val="18"/>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1,370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5480" w:type="dxa"/>
            <w:vAlign w:val="bottom"/>
            <w:shd w:val="clear" w:color="auto" w:fill="CFF0FC"/>
          </w:tcPr>
          <w:p>
            <w:pPr>
              <w:spacing w:after="0" w:line="20" w:lineRule="exact"/>
              <w:rPr>
                <w:sz w:val="1"/>
                <w:szCs w:val="1"/>
                <w:color w:val="auto"/>
              </w:rPr>
            </w:pPr>
          </w:p>
        </w:tc>
        <w:tc>
          <w:tcPr>
            <w:tcW w:w="2460" w:type="dxa"/>
            <w:vAlign w:val="bottom"/>
            <w:shd w:val="clear" w:color="auto" w:fill="CFF0FC"/>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740" w:type="dxa"/>
            <w:vAlign w:val="bottom"/>
            <w:shd w:val="clear" w:color="auto" w:fill="000000"/>
          </w:tcPr>
          <w:p>
            <w:pPr>
              <w:spacing w:after="0" w:line="20" w:lineRule="exact"/>
              <w:rPr>
                <w:sz w:val="1"/>
                <w:szCs w:val="1"/>
                <w:color w:val="auto"/>
              </w:rPr>
            </w:pPr>
          </w:p>
        </w:tc>
        <w:tc>
          <w:tcPr>
            <w:tcW w:w="260" w:type="dxa"/>
            <w:vAlign w:val="bottom"/>
            <w:shd w:val="clear" w:color="auto" w:fill="CFF0FC"/>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280" w:type="dxa"/>
            <w:vAlign w:val="bottom"/>
            <w:shd w:val="clear" w:color="auto" w:fill="CFF0FC"/>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0"/>
        </w:trPr>
        <w:tc>
          <w:tcPr>
            <w:tcW w:w="548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Total tax benefit related to the Company's equity plans</w:t>
            </w:r>
          </w:p>
        </w:tc>
        <w:tc>
          <w:tcPr>
            <w:tcW w:w="2460" w:type="dxa"/>
            <w:vAlign w:val="bottom"/>
          </w:tcPr>
          <w:p>
            <w:pPr>
              <w:spacing w:after="0"/>
              <w:rPr>
                <w:sz w:val="18"/>
                <w:szCs w:val="18"/>
                <w:color w:val="auto"/>
              </w:rPr>
            </w:pP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(232,129 )</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(16,241 )</w:t>
            </w: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7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(10,785 )</w:t>
            </w:r>
          </w:p>
        </w:tc>
        <w:tc>
          <w:tcPr>
            <w:tcW w:w="0" w:type="dxa"/>
            <w:vAlign w:val="bottom"/>
          </w:tcPr>
          <w:p>
            <w:pPr>
              <w:spacing w:after="0"/>
              <w:rPr>
                <w:sz w:val="1"/>
                <w:szCs w:val="1"/>
                <w:color w:val="auto"/>
              </w:rPr>
            </w:pPr>
          </w:p>
        </w:tc>
      </w:tr>
      <w:tr>
        <w:trPr>
          <w:trHeight w:val="20"/>
        </w:trPr>
        <w:tc>
          <w:tcPr>
            <w:tcW w:w="5480" w:type="dxa"/>
            <w:vAlign w:val="bottom"/>
          </w:tcPr>
          <w:p>
            <w:pPr>
              <w:spacing w:after="0" w:line="20" w:lineRule="exact"/>
              <w:rPr>
                <w:sz w:val="1"/>
                <w:szCs w:val="1"/>
                <w:color w:val="auto"/>
              </w:rPr>
            </w:pPr>
          </w:p>
        </w:tc>
        <w:tc>
          <w:tcPr>
            <w:tcW w:w="2460" w:type="dxa"/>
            <w:vAlign w:val="bottom"/>
            <w:vMerge w:val="restart"/>
          </w:tcPr>
          <w:p>
            <w:pPr>
              <w:jc w:val="right"/>
              <w:ind w:right="2090"/>
              <w:spacing w:after="0"/>
              <w:rPr>
                <w:sz w:val="20"/>
                <w:szCs w:val="20"/>
                <w:color w:val="auto"/>
              </w:rPr>
            </w:pPr>
            <w:r>
              <w:rPr>
                <w:rFonts w:ascii="Times New Roman" w:cs="Times New Roman" w:eastAsia="Times New Roman" w:hAnsi="Times New Roman"/>
                <w:sz w:val="18"/>
                <w:szCs w:val="18"/>
                <w:color w:val="auto"/>
                <w:w w:val="96"/>
              </w:rPr>
              <w:t>108</w:t>
            </w:r>
          </w:p>
        </w:tc>
        <w:tc>
          <w:tcPr>
            <w:tcW w:w="160" w:type="dxa"/>
            <w:vAlign w:val="bottom"/>
            <w:tcBorders>
              <w:top w:val="single" w:sz="8" w:color="auto"/>
              <w:bottom w:val="single" w:sz="8" w:color="auto"/>
            </w:tcBorders>
          </w:tcPr>
          <w:p>
            <w:pPr>
              <w:spacing w:after="0" w:line="20" w:lineRule="exact"/>
              <w:rPr>
                <w:sz w:val="1"/>
                <w:szCs w:val="1"/>
                <w:color w:val="auto"/>
              </w:rPr>
            </w:pPr>
          </w:p>
        </w:tc>
        <w:tc>
          <w:tcPr>
            <w:tcW w:w="740" w:type="dxa"/>
            <w:vAlign w:val="bottom"/>
            <w:tcBorders>
              <w:top w:val="single" w:sz="8" w:color="auto"/>
              <w:bottom w:val="single" w:sz="8" w:color="auto"/>
            </w:tcBorders>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68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6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723"/>
        </w:trPr>
        <w:tc>
          <w:tcPr>
            <w:tcW w:w="5480" w:type="dxa"/>
            <w:vAlign w:val="bottom"/>
          </w:tcPr>
          <w:p>
            <w:pPr>
              <w:spacing w:after="0"/>
              <w:rPr>
                <w:sz w:val="24"/>
                <w:szCs w:val="24"/>
                <w:color w:val="auto"/>
              </w:rPr>
            </w:pPr>
          </w:p>
        </w:tc>
        <w:tc>
          <w:tcPr>
            <w:tcW w:w="2460" w:type="dxa"/>
            <w:vAlign w:val="bottom"/>
            <w:vMerge w:val="continue"/>
          </w:tcPr>
          <w:p>
            <w:pPr>
              <w:spacing w:after="0"/>
              <w:rPr>
                <w:sz w:val="24"/>
                <w:szCs w:val="24"/>
                <w:color w:val="auto"/>
              </w:rPr>
            </w:pPr>
          </w:p>
        </w:tc>
        <w:tc>
          <w:tcPr>
            <w:tcW w:w="160" w:type="dxa"/>
            <w:vAlign w:val="bottom"/>
          </w:tcPr>
          <w:p>
            <w:pPr>
              <w:spacing w:after="0"/>
              <w:rPr>
                <w:sz w:val="24"/>
                <w:szCs w:val="24"/>
                <w:color w:val="auto"/>
              </w:rPr>
            </w:pPr>
          </w:p>
        </w:tc>
        <w:tc>
          <w:tcPr>
            <w:tcW w:w="74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68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6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63"/>
        </w:trPr>
        <w:tc>
          <w:tcPr>
            <w:tcW w:w="5480" w:type="dxa"/>
            <w:vAlign w:val="bottom"/>
            <w:tcBorders>
              <w:bottom w:val="single" w:sz="8" w:color="9A9A9A"/>
            </w:tcBorders>
          </w:tcPr>
          <w:p>
            <w:pPr>
              <w:spacing w:after="0"/>
              <w:rPr>
                <w:sz w:val="24"/>
                <w:szCs w:val="24"/>
                <w:color w:val="auto"/>
              </w:rPr>
            </w:pPr>
          </w:p>
        </w:tc>
        <w:tc>
          <w:tcPr>
            <w:tcW w:w="24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740" w:type="dxa"/>
            <w:vAlign w:val="bottom"/>
            <w:tcBorders>
              <w:bottom w:val="single" w:sz="8" w:color="9A9A9A"/>
            </w:tcBorders>
          </w:tcPr>
          <w:p>
            <w:pPr>
              <w:spacing w:after="0"/>
              <w:rPr>
                <w:sz w:val="24"/>
                <w:szCs w:val="24"/>
                <w:color w:val="auto"/>
              </w:rPr>
            </w:pPr>
          </w:p>
        </w:tc>
        <w:tc>
          <w:tcPr>
            <w:tcW w:w="26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68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6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5611495</wp:posOffset>
            </wp:positionH>
            <wp:positionV relativeFrom="paragraph">
              <wp:posOffset>-1139190</wp:posOffset>
            </wp:positionV>
            <wp:extent cx="68580" cy="8890"/>
            <wp:wrapNone/>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44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6339840</wp:posOffset>
            </wp:positionH>
            <wp:positionV relativeFrom="paragraph">
              <wp:posOffset>-1139190</wp:posOffset>
            </wp:positionV>
            <wp:extent cx="68580" cy="8890"/>
            <wp:wrapNone/>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4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-1139190</wp:posOffset>
            </wp:positionV>
            <wp:extent cx="68580" cy="8890"/>
            <wp:wrapNone/>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4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50">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51">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332" w:right="339" w:bottom="1440" w:gutter="0" w:footer="0" w:header="0"/>
        </w:sectPr>
      </w:pPr>
    </w:p>
    <w:bookmarkStart w:id="108" w:name="page109"/>
    <w:bookmarkEnd w:id="108"/>
    <w:p>
      <w:pPr>
        <w:spacing w:after="0"/>
        <w:rPr>
          <w:sz w:val="20"/>
          <w:szCs w:val="20"/>
          <w:color w:val="auto"/>
        </w:rPr>
      </w:pPr>
      <w:r>
        <w:rPr>
          <w:rFonts w:ascii="Times New Roman" w:cs="Times New Roman" w:eastAsia="Times New Roman" w:hAnsi="Times New Roman"/>
          <w:sz w:val="18"/>
          <w:szCs w:val="18"/>
          <w:b w:val="1"/>
          <w:bCs w:val="1"/>
          <w:color w:val="auto"/>
        </w:rPr>
        <w:t>(12) Basic and Diluted (Loss) Earnings per Share</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sets forth the computation of basic and diluted (loss) earnings per share (in thousands, except per share data) for the periods indicated:</w:t>
      </w:r>
    </w:p>
    <w:p>
      <w:pPr>
        <w:spacing w:after="0" w:line="219"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648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300" w:type="dxa"/>
            <w:vAlign w:val="bottom"/>
            <w:tcBorders>
              <w:bottom w:val="single" w:sz="8" w:color="auto"/>
            </w:tcBorders>
          </w:tcPr>
          <w:p>
            <w:pPr>
              <w:spacing w:after="0"/>
              <w:rPr>
                <w:sz w:val="15"/>
                <w:szCs w:val="15"/>
                <w:color w:val="auto"/>
              </w:rPr>
            </w:pPr>
          </w:p>
        </w:tc>
        <w:tc>
          <w:tcPr>
            <w:tcW w:w="1040" w:type="dxa"/>
            <w:vAlign w:val="bottom"/>
            <w:tcBorders>
              <w:bottom w:val="single" w:sz="8" w:color="auto"/>
            </w:tcBorders>
          </w:tcPr>
          <w:p>
            <w:pPr>
              <w:spacing w:after="0"/>
              <w:rPr>
                <w:sz w:val="15"/>
                <w:szCs w:val="15"/>
                <w:color w:val="auto"/>
              </w:rPr>
            </w:pPr>
          </w:p>
        </w:tc>
        <w:tc>
          <w:tcPr>
            <w:tcW w:w="1820" w:type="dxa"/>
            <w:vAlign w:val="bottom"/>
            <w:tcBorders>
              <w:bottom w:val="single" w:sz="8" w:color="auto"/>
            </w:tcBorders>
            <w:gridSpan w:val="6"/>
          </w:tcPr>
          <w:p>
            <w:pPr>
              <w:ind w:left="6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320" w:type="dxa"/>
            <w:vAlign w:val="bottom"/>
            <w:tcBorders>
              <w:bottom w:val="single" w:sz="8" w:color="auto"/>
            </w:tcBorders>
          </w:tcPr>
          <w:p>
            <w:pPr>
              <w:spacing w:after="0"/>
              <w:rPr>
                <w:sz w:val="15"/>
                <w:szCs w:val="15"/>
                <w:color w:val="auto"/>
              </w:rPr>
            </w:pPr>
          </w:p>
        </w:tc>
        <w:tc>
          <w:tcPr>
            <w:tcW w:w="102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648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300" w:type="dxa"/>
            <w:vAlign w:val="bottom"/>
            <w:tcBorders>
              <w:bottom w:val="single" w:sz="8" w:color="auto"/>
            </w:tcBorders>
          </w:tcPr>
          <w:p>
            <w:pPr>
              <w:spacing w:after="0"/>
              <w:rPr>
                <w:sz w:val="12"/>
                <w:szCs w:val="12"/>
                <w:color w:val="auto"/>
              </w:rPr>
            </w:pPr>
          </w:p>
        </w:tc>
        <w:tc>
          <w:tcPr>
            <w:tcW w:w="1040" w:type="dxa"/>
            <w:vAlign w:val="bottom"/>
            <w:tcBorders>
              <w:bottom w:val="single" w:sz="8" w:color="auto"/>
            </w:tcBorders>
          </w:tcPr>
          <w:p>
            <w:pPr>
              <w:jc w:val="right"/>
              <w:ind w:right="451"/>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10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1"/>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20" w:type="dxa"/>
            <w:vAlign w:val="bottom"/>
            <w:tcBorders>
              <w:bottom w:val="single" w:sz="8" w:color="auto"/>
            </w:tcBorders>
          </w:tcPr>
          <w:p>
            <w:pPr>
              <w:jc w:val="right"/>
              <w:ind w:right="451"/>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100" w:type="dxa"/>
            <w:vAlign w:val="bottom"/>
          </w:tcPr>
          <w:p>
            <w:pPr>
              <w:spacing w:after="0"/>
              <w:rPr>
                <w:sz w:val="12"/>
                <w:szCs w:val="12"/>
                <w:color w:val="auto"/>
              </w:rPr>
            </w:pPr>
          </w:p>
        </w:tc>
      </w:tr>
      <w:tr>
        <w:trPr>
          <w:trHeight w:val="210"/>
        </w:trPr>
        <w:tc>
          <w:tcPr>
            <w:tcW w:w="648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Numerator:</w:t>
            </w:r>
          </w:p>
        </w:tc>
        <w:tc>
          <w:tcPr>
            <w:tcW w:w="160" w:type="dxa"/>
            <w:vAlign w:val="bottom"/>
            <w:tcBorders>
              <w:bottom w:val="single" w:sz="8" w:color="CFF0FC"/>
            </w:tcBorders>
            <w:shd w:val="clear" w:color="auto" w:fill="CFF0FC"/>
          </w:tcPr>
          <w:p>
            <w:pPr>
              <w:spacing w:after="0"/>
              <w:rPr>
                <w:sz w:val="18"/>
                <w:szCs w:val="18"/>
                <w:color w:val="auto"/>
              </w:rPr>
            </w:pPr>
          </w:p>
        </w:tc>
        <w:tc>
          <w:tcPr>
            <w:tcW w:w="300" w:type="dxa"/>
            <w:vAlign w:val="bottom"/>
            <w:tcBorders>
              <w:bottom w:val="single" w:sz="8" w:color="auto"/>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spacing w:after="0"/>
              <w:rPr>
                <w:sz w:val="18"/>
                <w:szCs w:val="18"/>
                <w:color w:val="auto"/>
              </w:rPr>
            </w:pPr>
          </w:p>
        </w:tc>
        <w:tc>
          <w:tcPr>
            <w:tcW w:w="100" w:type="dxa"/>
            <w:vAlign w:val="bottom"/>
            <w:tcBorders>
              <w:bottom w:val="single" w:sz="8" w:color="CFF0FC"/>
            </w:tcBorders>
            <w:shd w:val="clear" w:color="auto" w:fill="CFF0FC"/>
          </w:tcPr>
          <w:p>
            <w:pPr>
              <w:spacing w:after="0"/>
              <w:rPr>
                <w:sz w:val="18"/>
                <w:szCs w:val="18"/>
                <w:color w:val="auto"/>
              </w:rPr>
            </w:pPr>
          </w:p>
        </w:tc>
        <w:tc>
          <w:tcPr>
            <w:tcW w:w="1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spacing w:after="0"/>
              <w:rPr>
                <w:sz w:val="18"/>
                <w:szCs w:val="18"/>
                <w:color w:val="auto"/>
              </w:rPr>
            </w:pPr>
          </w:p>
        </w:tc>
        <w:tc>
          <w:tcPr>
            <w:tcW w:w="100" w:type="dxa"/>
            <w:vAlign w:val="bottom"/>
            <w:tcBorders>
              <w:bottom w:val="single" w:sz="8" w:color="CFF0FC"/>
            </w:tcBorders>
            <w:shd w:val="clear" w:color="auto" w:fill="CFF0FC"/>
          </w:tcPr>
          <w:p>
            <w:pPr>
              <w:spacing w:after="0"/>
              <w:rPr>
                <w:sz w:val="18"/>
                <w:szCs w:val="18"/>
                <w:color w:val="auto"/>
              </w:rPr>
            </w:pPr>
          </w:p>
        </w:tc>
        <w:tc>
          <w:tcPr>
            <w:tcW w:w="1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spacing w:after="0"/>
              <w:rPr>
                <w:sz w:val="18"/>
                <w:szCs w:val="18"/>
                <w:color w:val="auto"/>
              </w:rPr>
            </w:pP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64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Net (loss) income - Basic</w:t>
            </w:r>
          </w:p>
        </w:tc>
        <w:tc>
          <w:tcPr>
            <w:tcW w:w="460" w:type="dxa"/>
            <w:vAlign w:val="bottom"/>
            <w:gridSpan w:val="2"/>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(1,166,661 )</w:t>
            </w:r>
          </w:p>
        </w:tc>
        <w:tc>
          <w:tcPr>
            <w:tcW w:w="460" w:type="dxa"/>
            <w:vAlign w:val="bottom"/>
            <w:gridSpan w:val="2"/>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429,121</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(1,469,797 )</w:t>
            </w:r>
          </w:p>
        </w:tc>
      </w:tr>
      <w:tr>
        <w:trPr>
          <w:trHeight w:val="210"/>
        </w:trPr>
        <w:tc>
          <w:tcPr>
            <w:tcW w:w="64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Effect of dilutive shares on net (loss) income:</w:t>
            </w:r>
          </w:p>
        </w:tc>
        <w:tc>
          <w:tcPr>
            <w:tcW w:w="160" w:type="dxa"/>
            <w:vAlign w:val="bottom"/>
            <w:shd w:val="clear" w:color="auto" w:fill="CFF0FC"/>
          </w:tcPr>
          <w:p>
            <w:pPr>
              <w:spacing w:after="0"/>
              <w:rPr>
                <w:sz w:val="18"/>
                <w:szCs w:val="18"/>
                <w:color w:val="auto"/>
              </w:rPr>
            </w:pPr>
          </w:p>
        </w:tc>
        <w:tc>
          <w:tcPr>
            <w:tcW w:w="300" w:type="dxa"/>
            <w:vAlign w:val="bottom"/>
            <w:tcBorders>
              <w:top w:val="single" w:sz="8" w:color="auto"/>
            </w:tcBorders>
            <w:shd w:val="clear" w:color="auto" w:fill="CFF0FC"/>
          </w:tcPr>
          <w:p>
            <w:pPr>
              <w:spacing w:after="0"/>
              <w:rPr>
                <w:sz w:val="18"/>
                <w:szCs w:val="18"/>
                <w:color w:val="auto"/>
              </w:rPr>
            </w:pPr>
          </w:p>
        </w:tc>
        <w:tc>
          <w:tcPr>
            <w:tcW w:w="1040" w:type="dxa"/>
            <w:vAlign w:val="bottom"/>
            <w:tcBorders>
              <w:top w:val="single" w:sz="8" w:color="auto"/>
            </w:tcBorders>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648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Interest expense on 2025 Convertible Notes, net of tax</w:t>
            </w:r>
          </w:p>
        </w:tc>
        <w:tc>
          <w:tcPr>
            <w:tcW w:w="16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5,648</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r>
      <w:tr>
        <w:trPr>
          <w:trHeight w:val="216"/>
        </w:trPr>
        <w:tc>
          <w:tcPr>
            <w:tcW w:w="648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Interest expense on 2027 Convertible Notes, net of tax</w:t>
            </w:r>
          </w:p>
        </w:tc>
        <w:tc>
          <w:tcPr>
            <w:tcW w:w="160" w:type="dxa"/>
            <w:vAlign w:val="bottom"/>
            <w:shd w:val="clear" w:color="auto" w:fill="CFF0FC"/>
          </w:tcPr>
          <w:p>
            <w:pPr>
              <w:spacing w:after="0"/>
              <w:rPr>
                <w:sz w:val="18"/>
                <w:szCs w:val="18"/>
                <w:color w:val="auto"/>
              </w:rPr>
            </w:pPr>
          </w:p>
        </w:tc>
        <w:tc>
          <w:tcPr>
            <w:tcW w:w="300" w:type="dxa"/>
            <w:vAlign w:val="bottom"/>
            <w:tcBorders>
              <w:bottom w:val="single" w:sz="8" w:color="auto"/>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2,874</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r>
      <w:tr>
        <w:trPr>
          <w:trHeight w:val="209"/>
        </w:trPr>
        <w:tc>
          <w:tcPr>
            <w:tcW w:w="64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Net (loss) income - Diluted</w:t>
            </w:r>
          </w:p>
        </w:tc>
        <w:tc>
          <w:tcPr>
            <w:tcW w:w="160" w:type="dxa"/>
            <w:vAlign w:val="bottom"/>
          </w:tcPr>
          <w:p>
            <w:pPr>
              <w:spacing w:after="0"/>
              <w:rPr>
                <w:sz w:val="18"/>
                <w:szCs w:val="18"/>
                <w:color w:val="auto"/>
              </w:rPr>
            </w:pPr>
          </w:p>
        </w:tc>
        <w:tc>
          <w:tcPr>
            <w:tcW w:w="300" w:type="dxa"/>
            <w:vAlign w:val="bottom"/>
            <w:tcBorders>
              <w:bottom w:val="single" w:sz="8" w:color="auto"/>
            </w:tcBorders>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(1,166,661</w:t>
            </w:r>
          </w:p>
        </w:tc>
        <w:tc>
          <w:tcPr>
            <w:tcW w:w="100" w:type="dxa"/>
            <w:vAlign w:val="bottom"/>
          </w:tcPr>
          <w:p>
            <w:pPr>
              <w:jc w:val="right"/>
              <w:spacing w:after="0"/>
              <w:rPr>
                <w:sz w:val="20"/>
                <w:szCs w:val="20"/>
                <w:color w:val="auto"/>
              </w:rPr>
            </w:pPr>
            <w:r>
              <w:rPr>
                <w:rFonts w:ascii="Times New Roman" w:cs="Times New Roman" w:eastAsia="Times New Roman" w:hAnsi="Times New Roman"/>
                <w:sz w:val="16"/>
                <w:szCs w:val="16"/>
                <w:color w:val="auto"/>
                <w:w w:val="74"/>
              </w:rPr>
              <w:t>)</w:t>
            </w:r>
          </w:p>
        </w:tc>
        <w:tc>
          <w:tcPr>
            <w:tcW w:w="140" w:type="dxa"/>
            <w:vAlign w:val="bottom"/>
          </w:tcPr>
          <w:p>
            <w:pPr>
              <w:spacing w:after="0"/>
              <w:rPr>
                <w:sz w:val="18"/>
                <w:szCs w:val="18"/>
                <w:color w:val="auto"/>
              </w:rPr>
            </w:pPr>
          </w:p>
        </w:tc>
        <w:tc>
          <w:tcPr>
            <w:tcW w:w="320" w:type="dxa"/>
            <w:vAlign w:val="bottom"/>
            <w:tcBorders>
              <w:bottom w:val="single" w:sz="8" w:color="auto"/>
            </w:tcBorders>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437,643</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Borders>
              <w:bottom w:val="single" w:sz="8" w:color="auto"/>
            </w:tcBorders>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(1,469,797</w:t>
            </w:r>
          </w:p>
        </w:tc>
        <w:tc>
          <w:tcPr>
            <w:tcW w:w="100" w:type="dxa"/>
            <w:vAlign w:val="bottom"/>
          </w:tcPr>
          <w:p>
            <w:pPr>
              <w:jc w:val="right"/>
              <w:spacing w:after="0"/>
              <w:rPr>
                <w:sz w:val="20"/>
                <w:szCs w:val="20"/>
                <w:color w:val="auto"/>
              </w:rPr>
            </w:pPr>
            <w:r>
              <w:rPr>
                <w:rFonts w:ascii="Times New Roman" w:cs="Times New Roman" w:eastAsia="Times New Roman" w:hAnsi="Times New Roman"/>
                <w:sz w:val="16"/>
                <w:szCs w:val="16"/>
                <w:color w:val="auto"/>
                <w:w w:val="74"/>
              </w:rPr>
              <w:t>)</w:t>
            </w:r>
          </w:p>
        </w:tc>
      </w:tr>
      <w:tr>
        <w:trPr>
          <w:trHeight w:val="210"/>
        </w:trPr>
        <w:tc>
          <w:tcPr>
            <w:tcW w:w="648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648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Denominator:</w:t>
            </w:r>
          </w:p>
        </w:tc>
        <w:tc>
          <w:tcPr>
            <w:tcW w:w="16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104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64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Weighted average common shares of class A common stock</w:t>
            </w: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172,909</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117,066</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93,569</w:t>
            </w:r>
          </w:p>
        </w:tc>
        <w:tc>
          <w:tcPr>
            <w:tcW w:w="100" w:type="dxa"/>
            <w:vAlign w:val="bottom"/>
            <w:shd w:val="clear" w:color="auto" w:fill="CFF0FC"/>
          </w:tcPr>
          <w:p>
            <w:pPr>
              <w:spacing w:after="0"/>
              <w:rPr>
                <w:sz w:val="18"/>
                <w:szCs w:val="18"/>
                <w:color w:val="auto"/>
              </w:rPr>
            </w:pPr>
          </w:p>
        </w:tc>
      </w:tr>
      <w:tr>
        <w:trPr>
          <w:trHeight w:val="216"/>
        </w:trPr>
        <w:tc>
          <w:tcPr>
            <w:tcW w:w="64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Weighted average common shares of class B common stock</w:t>
            </w:r>
          </w:p>
        </w:tc>
        <w:tc>
          <w:tcPr>
            <w:tcW w:w="160" w:type="dxa"/>
            <w:vAlign w:val="bottom"/>
          </w:tcPr>
          <w:p>
            <w:pPr>
              <w:spacing w:after="0"/>
              <w:rPr>
                <w:sz w:val="18"/>
                <w:szCs w:val="18"/>
                <w:color w:val="auto"/>
              </w:rPr>
            </w:pPr>
          </w:p>
        </w:tc>
        <w:tc>
          <w:tcPr>
            <w:tcW w:w="300" w:type="dxa"/>
            <w:vAlign w:val="bottom"/>
            <w:tcBorders>
              <w:bottom w:val="single" w:sz="8" w:color="auto"/>
            </w:tcBorders>
          </w:tcPr>
          <w:p>
            <w:pPr>
              <w:spacing w:after="0"/>
              <w:rPr>
                <w:sz w:val="18"/>
                <w:szCs w:val="18"/>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Borders>
              <w:bottom w:val="single" w:sz="8" w:color="auto"/>
            </w:tcBorders>
          </w:tcPr>
          <w:p>
            <w:pPr>
              <w:spacing w:after="0"/>
              <w:rPr>
                <w:sz w:val="18"/>
                <w:szCs w:val="18"/>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100" w:type="dxa"/>
            <w:vAlign w:val="bottom"/>
          </w:tcPr>
          <w:p>
            <w:pPr>
              <w:spacing w:after="0"/>
              <w:rPr>
                <w:sz w:val="18"/>
                <w:szCs w:val="18"/>
                <w:color w:val="auto"/>
              </w:rPr>
            </w:pPr>
          </w:p>
        </w:tc>
      </w:tr>
      <w:tr>
        <w:trPr>
          <w:trHeight w:val="210"/>
        </w:trPr>
        <w:tc>
          <w:tcPr>
            <w:tcW w:w="64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Total weighted average shares of common stock outstanding - Basic</w:t>
            </w: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192,549</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136,706</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113,209</w:t>
            </w:r>
          </w:p>
        </w:tc>
        <w:tc>
          <w:tcPr>
            <w:tcW w:w="100" w:type="dxa"/>
            <w:vAlign w:val="bottom"/>
            <w:shd w:val="clear" w:color="auto" w:fill="CFF0FC"/>
          </w:tcPr>
          <w:p>
            <w:pPr>
              <w:spacing w:after="0"/>
              <w:rPr>
                <w:sz w:val="18"/>
                <w:szCs w:val="18"/>
                <w:color w:val="auto"/>
              </w:rPr>
            </w:pPr>
          </w:p>
        </w:tc>
      </w:tr>
      <w:tr>
        <w:trPr>
          <w:trHeight w:val="216"/>
        </w:trPr>
        <w:tc>
          <w:tcPr>
            <w:tcW w:w="648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104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64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Effect of dilutive shares on weighted average common shares outstanding:</w:t>
            </w: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648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Stock options</w:t>
            </w:r>
          </w:p>
        </w:tc>
        <w:tc>
          <w:tcPr>
            <w:tcW w:w="16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4,613</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r>
      <w:tr>
        <w:trPr>
          <w:trHeight w:val="216"/>
        </w:trPr>
        <w:tc>
          <w:tcPr>
            <w:tcW w:w="648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Restricted stock units</w:t>
            </w: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546</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r>
      <w:tr>
        <w:trPr>
          <w:trHeight w:val="216"/>
        </w:trPr>
        <w:tc>
          <w:tcPr>
            <w:tcW w:w="648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Performance stock units</w:t>
            </w:r>
          </w:p>
        </w:tc>
        <w:tc>
          <w:tcPr>
            <w:tcW w:w="16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130</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r>
      <w:tr>
        <w:trPr>
          <w:trHeight w:val="216"/>
        </w:trPr>
        <w:tc>
          <w:tcPr>
            <w:tcW w:w="648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Employee stock purchase plan</w:t>
            </w: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r>
      <w:tr>
        <w:trPr>
          <w:trHeight w:val="216"/>
        </w:trPr>
        <w:tc>
          <w:tcPr>
            <w:tcW w:w="648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2025 Convertible Notes</w:t>
            </w:r>
          </w:p>
        </w:tc>
        <w:tc>
          <w:tcPr>
            <w:tcW w:w="16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16,332</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r>
      <w:tr>
        <w:trPr>
          <w:trHeight w:val="216"/>
        </w:trPr>
        <w:tc>
          <w:tcPr>
            <w:tcW w:w="6480" w:type="dxa"/>
            <w:vAlign w:val="bottom"/>
            <w:tcBorders>
              <w:bottom w:val="single" w:sz="8" w:color="CFF0FC"/>
            </w:tcBorders>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2027 Convertible Notes</w:t>
            </w:r>
          </w:p>
        </w:tc>
        <w:tc>
          <w:tcPr>
            <w:tcW w:w="160" w:type="dxa"/>
            <w:vAlign w:val="bottom"/>
            <w:tcBorders>
              <w:bottom w:val="single" w:sz="8" w:color="CFF0FC"/>
            </w:tcBorders>
            <w:shd w:val="clear" w:color="auto" w:fill="CFF0FC"/>
          </w:tcPr>
          <w:p>
            <w:pPr>
              <w:spacing w:after="0"/>
              <w:rPr>
                <w:sz w:val="18"/>
                <w:szCs w:val="18"/>
                <w:color w:val="auto"/>
              </w:rPr>
            </w:pPr>
          </w:p>
        </w:tc>
        <w:tc>
          <w:tcPr>
            <w:tcW w:w="300" w:type="dxa"/>
            <w:vAlign w:val="bottom"/>
            <w:tcBorders>
              <w:bottom w:val="single" w:sz="8" w:color="auto"/>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Borders>
              <w:bottom w:val="single" w:sz="8" w:color="CFF0FC"/>
            </w:tcBorders>
            <w:shd w:val="clear" w:color="auto" w:fill="CFF0FC"/>
          </w:tcPr>
          <w:p>
            <w:pPr>
              <w:spacing w:after="0"/>
              <w:rPr>
                <w:sz w:val="18"/>
                <w:szCs w:val="18"/>
                <w:color w:val="auto"/>
              </w:rPr>
            </w:pPr>
          </w:p>
        </w:tc>
        <w:tc>
          <w:tcPr>
            <w:tcW w:w="1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100" w:type="dxa"/>
            <w:vAlign w:val="bottom"/>
            <w:tcBorders>
              <w:bottom w:val="single" w:sz="8" w:color="CFF0FC"/>
            </w:tcBorders>
            <w:shd w:val="clear" w:color="auto" w:fill="CFF0FC"/>
          </w:tcPr>
          <w:p>
            <w:pPr>
              <w:spacing w:after="0"/>
              <w:rPr>
                <w:sz w:val="18"/>
                <w:szCs w:val="18"/>
                <w:color w:val="auto"/>
              </w:rPr>
            </w:pPr>
          </w:p>
        </w:tc>
        <w:tc>
          <w:tcPr>
            <w:tcW w:w="1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6480" w:type="dxa"/>
            <w:vAlign w:val="bottom"/>
            <w:tcBorders>
              <w:bottom w:val="single" w:sz="8" w:color="CFF0FC"/>
            </w:tcBorders>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Total weighted average shares of common stock outstanding - Diluted</w:t>
            </w:r>
          </w:p>
        </w:tc>
        <w:tc>
          <w:tcPr>
            <w:tcW w:w="160" w:type="dxa"/>
            <w:vAlign w:val="bottom"/>
            <w:tcBorders>
              <w:bottom w:val="single" w:sz="8" w:color="CFF0FC"/>
            </w:tcBorders>
            <w:shd w:val="clear" w:color="auto" w:fill="CFF0FC"/>
          </w:tcPr>
          <w:p>
            <w:pPr>
              <w:spacing w:after="0"/>
              <w:rPr>
                <w:sz w:val="18"/>
                <w:szCs w:val="18"/>
                <w:color w:val="auto"/>
              </w:rPr>
            </w:pPr>
          </w:p>
        </w:tc>
        <w:tc>
          <w:tcPr>
            <w:tcW w:w="300" w:type="dxa"/>
            <w:vAlign w:val="bottom"/>
            <w:tcBorders>
              <w:bottom w:val="single" w:sz="8" w:color="auto"/>
            </w:tcBorders>
            <w:shd w:val="clear" w:color="auto" w:fill="CFF0FC"/>
          </w:tcPr>
          <w:p>
            <w:pPr>
              <w:spacing w:after="0"/>
              <w:rPr>
                <w:sz w:val="18"/>
                <w:szCs w:val="18"/>
                <w:color w:val="auto"/>
              </w:rPr>
            </w:pP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192,549</w:t>
            </w:r>
          </w:p>
        </w:tc>
        <w:tc>
          <w:tcPr>
            <w:tcW w:w="100" w:type="dxa"/>
            <w:vAlign w:val="bottom"/>
            <w:tcBorders>
              <w:bottom w:val="single" w:sz="8" w:color="CFF0FC"/>
            </w:tcBorders>
            <w:shd w:val="clear" w:color="auto" w:fill="CFF0FC"/>
          </w:tcPr>
          <w:p>
            <w:pPr>
              <w:spacing w:after="0"/>
              <w:rPr>
                <w:sz w:val="18"/>
                <w:szCs w:val="18"/>
                <w:color w:val="auto"/>
              </w:rPr>
            </w:pPr>
          </w:p>
        </w:tc>
        <w:tc>
          <w:tcPr>
            <w:tcW w:w="1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165,662</w:t>
            </w:r>
          </w:p>
        </w:tc>
        <w:tc>
          <w:tcPr>
            <w:tcW w:w="100" w:type="dxa"/>
            <w:vAlign w:val="bottom"/>
            <w:tcBorders>
              <w:bottom w:val="single" w:sz="8" w:color="CFF0FC"/>
            </w:tcBorders>
            <w:shd w:val="clear" w:color="auto" w:fill="CFF0FC"/>
          </w:tcPr>
          <w:p>
            <w:pPr>
              <w:spacing w:after="0"/>
              <w:rPr>
                <w:sz w:val="18"/>
                <w:szCs w:val="18"/>
                <w:color w:val="auto"/>
              </w:rPr>
            </w:pPr>
          </w:p>
        </w:tc>
        <w:tc>
          <w:tcPr>
            <w:tcW w:w="140" w:type="dxa"/>
            <w:vAlign w:val="bottom"/>
            <w:tcBorders>
              <w:bottom w:val="single" w:sz="8" w:color="CFF0FC"/>
            </w:tcBorders>
            <w:shd w:val="clear" w:color="auto" w:fill="CFF0FC"/>
          </w:tcPr>
          <w:p>
            <w:pPr>
              <w:spacing w:after="0"/>
              <w:rPr>
                <w:sz w:val="18"/>
                <w:szCs w:val="18"/>
                <w:color w:val="auto"/>
              </w:rPr>
            </w:pPr>
          </w:p>
        </w:tc>
        <w:tc>
          <w:tcPr>
            <w:tcW w:w="320" w:type="dxa"/>
            <w:vAlign w:val="bottom"/>
            <w:tcBorders>
              <w:bottom w:val="single" w:sz="8" w:color="auto"/>
            </w:tcBorders>
            <w:shd w:val="clear" w:color="auto" w:fill="CFF0FC"/>
          </w:tcPr>
          <w:p>
            <w:pPr>
              <w:spacing w:after="0"/>
              <w:rPr>
                <w:sz w:val="18"/>
                <w:szCs w:val="18"/>
                <w:color w:val="auto"/>
              </w:rPr>
            </w:pPr>
          </w:p>
        </w:tc>
        <w:tc>
          <w:tcPr>
            <w:tcW w:w="10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113,209</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648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104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102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64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(Loss) earnings per share:</w:t>
            </w: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4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64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Basic (loss) earnings per share (1)</w:t>
            </w:r>
          </w:p>
        </w:tc>
        <w:tc>
          <w:tcPr>
            <w:tcW w:w="460" w:type="dxa"/>
            <w:vAlign w:val="bottom"/>
            <w:gridSpan w:val="2"/>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(6.06 )</w:t>
            </w:r>
          </w:p>
        </w:tc>
        <w:tc>
          <w:tcPr>
            <w:tcW w:w="460" w:type="dxa"/>
            <w:vAlign w:val="bottom"/>
            <w:gridSpan w:val="2"/>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3.14</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(12.98 )</w:t>
            </w:r>
          </w:p>
        </w:tc>
      </w:tr>
      <w:tr>
        <w:trPr>
          <w:trHeight w:val="20"/>
        </w:trPr>
        <w:tc>
          <w:tcPr>
            <w:tcW w:w="648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300" w:type="dxa"/>
            <w:vAlign w:val="bottom"/>
            <w:tcBorders>
              <w:top w:val="single" w:sz="8" w:color="auto"/>
              <w:bottom w:val="single" w:sz="8" w:color="auto"/>
            </w:tcBorders>
          </w:tcPr>
          <w:p>
            <w:pPr>
              <w:spacing w:after="0" w:line="20" w:lineRule="exact"/>
              <w:rPr>
                <w:sz w:val="1"/>
                <w:szCs w:val="1"/>
                <w:color w:val="auto"/>
              </w:rPr>
            </w:pPr>
          </w:p>
        </w:tc>
        <w:tc>
          <w:tcPr>
            <w:tcW w:w="104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320" w:type="dxa"/>
            <w:vAlign w:val="bottom"/>
            <w:tcBorders>
              <w:top w:val="single" w:sz="8" w:color="auto"/>
              <w:bottom w:val="single" w:sz="8" w:color="auto"/>
            </w:tcBorders>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17"/>
        </w:trPr>
        <w:tc>
          <w:tcPr>
            <w:tcW w:w="6480" w:type="dxa"/>
            <w:vAlign w:val="bottom"/>
            <w:shd w:val="clear" w:color="auto" w:fill="CFF0FC"/>
          </w:tcPr>
          <w:p>
            <w:pPr>
              <w:ind w:left="120"/>
              <w:spacing w:after="0" w:line="196" w:lineRule="exact"/>
              <w:rPr>
                <w:sz w:val="20"/>
                <w:szCs w:val="20"/>
                <w:color w:val="auto"/>
              </w:rPr>
            </w:pPr>
            <w:r>
              <w:rPr>
                <w:rFonts w:ascii="Times New Roman" w:cs="Times New Roman" w:eastAsia="Times New Roman" w:hAnsi="Times New Roman"/>
                <w:sz w:val="18"/>
                <w:szCs w:val="18"/>
                <w:color w:val="auto"/>
              </w:rPr>
              <w:t>Diluted (loss) earnings per share (1)</w:t>
            </w:r>
          </w:p>
        </w:tc>
        <w:tc>
          <w:tcPr>
            <w:tcW w:w="160" w:type="dxa"/>
            <w:vAlign w:val="bottom"/>
            <w:shd w:val="clear" w:color="auto" w:fill="CFF0FC"/>
          </w:tcPr>
          <w:p>
            <w:pPr>
              <w:spacing w:after="0"/>
              <w:rPr>
                <w:sz w:val="18"/>
                <w:szCs w:val="18"/>
                <w:color w:val="auto"/>
              </w:rPr>
            </w:pPr>
          </w:p>
        </w:tc>
        <w:tc>
          <w:tcPr>
            <w:tcW w:w="300" w:type="dxa"/>
            <w:vAlign w:val="bottom"/>
            <w:shd w:val="clear" w:color="auto" w:fill="CFF0FC"/>
          </w:tcPr>
          <w:p>
            <w:pPr>
              <w:jc w:val="right"/>
              <w:ind w:right="110"/>
              <w:spacing w:after="0" w:line="196" w:lineRule="exact"/>
              <w:rPr>
                <w:sz w:val="20"/>
                <w:szCs w:val="20"/>
                <w:color w:val="auto"/>
              </w:rPr>
            </w:pPr>
            <w:r>
              <w:rPr>
                <w:rFonts w:ascii="Times New Roman" w:cs="Times New Roman" w:eastAsia="Times New Roman" w:hAnsi="Times New Roman"/>
                <w:sz w:val="18"/>
                <w:szCs w:val="18"/>
                <w:color w:val="auto"/>
                <w:w w:val="88"/>
              </w:rPr>
              <w:t>$</w:t>
            </w:r>
          </w:p>
        </w:tc>
        <w:tc>
          <w:tcPr>
            <w:tcW w:w="1140" w:type="dxa"/>
            <w:vAlign w:val="bottom"/>
            <w:gridSpan w:val="2"/>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(6.06 )</w:t>
            </w:r>
          </w:p>
        </w:tc>
        <w:tc>
          <w:tcPr>
            <w:tcW w:w="460" w:type="dxa"/>
            <w:vAlign w:val="bottom"/>
            <w:gridSpan w:val="2"/>
            <w:shd w:val="clear" w:color="auto" w:fill="CFF0FC"/>
          </w:tcPr>
          <w:p>
            <w:pPr>
              <w:jc w:val="right"/>
              <w:ind w:right="11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2.64</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320" w:type="dxa"/>
            <w:vAlign w:val="bottom"/>
            <w:shd w:val="clear" w:color="auto" w:fill="CFF0FC"/>
          </w:tcPr>
          <w:p>
            <w:pPr>
              <w:jc w:val="right"/>
              <w:ind w:right="11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120" w:type="dxa"/>
            <w:vAlign w:val="bottom"/>
            <w:gridSpan w:val="2"/>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(12.98 )</w:t>
            </w:r>
          </w:p>
        </w:tc>
      </w:tr>
      <w:tr>
        <w:trPr>
          <w:trHeight w:val="20"/>
        </w:trPr>
        <w:tc>
          <w:tcPr>
            <w:tcW w:w="648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300" w:type="dxa"/>
            <w:vAlign w:val="bottom"/>
            <w:tcBorders>
              <w:top w:val="single" w:sz="8" w:color="auto"/>
            </w:tcBorders>
            <w:shd w:val="clear" w:color="auto" w:fill="000000"/>
          </w:tcPr>
          <w:p>
            <w:pPr>
              <w:spacing w:after="0" w:line="20" w:lineRule="exact"/>
              <w:rPr>
                <w:sz w:val="1"/>
                <w:szCs w:val="1"/>
                <w:color w:val="auto"/>
              </w:rPr>
            </w:pPr>
          </w:p>
        </w:tc>
        <w:tc>
          <w:tcPr>
            <w:tcW w:w="104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140" w:type="dxa"/>
            <w:vAlign w:val="bottom"/>
            <w:tcBorders>
              <w:top w:val="single" w:sz="8" w:color="CFF0FC"/>
            </w:tcBorders>
            <w:shd w:val="clear" w:color="auto" w:fill="CFF0FC"/>
          </w:tcPr>
          <w:p>
            <w:pPr>
              <w:spacing w:after="0" w:line="20" w:lineRule="exact"/>
              <w:rPr>
                <w:sz w:val="1"/>
                <w:szCs w:val="1"/>
                <w:color w:val="auto"/>
              </w:rPr>
            </w:pPr>
          </w:p>
        </w:tc>
        <w:tc>
          <w:tcPr>
            <w:tcW w:w="320" w:type="dxa"/>
            <w:vAlign w:val="bottom"/>
            <w:tcBorders>
              <w:top w:val="single" w:sz="8" w:color="auto"/>
            </w:tcBorders>
            <w:shd w:val="clear" w:color="auto" w:fill="000000"/>
          </w:tcPr>
          <w:p>
            <w:pPr>
              <w:spacing w:after="0" w:line="20" w:lineRule="exact"/>
              <w:rPr>
                <w:sz w:val="1"/>
                <w:szCs w:val="1"/>
                <w:color w:val="auto"/>
              </w:rPr>
            </w:pPr>
          </w:p>
        </w:tc>
        <w:tc>
          <w:tcPr>
            <w:tcW w:w="102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140" w:type="dxa"/>
            <w:vAlign w:val="bottom"/>
            <w:tcBorders>
              <w:top w:val="single" w:sz="8" w:color="CFF0FC"/>
            </w:tcBorders>
            <w:shd w:val="clear" w:color="auto" w:fill="CFF0FC"/>
          </w:tcPr>
          <w:p>
            <w:pPr>
              <w:spacing w:after="0" w:line="20" w:lineRule="exact"/>
              <w:rPr>
                <w:sz w:val="1"/>
                <w:szCs w:val="1"/>
                <w:color w:val="auto"/>
              </w:rPr>
            </w:pPr>
          </w:p>
        </w:tc>
        <w:tc>
          <w:tcPr>
            <w:tcW w:w="320" w:type="dxa"/>
            <w:vAlign w:val="bottom"/>
            <w:tcBorders>
              <w:top w:val="single" w:sz="8" w:color="auto"/>
            </w:tcBorders>
            <w:shd w:val="clear" w:color="auto" w:fill="000000"/>
          </w:tcPr>
          <w:p>
            <w:pPr>
              <w:spacing w:after="0" w:line="20" w:lineRule="exact"/>
              <w:rPr>
                <w:sz w:val="1"/>
                <w:szCs w:val="1"/>
                <w:color w:val="auto"/>
              </w:rPr>
            </w:pPr>
          </w:p>
        </w:tc>
        <w:tc>
          <w:tcPr>
            <w:tcW w:w="102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5062855</wp:posOffset>
            </wp:positionH>
            <wp:positionV relativeFrom="paragraph">
              <wp:posOffset>-3265170</wp:posOffset>
            </wp:positionV>
            <wp:extent cx="68580" cy="8255"/>
            <wp:wrapNone/>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5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-3265170</wp:posOffset>
            </wp:positionV>
            <wp:extent cx="68580" cy="8255"/>
            <wp:wrapNone/>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5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-3265170</wp:posOffset>
            </wp:positionV>
            <wp:extent cx="68580" cy="8255"/>
            <wp:wrapNone/>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5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5050155</wp:posOffset>
            </wp:positionH>
            <wp:positionV relativeFrom="paragraph">
              <wp:posOffset>-2712085</wp:posOffset>
            </wp:positionV>
            <wp:extent cx="93980" cy="179705"/>
            <wp:wrapNone/>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55">
                      <a:extLst>
                        <a:ext uri="{28A0092B-C50C-407E-A947-70E740481C1C}"/>
                      </a:extLst>
                    </a:blip>
                    <a:srcRect/>
                    <a:stretch>
                      <a:fillRect/>
                    </a:stretch>
                  </pic:blipFill>
                  <pic:spPr bwMode="auto">
                    <a:xfrm>
                      <a:off x="0" y="0"/>
                      <a:ext cx="93980" cy="179705"/>
                    </a:xfrm>
                    <a:prstGeom prst="rect">
                      <a:avLst/>
                    </a:prstGeom>
                    <a:noFill/>
                  </pic:spPr>
                </pic:pic>
              </a:graphicData>
            </a:graphic>
          </wp:anchor>
        </w:drawing>
        <w:drawing>
          <wp:anchor simplePos="0" relativeHeight="251657728" behindDoc="1" locked="0" layoutInCell="0" allowOverlap="1">
            <wp:simplePos x="0" y="0"/>
            <wp:positionH relativeFrom="column">
              <wp:posOffset>6052820</wp:posOffset>
            </wp:positionH>
            <wp:positionV relativeFrom="paragraph">
              <wp:posOffset>-2712085</wp:posOffset>
            </wp:positionV>
            <wp:extent cx="93980" cy="179705"/>
            <wp:wrapNone/>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56">
                      <a:extLst>
                        <a:ext uri="{28A0092B-C50C-407E-A947-70E740481C1C}"/>
                      </a:extLst>
                    </a:blip>
                    <a:srcRect/>
                    <a:stretch>
                      <a:fillRect/>
                    </a:stretch>
                  </pic:blipFill>
                  <pic:spPr bwMode="auto">
                    <a:xfrm>
                      <a:off x="0" y="0"/>
                      <a:ext cx="93980" cy="179705"/>
                    </a:xfrm>
                    <a:prstGeom prst="rect">
                      <a:avLst/>
                    </a:prstGeom>
                    <a:noFill/>
                  </pic:spPr>
                </pic:pic>
              </a:graphicData>
            </a:graphic>
          </wp:anchor>
        </w:drawing>
        <w:drawing>
          <wp:anchor simplePos="0" relativeHeight="251657728" behindDoc="1" locked="0" layoutInCell="0" allowOverlap="1">
            <wp:simplePos x="0" y="0"/>
            <wp:positionH relativeFrom="column">
              <wp:posOffset>7056120</wp:posOffset>
            </wp:positionH>
            <wp:positionV relativeFrom="paragraph">
              <wp:posOffset>-2712085</wp:posOffset>
            </wp:positionV>
            <wp:extent cx="93980" cy="179705"/>
            <wp:wrapNone/>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57">
                      <a:extLst>
                        <a:ext uri="{28A0092B-C50C-407E-A947-70E740481C1C}"/>
                      </a:extLst>
                    </a:blip>
                    <a:srcRect/>
                    <a:stretch>
                      <a:fillRect/>
                    </a:stretch>
                  </pic:blipFill>
                  <pic:spPr bwMode="auto">
                    <a:xfrm>
                      <a:off x="0" y="0"/>
                      <a:ext cx="93980" cy="179705"/>
                    </a:xfrm>
                    <a:prstGeom prst="rect">
                      <a:avLst/>
                    </a:prstGeom>
                    <a:noFill/>
                  </pic:spPr>
                </pic:pic>
              </a:graphicData>
            </a:graphic>
          </wp:anchor>
        </w:drawing>
        <w:drawing>
          <wp:anchor simplePos="0" relativeHeight="251657728" behindDoc="1" locked="0" layoutInCell="0" allowOverlap="1">
            <wp:simplePos x="0" y="0"/>
            <wp:positionH relativeFrom="column">
              <wp:posOffset>5050155</wp:posOffset>
            </wp:positionH>
            <wp:positionV relativeFrom="paragraph">
              <wp:posOffset>-766445</wp:posOffset>
            </wp:positionV>
            <wp:extent cx="93980" cy="179705"/>
            <wp:wrapNone/>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458">
                      <a:extLst>
                        <a:ext uri="{28A0092B-C50C-407E-A947-70E740481C1C}"/>
                      </a:extLst>
                    </a:blip>
                    <a:srcRect/>
                    <a:stretch>
                      <a:fillRect/>
                    </a:stretch>
                  </pic:blipFill>
                  <pic:spPr bwMode="auto">
                    <a:xfrm>
                      <a:off x="0" y="0"/>
                      <a:ext cx="93980" cy="179705"/>
                    </a:xfrm>
                    <a:prstGeom prst="rect">
                      <a:avLst/>
                    </a:prstGeom>
                    <a:noFill/>
                  </pic:spPr>
                </pic:pic>
              </a:graphicData>
            </a:graphic>
          </wp:anchor>
        </w:drawing>
        <w:drawing>
          <wp:anchor simplePos="0" relativeHeight="251657728" behindDoc="1" locked="0" layoutInCell="0" allowOverlap="1">
            <wp:simplePos x="0" y="0"/>
            <wp:positionH relativeFrom="column">
              <wp:posOffset>6052820</wp:posOffset>
            </wp:positionH>
            <wp:positionV relativeFrom="paragraph">
              <wp:posOffset>-766445</wp:posOffset>
            </wp:positionV>
            <wp:extent cx="93980" cy="179705"/>
            <wp:wrapNone/>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459">
                      <a:extLst>
                        <a:ext uri="{28A0092B-C50C-407E-A947-70E740481C1C}"/>
                      </a:extLst>
                    </a:blip>
                    <a:srcRect/>
                    <a:stretch>
                      <a:fillRect/>
                    </a:stretch>
                  </pic:blipFill>
                  <pic:spPr bwMode="auto">
                    <a:xfrm>
                      <a:off x="0" y="0"/>
                      <a:ext cx="93980" cy="179705"/>
                    </a:xfrm>
                    <a:prstGeom prst="rect">
                      <a:avLst/>
                    </a:prstGeom>
                    <a:noFill/>
                  </pic:spPr>
                </pic:pic>
              </a:graphicData>
            </a:graphic>
          </wp:anchor>
        </w:drawing>
        <w:drawing>
          <wp:anchor simplePos="0" relativeHeight="251657728" behindDoc="1" locked="0" layoutInCell="0" allowOverlap="1">
            <wp:simplePos x="0" y="0"/>
            <wp:positionH relativeFrom="column">
              <wp:posOffset>7056120</wp:posOffset>
            </wp:positionH>
            <wp:positionV relativeFrom="paragraph">
              <wp:posOffset>-766445</wp:posOffset>
            </wp:positionV>
            <wp:extent cx="93980" cy="179705"/>
            <wp:wrapNone/>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460">
                      <a:extLst>
                        <a:ext uri="{28A0092B-C50C-407E-A947-70E740481C1C}"/>
                      </a:extLst>
                    </a:blip>
                    <a:srcRect/>
                    <a:stretch>
                      <a:fillRect/>
                    </a:stretch>
                  </pic:blipFill>
                  <pic:spPr bwMode="auto">
                    <a:xfrm>
                      <a:off x="0" y="0"/>
                      <a:ext cx="93980" cy="17970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-24765</wp:posOffset>
            </wp:positionV>
            <wp:extent cx="68580" cy="8255"/>
            <wp:wrapNone/>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46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5062855</wp:posOffset>
            </wp:positionH>
            <wp:positionV relativeFrom="paragraph">
              <wp:posOffset>-7620</wp:posOffset>
            </wp:positionV>
            <wp:extent cx="68580" cy="8255"/>
            <wp:wrapNone/>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6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-24765</wp:posOffset>
            </wp:positionV>
            <wp:extent cx="68580" cy="8255"/>
            <wp:wrapNone/>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46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6065520</wp:posOffset>
            </wp:positionH>
            <wp:positionV relativeFrom="paragraph">
              <wp:posOffset>-7620</wp:posOffset>
            </wp:positionV>
            <wp:extent cx="68580" cy="8255"/>
            <wp:wrapNone/>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46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-24765</wp:posOffset>
            </wp:positionV>
            <wp:extent cx="68580" cy="8255"/>
            <wp:wrapNone/>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46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-7620</wp:posOffset>
            </wp:positionV>
            <wp:extent cx="68580" cy="8255"/>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466">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218" w:lineRule="exact"/>
        <w:rPr>
          <w:sz w:val="20"/>
          <w:szCs w:val="20"/>
          <w:color w:val="auto"/>
        </w:rPr>
      </w:pPr>
    </w:p>
    <w:p>
      <w:pPr>
        <w:ind w:left="960" w:hanging="443"/>
        <w:spacing w:after="0"/>
        <w:tabs>
          <w:tab w:leader="none" w:pos="960"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and fully diluted (loss) earnings per share for class A and class B common stock are the same.</w:t>
      </w:r>
    </w:p>
    <w:p>
      <w:pPr>
        <w:spacing w:after="0" w:line="225"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The following weighted average shares of potential class A common stock were excluded from the diluted (loss) earnings per share calculation because their impact would have been anti-dilutive (in thousands):</w:t>
      </w:r>
    </w:p>
    <w:p>
      <w:pPr>
        <w:spacing w:after="0" w:line="155" w:lineRule="exact"/>
        <w:rPr>
          <w:sz w:val="20"/>
          <w:szCs w:val="20"/>
          <w:color w:val="auto"/>
        </w:rPr>
      </w:pPr>
    </w:p>
    <w:p>
      <w:pPr>
        <w:ind w:left="8020"/>
        <w:spacing w:after="0"/>
        <w:rPr>
          <w:sz w:val="20"/>
          <w:szCs w:val="20"/>
          <w:color w:val="auto"/>
        </w:rPr>
      </w:pPr>
      <w:r>
        <w:rPr>
          <w:rFonts w:ascii="Times New Roman" w:cs="Times New Roman" w:eastAsia="Times New Roman" w:hAnsi="Times New Roman"/>
          <w:sz w:val="14"/>
          <w:szCs w:val="14"/>
          <w:b w:val="1"/>
          <w:bCs w:val="1"/>
          <w:color w:val="auto"/>
        </w:rPr>
        <w:t>Years Ended December 31,</w:t>
      </w:r>
    </w:p>
    <w:p>
      <w:pPr>
        <w:spacing w:after="0" w:line="12" w:lineRule="exact"/>
        <w:rPr>
          <w:sz w:val="20"/>
          <w:szCs w:val="20"/>
          <w:color w:val="auto"/>
        </w:rPr>
      </w:pPr>
    </w:p>
    <w:tbl>
      <w:tblPr>
        <w:tblLayout w:type="fixed"/>
        <w:tblInd w:w="0" w:type="dxa"/>
        <w:tblCellMar>
          <w:top w:w="0" w:type="dxa"/>
          <w:left w:w="0" w:type="dxa"/>
          <w:bottom w:w="0" w:type="dxa"/>
          <w:right w:w="0" w:type="dxa"/>
        </w:tblCellMar>
      </w:tblPr>
      <w:tr>
        <w:trPr>
          <w:trHeight w:val="142"/>
        </w:trPr>
        <w:tc>
          <w:tcPr>
            <w:tcW w:w="6600" w:type="dxa"/>
            <w:vAlign w:val="bottom"/>
            <w:vMerge w:val="restart"/>
          </w:tcPr>
          <w:p>
            <w:pPr>
              <w:ind w:left="20"/>
              <w:spacing w:after="0"/>
              <w:rPr>
                <w:sz w:val="20"/>
                <w:szCs w:val="20"/>
                <w:color w:val="auto"/>
              </w:rPr>
            </w:pPr>
            <w:r>
              <w:rPr>
                <w:rFonts w:ascii="Times New Roman" w:cs="Times New Roman" w:eastAsia="Times New Roman" w:hAnsi="Times New Roman"/>
                <w:sz w:val="18"/>
                <w:szCs w:val="18"/>
                <w:color w:val="auto"/>
              </w:rPr>
              <w:t>Stock options</w:t>
            </w:r>
          </w:p>
        </w:tc>
        <w:tc>
          <w:tcPr>
            <w:tcW w:w="840" w:type="dxa"/>
            <w:vAlign w:val="bottom"/>
            <w:tcBorders>
              <w:top w:val="single" w:sz="8" w:color="auto"/>
            </w:tcBorders>
          </w:tcPr>
          <w:p>
            <w:pPr>
              <w:jc w:val="right"/>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1620" w:type="dxa"/>
            <w:vAlign w:val="bottom"/>
            <w:tcBorders>
              <w:top w:val="single" w:sz="8" w:color="auto"/>
            </w:tcBorders>
            <w:gridSpan w:val="3"/>
          </w:tcPr>
          <w:p>
            <w:pPr>
              <w:jc w:val="right"/>
              <w:ind w:right="60"/>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480" w:type="dxa"/>
            <w:vAlign w:val="bottom"/>
            <w:tcBorders>
              <w:top w:val="single" w:sz="8" w:color="auto"/>
            </w:tcBorders>
          </w:tcPr>
          <w:p>
            <w:pPr>
              <w:spacing w:after="0"/>
              <w:rPr>
                <w:sz w:val="12"/>
                <w:szCs w:val="12"/>
                <w:color w:val="auto"/>
              </w:rPr>
            </w:pPr>
          </w:p>
        </w:tc>
        <w:tc>
          <w:tcPr>
            <w:tcW w:w="1600" w:type="dxa"/>
            <w:vAlign w:val="bottom"/>
            <w:tcBorders>
              <w:top w:val="single" w:sz="8" w:color="auto"/>
            </w:tcBorders>
            <w:gridSpan w:val="2"/>
          </w:tcPr>
          <w:p>
            <w:pPr>
              <w:jc w:val="right"/>
              <w:ind w:right="470"/>
              <w:spacing w:after="0" w:line="142" w:lineRule="exact"/>
              <w:rPr>
                <w:sz w:val="20"/>
                <w:szCs w:val="20"/>
                <w:color w:val="auto"/>
              </w:rPr>
            </w:pPr>
            <w:r>
              <w:rPr>
                <w:rFonts w:ascii="Times New Roman" w:cs="Times New Roman" w:eastAsia="Times New Roman" w:hAnsi="Times New Roman"/>
                <w:sz w:val="14"/>
                <w:szCs w:val="14"/>
                <w:b w:val="1"/>
                <w:bCs w:val="1"/>
                <w:color w:val="auto"/>
              </w:rPr>
              <w:t>2022</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6600" w:type="dxa"/>
            <w:vAlign w:val="bottom"/>
            <w:vMerge w:val="continue"/>
          </w:tcPr>
          <w:p>
            <w:pPr>
              <w:spacing w:after="0"/>
              <w:rPr>
                <w:sz w:val="18"/>
                <w:szCs w:val="18"/>
                <w:color w:val="auto"/>
              </w:rPr>
            </w:pPr>
          </w:p>
        </w:tc>
        <w:tc>
          <w:tcPr>
            <w:tcW w:w="840" w:type="dxa"/>
            <w:vAlign w:val="bottom"/>
            <w:tcBorders>
              <w:top w:val="single" w:sz="8" w:color="auto"/>
            </w:tcBorders>
          </w:tcPr>
          <w:p>
            <w:pPr>
              <w:spacing w:after="0"/>
              <w:rPr>
                <w:sz w:val="18"/>
                <w:szCs w:val="18"/>
                <w:color w:val="auto"/>
              </w:rPr>
            </w:pPr>
          </w:p>
        </w:tc>
        <w:tc>
          <w:tcPr>
            <w:tcW w:w="5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6,926</w:t>
            </w:r>
          </w:p>
        </w:tc>
        <w:tc>
          <w:tcPr>
            <w:tcW w:w="220" w:type="dxa"/>
            <w:vAlign w:val="bottom"/>
          </w:tcPr>
          <w:p>
            <w:pPr>
              <w:spacing w:after="0"/>
              <w:rPr>
                <w:sz w:val="18"/>
                <w:szCs w:val="18"/>
                <w:color w:val="auto"/>
              </w:rPr>
            </w:pPr>
          </w:p>
        </w:tc>
        <w:tc>
          <w:tcPr>
            <w:tcW w:w="880" w:type="dxa"/>
            <w:vAlign w:val="bottom"/>
            <w:tcBorders>
              <w:top w:val="single" w:sz="8" w:color="auto"/>
            </w:tcBorders>
          </w:tcPr>
          <w:p>
            <w:pPr>
              <w:spacing w:after="0"/>
              <w:rPr>
                <w:sz w:val="18"/>
                <w:szCs w:val="18"/>
                <w:color w:val="auto"/>
              </w:rPr>
            </w:pPr>
          </w:p>
        </w:tc>
        <w:tc>
          <w:tcPr>
            <w:tcW w:w="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5,896</w:t>
            </w:r>
          </w:p>
        </w:tc>
        <w:tc>
          <w:tcPr>
            <w:tcW w:w="220" w:type="dxa"/>
            <w:vAlign w:val="bottom"/>
          </w:tcPr>
          <w:p>
            <w:pPr>
              <w:spacing w:after="0"/>
              <w:rPr>
                <w:sz w:val="18"/>
                <w:szCs w:val="18"/>
                <w:color w:val="auto"/>
              </w:rPr>
            </w:pPr>
          </w:p>
        </w:tc>
        <w:tc>
          <w:tcPr>
            <w:tcW w:w="13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14,615</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4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Restricted stock units</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1,647</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297</w:t>
            </w:r>
          </w:p>
        </w:tc>
        <w:tc>
          <w:tcPr>
            <w:tcW w:w="16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1,195</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44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Performance stock units</w:t>
            </w:r>
          </w:p>
        </w:tc>
        <w:tc>
          <w:tcPr>
            <w:tcW w:w="5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585</w:t>
            </w:r>
          </w:p>
        </w:tc>
        <w:tc>
          <w:tcPr>
            <w:tcW w:w="22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6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4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Employee stock purchase plan</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52</w:t>
            </w:r>
          </w:p>
        </w:tc>
        <w:tc>
          <w:tcPr>
            <w:tcW w:w="16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44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2025 Convertible Notes</w:t>
            </w:r>
          </w:p>
        </w:tc>
        <w:tc>
          <w:tcPr>
            <w:tcW w:w="5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4,998</w:t>
            </w:r>
          </w:p>
        </w:tc>
        <w:tc>
          <w:tcPr>
            <w:tcW w:w="22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6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16,332</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4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2027 Convertible Notes</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6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44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2028 Convertible Notes</w:t>
            </w:r>
          </w:p>
        </w:tc>
        <w:tc>
          <w:tcPr>
            <w:tcW w:w="5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1,558</w:t>
            </w:r>
          </w:p>
        </w:tc>
        <w:tc>
          <w:tcPr>
            <w:tcW w:w="22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6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4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2029 Convertible Notes</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497</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6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44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2030 Convertible Notes</w:t>
            </w:r>
          </w:p>
        </w:tc>
        <w:tc>
          <w:tcPr>
            <w:tcW w:w="5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4,358</w:t>
            </w:r>
          </w:p>
        </w:tc>
        <w:tc>
          <w:tcPr>
            <w:tcW w:w="22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6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4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2031 Convertible Notes</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2,046</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6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6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2032 Convertible Notes</w:t>
            </w:r>
          </w:p>
        </w:tc>
        <w:tc>
          <w:tcPr>
            <w:tcW w:w="840" w:type="dxa"/>
            <w:vAlign w:val="bottom"/>
            <w:tcBorders>
              <w:bottom w:val="single" w:sz="8" w:color="auto"/>
            </w:tcBorders>
          </w:tcPr>
          <w:p>
            <w:pPr>
              <w:spacing w:after="0"/>
              <w:rPr>
                <w:sz w:val="18"/>
                <w:szCs w:val="18"/>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2,108</w:t>
            </w:r>
          </w:p>
        </w:tc>
        <w:tc>
          <w:tcPr>
            <w:tcW w:w="220" w:type="dxa"/>
            <w:vAlign w:val="bottom"/>
          </w:tcPr>
          <w:p>
            <w:pPr>
              <w:spacing w:after="0"/>
              <w:rPr>
                <w:sz w:val="18"/>
                <w:szCs w:val="18"/>
                <w:color w:val="auto"/>
              </w:rPr>
            </w:pPr>
          </w:p>
        </w:tc>
        <w:tc>
          <w:tcPr>
            <w:tcW w:w="880" w:type="dxa"/>
            <w:vAlign w:val="bottom"/>
            <w:tcBorders>
              <w:bottom w:val="single" w:sz="8" w:color="auto"/>
            </w:tcBorders>
          </w:tcPr>
          <w:p>
            <w:pPr>
              <w:spacing w:after="0"/>
              <w:rPr>
                <w:sz w:val="18"/>
                <w:szCs w:val="18"/>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18"/>
                <w:szCs w:val="18"/>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744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Total</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96"/>
              </w:rPr>
              <w:t>32,069</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6,245</w:t>
            </w:r>
          </w:p>
        </w:tc>
        <w:tc>
          <w:tcPr>
            <w:tcW w:w="16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39,536</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675"/>
        </w:trPr>
        <w:tc>
          <w:tcPr>
            <w:tcW w:w="6600" w:type="dxa"/>
            <w:vAlign w:val="bottom"/>
          </w:tcPr>
          <w:p>
            <w:pPr>
              <w:ind w:left="5480"/>
              <w:spacing w:after="0"/>
              <w:rPr>
                <w:sz w:val="20"/>
                <w:szCs w:val="20"/>
                <w:color w:val="auto"/>
              </w:rPr>
            </w:pPr>
            <w:r>
              <w:rPr>
                <w:rFonts w:ascii="Times New Roman" w:cs="Times New Roman" w:eastAsia="Times New Roman" w:hAnsi="Times New Roman"/>
                <w:sz w:val="18"/>
                <w:szCs w:val="18"/>
                <w:color w:val="auto"/>
              </w:rPr>
              <w:t>109</w:t>
            </w:r>
          </w:p>
        </w:tc>
        <w:tc>
          <w:tcPr>
            <w:tcW w:w="84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88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3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63"/>
        </w:trPr>
        <w:tc>
          <w:tcPr>
            <w:tcW w:w="6600" w:type="dxa"/>
            <w:vAlign w:val="bottom"/>
            <w:tcBorders>
              <w:bottom w:val="single" w:sz="8" w:color="9A9A9A"/>
            </w:tcBorders>
          </w:tcPr>
          <w:p>
            <w:pPr>
              <w:spacing w:after="0"/>
              <w:rPr>
                <w:sz w:val="24"/>
                <w:szCs w:val="24"/>
                <w:color w:val="auto"/>
              </w:rPr>
            </w:pPr>
          </w:p>
        </w:tc>
        <w:tc>
          <w:tcPr>
            <w:tcW w:w="840" w:type="dxa"/>
            <w:vAlign w:val="bottom"/>
            <w:tcBorders>
              <w:bottom w:val="single" w:sz="8" w:color="9A9A9A"/>
            </w:tcBorders>
          </w:tcPr>
          <w:p>
            <w:pPr>
              <w:spacing w:after="0"/>
              <w:rPr>
                <w:sz w:val="24"/>
                <w:szCs w:val="24"/>
                <w:color w:val="auto"/>
              </w:rPr>
            </w:pPr>
          </w:p>
        </w:tc>
        <w:tc>
          <w:tcPr>
            <w:tcW w:w="52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880" w:type="dxa"/>
            <w:vAlign w:val="bottom"/>
            <w:tcBorders>
              <w:bottom w:val="single" w:sz="8" w:color="9A9A9A"/>
            </w:tcBorders>
          </w:tcPr>
          <w:p>
            <w:pPr>
              <w:spacing w:after="0"/>
              <w:rPr>
                <w:sz w:val="24"/>
                <w:szCs w:val="24"/>
                <w:color w:val="auto"/>
              </w:rPr>
            </w:pPr>
          </w:p>
        </w:tc>
        <w:tc>
          <w:tcPr>
            <w:tcW w:w="48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3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467">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468">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224" w:right="339" w:bottom="1440" w:gutter="0" w:footer="0" w:header="0"/>
        </w:sectPr>
      </w:pPr>
    </w:p>
    <w:bookmarkStart w:id="109" w:name="page110"/>
    <w:bookmarkEnd w:id="109"/>
    <w:p>
      <w:pPr>
        <w:spacing w:after="0"/>
        <w:rPr>
          <w:sz w:val="20"/>
          <w:szCs w:val="20"/>
          <w:color w:val="auto"/>
        </w:rPr>
      </w:pPr>
      <w:r>
        <w:rPr>
          <w:rFonts w:ascii="Times New Roman" w:cs="Times New Roman" w:eastAsia="Times New Roman" w:hAnsi="Times New Roman"/>
          <w:sz w:val="18"/>
          <w:szCs w:val="18"/>
          <w:b w:val="1"/>
          <w:bCs w:val="1"/>
          <w:color w:val="auto"/>
        </w:rPr>
        <w:t>(13) At-the-Market Equity Offerings</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From time to time, the Company has entered into sales agreements with agents pursuant to which the Company could issue and sell shares of its class A common stock through at-the-market equity offering programs. Pursuant to these agreements, the Company agreed to pay the sales agents commissions for their services in acting as agents with respect to the sale of shares through the at-the-market equity offering programs and also agreed to provide the sales agents with reimbursement for certain incurred expenses and customary indemnification and contribution rights. The following table summarizes the terms and provisions of each sales agreement, and pursuant to each at-the-market equity offering program that was active during 2024, 2023, or 2022. The maximum aggregate offering price and cumulative net proceeds (less sales commissions and expenses) for each at-the-market equity offering program in the following table are reported in thousands.</w:t>
      </w:r>
    </w:p>
    <w:p>
      <w:pPr>
        <w:spacing w:after="0" w:line="278"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25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32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b w:val="1"/>
                <w:bCs w:val="1"/>
                <w:color w:val="auto"/>
              </w:rPr>
              <w:t>October 2024</w:t>
            </w:r>
          </w:p>
        </w:tc>
        <w:tc>
          <w:tcPr>
            <w:tcW w:w="1460" w:type="dxa"/>
            <w:vAlign w:val="bottom"/>
            <w:gridSpan w:val="3"/>
          </w:tcPr>
          <w:p>
            <w:pPr>
              <w:ind w:left="20"/>
              <w:spacing w:after="0"/>
              <w:rPr>
                <w:sz w:val="20"/>
                <w:szCs w:val="20"/>
                <w:color w:val="auto"/>
              </w:rPr>
            </w:pPr>
            <w:r>
              <w:rPr>
                <w:rFonts w:ascii="Times New Roman" w:cs="Times New Roman" w:eastAsia="Times New Roman" w:hAnsi="Times New Roman"/>
                <w:sz w:val="14"/>
                <w:szCs w:val="14"/>
                <w:b w:val="1"/>
                <w:bCs w:val="1"/>
                <w:color w:val="auto"/>
              </w:rPr>
              <w:t>August 2024 Sales</w:t>
            </w:r>
          </w:p>
        </w:tc>
        <w:tc>
          <w:tcPr>
            <w:tcW w:w="1460" w:type="dxa"/>
            <w:vAlign w:val="bottom"/>
            <w:gridSpan w:val="3"/>
          </w:tcPr>
          <w:p>
            <w:pPr>
              <w:jc w:val="right"/>
              <w:ind w:right="400"/>
              <w:spacing w:after="0"/>
              <w:rPr>
                <w:sz w:val="20"/>
                <w:szCs w:val="20"/>
                <w:color w:val="auto"/>
              </w:rPr>
            </w:pPr>
            <w:r>
              <w:rPr>
                <w:rFonts w:ascii="Times New Roman" w:cs="Times New Roman" w:eastAsia="Times New Roman" w:hAnsi="Times New Roman"/>
                <w:sz w:val="14"/>
                <w:szCs w:val="14"/>
                <w:b w:val="1"/>
                <w:bCs w:val="1"/>
                <w:color w:val="auto"/>
              </w:rPr>
              <w:t>November 2023</w:t>
            </w:r>
          </w:p>
        </w:tc>
        <w:tc>
          <w:tcPr>
            <w:tcW w:w="1460" w:type="dxa"/>
            <w:vAlign w:val="bottom"/>
            <w:gridSpan w:val="3"/>
          </w:tcPr>
          <w:p>
            <w:pPr>
              <w:ind w:left="20"/>
              <w:spacing w:after="0"/>
              <w:rPr>
                <w:sz w:val="20"/>
                <w:szCs w:val="20"/>
                <w:color w:val="auto"/>
              </w:rPr>
            </w:pPr>
            <w:r>
              <w:rPr>
                <w:rFonts w:ascii="Times New Roman" w:cs="Times New Roman" w:eastAsia="Times New Roman" w:hAnsi="Times New Roman"/>
                <w:sz w:val="14"/>
                <w:szCs w:val="14"/>
                <w:b w:val="1"/>
                <w:bCs w:val="1"/>
                <w:color w:val="auto"/>
              </w:rPr>
              <w:t>August 2023 Sales</w:t>
            </w:r>
          </w:p>
        </w:tc>
        <w:tc>
          <w:tcPr>
            <w:tcW w:w="100" w:type="dxa"/>
            <w:vAlign w:val="bottom"/>
          </w:tcPr>
          <w:p>
            <w:pPr>
              <w:spacing w:after="0"/>
              <w:rPr>
                <w:sz w:val="13"/>
                <w:szCs w:val="13"/>
                <w:color w:val="auto"/>
              </w:rPr>
            </w:pPr>
          </w:p>
        </w:tc>
        <w:tc>
          <w:tcPr>
            <w:tcW w:w="1360" w:type="dxa"/>
            <w:vAlign w:val="bottom"/>
            <w:gridSpan w:val="2"/>
          </w:tcPr>
          <w:p>
            <w:pPr>
              <w:jc w:val="right"/>
              <w:ind w:right="400"/>
              <w:spacing w:after="0"/>
              <w:rPr>
                <w:sz w:val="20"/>
                <w:szCs w:val="20"/>
                <w:color w:val="auto"/>
              </w:rPr>
            </w:pPr>
            <w:r>
              <w:rPr>
                <w:rFonts w:ascii="Times New Roman" w:cs="Times New Roman" w:eastAsia="Times New Roman" w:hAnsi="Times New Roman"/>
                <w:sz w:val="14"/>
                <w:szCs w:val="14"/>
                <w:b w:val="1"/>
                <w:bCs w:val="1"/>
                <w:color w:val="auto"/>
              </w:rPr>
              <w:t>May 2023 Sales</w:t>
            </w:r>
          </w:p>
        </w:tc>
        <w:tc>
          <w:tcPr>
            <w:tcW w:w="200" w:type="dxa"/>
            <w:vAlign w:val="bottom"/>
          </w:tcPr>
          <w:p>
            <w:pPr>
              <w:spacing w:after="0"/>
              <w:rPr>
                <w:sz w:val="13"/>
                <w:szCs w:val="13"/>
                <w:color w:val="auto"/>
              </w:rPr>
            </w:pPr>
          </w:p>
        </w:tc>
        <w:tc>
          <w:tcPr>
            <w:tcW w:w="1200" w:type="dxa"/>
            <w:vAlign w:val="bottom"/>
            <w:gridSpan w:val="2"/>
          </w:tcPr>
          <w:p>
            <w:pPr>
              <w:ind w:left="80"/>
              <w:spacing w:after="0"/>
              <w:rPr>
                <w:sz w:val="20"/>
                <w:szCs w:val="20"/>
                <w:color w:val="auto"/>
              </w:rPr>
            </w:pPr>
            <w:r>
              <w:rPr>
                <w:rFonts w:ascii="Times New Roman" w:cs="Times New Roman" w:eastAsia="Times New Roman" w:hAnsi="Times New Roman"/>
                <w:sz w:val="14"/>
                <w:szCs w:val="14"/>
                <w:b w:val="1"/>
                <w:bCs w:val="1"/>
                <w:color w:val="auto"/>
              </w:rPr>
              <w:t>2022 Sales</w:t>
            </w:r>
          </w:p>
        </w:tc>
      </w:tr>
      <w:tr>
        <w:trPr>
          <w:trHeight w:val="173"/>
        </w:trPr>
        <w:tc>
          <w:tcPr>
            <w:tcW w:w="2540" w:type="dxa"/>
            <w:vAlign w:val="bottom"/>
          </w:tcPr>
          <w:p>
            <w:pPr>
              <w:spacing w:after="0"/>
              <w:rPr>
                <w:sz w:val="15"/>
                <w:szCs w:val="15"/>
                <w:color w:val="auto"/>
              </w:rPr>
            </w:pPr>
          </w:p>
        </w:tc>
        <w:tc>
          <w:tcPr>
            <w:tcW w:w="1200" w:type="dxa"/>
            <w:vAlign w:val="bottom"/>
            <w:tcBorders>
              <w:bottom w:val="single" w:sz="8" w:color="auto"/>
            </w:tcBorders>
            <w:gridSpan w:val="2"/>
          </w:tcPr>
          <w:p>
            <w:pPr>
              <w:jc w:val="right"/>
              <w:ind w:right="20"/>
              <w:spacing w:after="0"/>
              <w:rPr>
                <w:sz w:val="20"/>
                <w:szCs w:val="20"/>
                <w:color w:val="auto"/>
              </w:rPr>
            </w:pPr>
            <w:r>
              <w:rPr>
                <w:rFonts w:ascii="Times New Roman" w:cs="Times New Roman" w:eastAsia="Times New Roman" w:hAnsi="Times New Roman"/>
                <w:sz w:val="14"/>
                <w:szCs w:val="14"/>
                <w:b w:val="1"/>
                <w:bCs w:val="1"/>
                <w:color w:val="auto"/>
              </w:rPr>
              <w:t>Sales Agreement</w:t>
            </w:r>
          </w:p>
        </w:tc>
        <w:tc>
          <w:tcPr>
            <w:tcW w:w="260" w:type="dxa"/>
            <w:vAlign w:val="bottom"/>
          </w:tcPr>
          <w:p>
            <w:pPr>
              <w:spacing w:after="0"/>
              <w:rPr>
                <w:sz w:val="15"/>
                <w:szCs w:val="15"/>
                <w:color w:val="auto"/>
              </w:rPr>
            </w:pPr>
          </w:p>
        </w:tc>
        <w:tc>
          <w:tcPr>
            <w:tcW w:w="140" w:type="dxa"/>
            <w:vAlign w:val="bottom"/>
            <w:tcBorders>
              <w:bottom w:val="single" w:sz="8" w:color="auto"/>
            </w:tcBorders>
          </w:tcPr>
          <w:p>
            <w:pPr>
              <w:spacing w:after="0"/>
              <w:rPr>
                <w:sz w:val="15"/>
                <w:szCs w:val="15"/>
                <w:color w:val="auto"/>
              </w:rPr>
            </w:pPr>
          </w:p>
        </w:tc>
        <w:tc>
          <w:tcPr>
            <w:tcW w:w="1060" w:type="dxa"/>
            <w:vAlign w:val="bottom"/>
            <w:tcBorders>
              <w:bottom w:val="single" w:sz="8" w:color="auto"/>
            </w:tcBorders>
          </w:tcPr>
          <w:p>
            <w:pPr>
              <w:jc w:val="right"/>
              <w:ind w:right="180"/>
              <w:spacing w:after="0"/>
              <w:rPr>
                <w:sz w:val="20"/>
                <w:szCs w:val="20"/>
                <w:color w:val="auto"/>
              </w:rPr>
            </w:pPr>
            <w:r>
              <w:rPr>
                <w:rFonts w:ascii="Times New Roman" w:cs="Times New Roman" w:eastAsia="Times New Roman" w:hAnsi="Times New Roman"/>
                <w:sz w:val="14"/>
                <w:szCs w:val="14"/>
                <w:b w:val="1"/>
                <w:bCs w:val="1"/>
                <w:color w:val="auto"/>
              </w:rPr>
              <w:t>Agreement</w:t>
            </w:r>
          </w:p>
        </w:tc>
        <w:tc>
          <w:tcPr>
            <w:tcW w:w="260" w:type="dxa"/>
            <w:vAlign w:val="bottom"/>
          </w:tcPr>
          <w:p>
            <w:pPr>
              <w:spacing w:after="0"/>
              <w:rPr>
                <w:sz w:val="15"/>
                <w:szCs w:val="15"/>
                <w:color w:val="auto"/>
              </w:rPr>
            </w:pPr>
          </w:p>
        </w:tc>
        <w:tc>
          <w:tcPr>
            <w:tcW w:w="118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4"/>
                <w:szCs w:val="14"/>
                <w:b w:val="1"/>
                <w:bCs w:val="1"/>
                <w:color w:val="auto"/>
              </w:rPr>
              <w:t>Sales Agreement</w:t>
            </w:r>
          </w:p>
        </w:tc>
        <w:tc>
          <w:tcPr>
            <w:tcW w:w="280" w:type="dxa"/>
            <w:vAlign w:val="bottom"/>
          </w:tcPr>
          <w:p>
            <w:pPr>
              <w:spacing w:after="0"/>
              <w:rPr>
                <w:sz w:val="15"/>
                <w:szCs w:val="15"/>
                <w:color w:val="auto"/>
              </w:rPr>
            </w:pPr>
          </w:p>
        </w:tc>
        <w:tc>
          <w:tcPr>
            <w:tcW w:w="140" w:type="dxa"/>
            <w:vAlign w:val="bottom"/>
            <w:tcBorders>
              <w:bottom w:val="single" w:sz="8" w:color="auto"/>
            </w:tcBorders>
          </w:tcPr>
          <w:p>
            <w:pPr>
              <w:spacing w:after="0"/>
              <w:rPr>
                <w:sz w:val="15"/>
                <w:szCs w:val="15"/>
                <w:color w:val="auto"/>
              </w:rPr>
            </w:pPr>
          </w:p>
        </w:tc>
        <w:tc>
          <w:tcPr>
            <w:tcW w:w="1040" w:type="dxa"/>
            <w:vAlign w:val="bottom"/>
            <w:tcBorders>
              <w:bottom w:val="single" w:sz="8" w:color="auto"/>
            </w:tcBorders>
          </w:tcPr>
          <w:p>
            <w:pPr>
              <w:jc w:val="right"/>
              <w:ind w:right="180"/>
              <w:spacing w:after="0"/>
              <w:rPr>
                <w:sz w:val="20"/>
                <w:szCs w:val="20"/>
                <w:color w:val="auto"/>
              </w:rPr>
            </w:pPr>
            <w:r>
              <w:rPr>
                <w:rFonts w:ascii="Times New Roman" w:cs="Times New Roman" w:eastAsia="Times New Roman" w:hAnsi="Times New Roman"/>
                <w:sz w:val="14"/>
                <w:szCs w:val="14"/>
                <w:b w:val="1"/>
                <w:bCs w:val="1"/>
                <w:color w:val="auto"/>
              </w:rPr>
              <w:t>Agreement</w:t>
            </w:r>
          </w:p>
        </w:tc>
        <w:tc>
          <w:tcPr>
            <w:tcW w:w="28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1100" w:type="dxa"/>
            <w:vAlign w:val="bottom"/>
            <w:tcBorders>
              <w:bottom w:val="single" w:sz="8" w:color="auto"/>
            </w:tcBorders>
          </w:tcPr>
          <w:p>
            <w:pPr>
              <w:jc w:val="right"/>
              <w:ind w:right="181"/>
              <w:spacing w:after="0"/>
              <w:rPr>
                <w:sz w:val="20"/>
                <w:szCs w:val="20"/>
                <w:color w:val="auto"/>
              </w:rPr>
            </w:pPr>
            <w:r>
              <w:rPr>
                <w:rFonts w:ascii="Times New Roman" w:cs="Times New Roman" w:eastAsia="Times New Roman" w:hAnsi="Times New Roman"/>
                <w:sz w:val="14"/>
                <w:szCs w:val="14"/>
                <w:b w:val="1"/>
                <w:bCs w:val="1"/>
                <w:color w:val="auto"/>
              </w:rPr>
              <w:t>Agreement</w:t>
            </w:r>
          </w:p>
        </w:tc>
        <w:tc>
          <w:tcPr>
            <w:tcW w:w="26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04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4"/>
                <w:szCs w:val="14"/>
                <w:b w:val="1"/>
                <w:bCs w:val="1"/>
                <w:color w:val="auto"/>
              </w:rPr>
              <w:t>Agreement</w:t>
            </w:r>
          </w:p>
        </w:tc>
        <w:tc>
          <w:tcPr>
            <w:tcW w:w="160" w:type="dxa"/>
            <w:vAlign w:val="bottom"/>
          </w:tcPr>
          <w:p>
            <w:pPr>
              <w:spacing w:after="0"/>
              <w:rPr>
                <w:sz w:val="15"/>
                <w:szCs w:val="15"/>
                <w:color w:val="auto"/>
              </w:rPr>
            </w:pPr>
          </w:p>
        </w:tc>
      </w:tr>
      <w:tr>
        <w:trPr>
          <w:trHeight w:val="182"/>
        </w:trPr>
        <w:tc>
          <w:tcPr>
            <w:tcW w:w="2540" w:type="dxa"/>
            <w:vAlign w:val="bottom"/>
            <w:shd w:val="clear" w:color="auto" w:fill="CFF0FC"/>
          </w:tcPr>
          <w:p>
            <w:pPr>
              <w:spacing w:after="0"/>
              <w:rPr>
                <w:sz w:val="15"/>
                <w:szCs w:val="15"/>
                <w:color w:val="auto"/>
              </w:rPr>
            </w:pPr>
          </w:p>
        </w:tc>
        <w:tc>
          <w:tcPr>
            <w:tcW w:w="140" w:type="dxa"/>
            <w:vAlign w:val="bottom"/>
            <w:shd w:val="clear" w:color="auto" w:fill="CFF0FC"/>
          </w:tcPr>
          <w:p>
            <w:pPr>
              <w:spacing w:after="0"/>
              <w:rPr>
                <w:sz w:val="15"/>
                <w:szCs w:val="15"/>
                <w:color w:val="auto"/>
              </w:rPr>
            </w:pPr>
          </w:p>
        </w:tc>
        <w:tc>
          <w:tcPr>
            <w:tcW w:w="1060" w:type="dxa"/>
            <w:vAlign w:val="bottom"/>
            <w:shd w:val="clear" w:color="auto" w:fill="CFF0FC"/>
          </w:tcPr>
          <w:p>
            <w:pPr>
              <w:spacing w:after="0"/>
              <w:rPr>
                <w:sz w:val="15"/>
                <w:szCs w:val="15"/>
                <w:color w:val="auto"/>
              </w:rPr>
            </w:pPr>
          </w:p>
        </w:tc>
        <w:tc>
          <w:tcPr>
            <w:tcW w:w="260" w:type="dxa"/>
            <w:vAlign w:val="bottom"/>
            <w:shd w:val="clear" w:color="auto" w:fill="CFF0FC"/>
          </w:tcPr>
          <w:p>
            <w:pPr>
              <w:spacing w:after="0"/>
              <w:rPr>
                <w:sz w:val="15"/>
                <w:szCs w:val="15"/>
                <w:color w:val="auto"/>
              </w:rPr>
            </w:pPr>
          </w:p>
        </w:tc>
        <w:tc>
          <w:tcPr>
            <w:tcW w:w="140" w:type="dxa"/>
            <w:vAlign w:val="bottom"/>
            <w:shd w:val="clear" w:color="auto" w:fill="CFF0FC"/>
          </w:tcPr>
          <w:p>
            <w:pPr>
              <w:spacing w:after="0"/>
              <w:rPr>
                <w:sz w:val="15"/>
                <w:szCs w:val="15"/>
                <w:color w:val="auto"/>
              </w:rPr>
            </w:pPr>
          </w:p>
        </w:tc>
        <w:tc>
          <w:tcPr>
            <w:tcW w:w="1060" w:type="dxa"/>
            <w:vAlign w:val="bottom"/>
            <w:shd w:val="clear" w:color="auto" w:fill="CFF0FC"/>
          </w:tcPr>
          <w:p>
            <w:pPr>
              <w:spacing w:after="0"/>
              <w:rPr>
                <w:sz w:val="15"/>
                <w:szCs w:val="15"/>
                <w:color w:val="auto"/>
              </w:rPr>
            </w:pPr>
          </w:p>
        </w:tc>
        <w:tc>
          <w:tcPr>
            <w:tcW w:w="260" w:type="dxa"/>
            <w:vAlign w:val="bottom"/>
            <w:shd w:val="clear" w:color="auto" w:fill="CFF0FC"/>
          </w:tcPr>
          <w:p>
            <w:pPr>
              <w:spacing w:after="0"/>
              <w:rPr>
                <w:sz w:val="15"/>
                <w:szCs w:val="15"/>
                <w:color w:val="auto"/>
              </w:rPr>
            </w:pPr>
          </w:p>
        </w:tc>
        <w:tc>
          <w:tcPr>
            <w:tcW w:w="140" w:type="dxa"/>
            <w:vAlign w:val="bottom"/>
            <w:shd w:val="clear" w:color="auto" w:fill="CFF0FC"/>
          </w:tcPr>
          <w:p>
            <w:pPr>
              <w:spacing w:after="0"/>
              <w:rPr>
                <w:sz w:val="15"/>
                <w:szCs w:val="15"/>
                <w:color w:val="auto"/>
              </w:rPr>
            </w:pPr>
          </w:p>
        </w:tc>
        <w:tc>
          <w:tcPr>
            <w:tcW w:w="1320" w:type="dxa"/>
            <w:vAlign w:val="bottom"/>
            <w:gridSpan w:val="2"/>
            <w:shd w:val="clear" w:color="auto" w:fill="CFF0FC"/>
          </w:tcPr>
          <w:p>
            <w:pPr>
              <w:jc w:val="right"/>
              <w:ind w:right="340"/>
              <w:spacing w:after="0" w:line="182" w:lineRule="exact"/>
              <w:rPr>
                <w:sz w:val="20"/>
                <w:szCs w:val="20"/>
                <w:color w:val="auto"/>
              </w:rPr>
            </w:pPr>
            <w:r>
              <w:rPr>
                <w:rFonts w:ascii="Times New Roman" w:cs="Times New Roman" w:eastAsia="Times New Roman" w:hAnsi="Times New Roman"/>
                <w:sz w:val="16"/>
                <w:szCs w:val="16"/>
                <w:color w:val="auto"/>
              </w:rPr>
              <w:t>November 30,</w:t>
            </w:r>
          </w:p>
        </w:tc>
        <w:tc>
          <w:tcPr>
            <w:tcW w:w="140" w:type="dxa"/>
            <w:vAlign w:val="bottom"/>
            <w:shd w:val="clear" w:color="auto" w:fill="CFF0FC"/>
          </w:tcPr>
          <w:p>
            <w:pPr>
              <w:spacing w:after="0"/>
              <w:rPr>
                <w:sz w:val="15"/>
                <w:szCs w:val="15"/>
                <w:color w:val="auto"/>
              </w:rPr>
            </w:pPr>
          </w:p>
        </w:tc>
        <w:tc>
          <w:tcPr>
            <w:tcW w:w="1040" w:type="dxa"/>
            <w:vAlign w:val="bottom"/>
            <w:shd w:val="clear" w:color="auto" w:fill="CFF0FC"/>
          </w:tcPr>
          <w:p>
            <w:pPr>
              <w:spacing w:after="0"/>
              <w:rPr>
                <w:sz w:val="15"/>
                <w:szCs w:val="15"/>
                <w:color w:val="auto"/>
              </w:rPr>
            </w:pPr>
          </w:p>
        </w:tc>
        <w:tc>
          <w:tcPr>
            <w:tcW w:w="28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1100" w:type="dxa"/>
            <w:vAlign w:val="bottom"/>
            <w:shd w:val="clear" w:color="auto" w:fill="CFF0FC"/>
          </w:tcPr>
          <w:p>
            <w:pPr>
              <w:spacing w:after="0"/>
              <w:rPr>
                <w:sz w:val="15"/>
                <w:szCs w:val="15"/>
                <w:color w:val="auto"/>
              </w:rPr>
            </w:pPr>
          </w:p>
        </w:tc>
        <w:tc>
          <w:tcPr>
            <w:tcW w:w="260" w:type="dxa"/>
            <w:vAlign w:val="bottom"/>
            <w:shd w:val="clear" w:color="auto" w:fill="CFF0FC"/>
          </w:tcPr>
          <w:p>
            <w:pPr>
              <w:spacing w:after="0"/>
              <w:rPr>
                <w:sz w:val="15"/>
                <w:szCs w:val="15"/>
                <w:color w:val="auto"/>
              </w:rPr>
            </w:pPr>
          </w:p>
        </w:tc>
        <w:tc>
          <w:tcPr>
            <w:tcW w:w="200" w:type="dxa"/>
            <w:vAlign w:val="bottom"/>
            <w:shd w:val="clear" w:color="auto" w:fill="CFF0FC"/>
          </w:tcPr>
          <w:p>
            <w:pPr>
              <w:spacing w:after="0"/>
              <w:rPr>
                <w:sz w:val="15"/>
                <w:szCs w:val="15"/>
                <w:color w:val="auto"/>
              </w:rPr>
            </w:pPr>
          </w:p>
        </w:tc>
        <w:tc>
          <w:tcPr>
            <w:tcW w:w="1200" w:type="dxa"/>
            <w:vAlign w:val="bottom"/>
            <w:gridSpan w:val="2"/>
            <w:shd w:val="clear" w:color="auto" w:fill="CFF0FC"/>
          </w:tcPr>
          <w:p>
            <w:pPr>
              <w:ind w:left="120"/>
              <w:spacing w:after="0" w:line="182" w:lineRule="exact"/>
              <w:rPr>
                <w:sz w:val="20"/>
                <w:szCs w:val="20"/>
                <w:color w:val="auto"/>
              </w:rPr>
            </w:pPr>
            <w:r>
              <w:rPr>
                <w:rFonts w:ascii="Times New Roman" w:cs="Times New Roman" w:eastAsia="Times New Roman" w:hAnsi="Times New Roman"/>
                <w:sz w:val="16"/>
                <w:szCs w:val="16"/>
                <w:color w:val="auto"/>
              </w:rPr>
              <w:t>September 9,</w:t>
            </w:r>
          </w:p>
        </w:tc>
      </w:tr>
      <w:tr>
        <w:trPr>
          <w:trHeight w:val="216"/>
        </w:trPr>
        <w:tc>
          <w:tcPr>
            <w:tcW w:w="2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6"/>
                <w:szCs w:val="16"/>
                <w:color w:val="auto"/>
              </w:rPr>
              <w:t>Agreement effective date</w:t>
            </w:r>
          </w:p>
        </w:tc>
        <w:tc>
          <w:tcPr>
            <w:tcW w:w="1460" w:type="dxa"/>
            <w:vAlign w:val="bottom"/>
            <w:gridSpan w:val="3"/>
            <w:shd w:val="clear" w:color="auto" w:fill="CFF0FC"/>
          </w:tcPr>
          <w:p>
            <w:pPr>
              <w:ind w:left="40"/>
              <w:spacing w:after="0"/>
              <w:rPr>
                <w:sz w:val="20"/>
                <w:szCs w:val="20"/>
                <w:color w:val="auto"/>
              </w:rPr>
            </w:pPr>
            <w:r>
              <w:rPr>
                <w:rFonts w:ascii="Times New Roman" w:cs="Times New Roman" w:eastAsia="Times New Roman" w:hAnsi="Times New Roman"/>
                <w:sz w:val="16"/>
                <w:szCs w:val="16"/>
                <w:color w:val="auto"/>
              </w:rPr>
              <w:t>October 30, 2024</w:t>
            </w:r>
          </w:p>
        </w:tc>
        <w:tc>
          <w:tcPr>
            <w:tcW w:w="140" w:type="dxa"/>
            <w:vAlign w:val="bottom"/>
            <w:shd w:val="clear" w:color="auto" w:fill="CFF0FC"/>
          </w:tcPr>
          <w:p>
            <w:pPr>
              <w:spacing w:after="0"/>
              <w:rPr>
                <w:sz w:val="18"/>
                <w:szCs w:val="18"/>
                <w:color w:val="auto"/>
              </w:rPr>
            </w:pPr>
          </w:p>
        </w:tc>
        <w:tc>
          <w:tcPr>
            <w:tcW w:w="1320" w:type="dxa"/>
            <w:vAlign w:val="bottom"/>
            <w:gridSpan w:val="2"/>
            <w:shd w:val="clear" w:color="auto" w:fill="CFF0FC"/>
          </w:tcPr>
          <w:p>
            <w:pPr>
              <w:jc w:val="right"/>
              <w:ind w:right="300"/>
              <w:spacing w:after="0"/>
              <w:rPr>
                <w:sz w:val="20"/>
                <w:szCs w:val="20"/>
                <w:color w:val="auto"/>
              </w:rPr>
            </w:pPr>
            <w:r>
              <w:rPr>
                <w:rFonts w:ascii="Times New Roman" w:cs="Times New Roman" w:eastAsia="Times New Roman" w:hAnsi="Times New Roman"/>
                <w:sz w:val="16"/>
                <w:szCs w:val="16"/>
                <w:color w:val="auto"/>
              </w:rPr>
              <w:t>August 1, 2024</w:t>
            </w:r>
          </w:p>
        </w:tc>
        <w:tc>
          <w:tcPr>
            <w:tcW w:w="14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rPr>
              <w:t>2023</w:t>
            </w:r>
          </w:p>
        </w:tc>
        <w:tc>
          <w:tcPr>
            <w:tcW w:w="28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1320" w:type="dxa"/>
            <w:vAlign w:val="bottom"/>
            <w:gridSpan w:val="2"/>
            <w:shd w:val="clear" w:color="auto" w:fill="CFF0FC"/>
          </w:tcPr>
          <w:p>
            <w:pPr>
              <w:jc w:val="right"/>
              <w:ind w:right="300"/>
              <w:spacing w:after="0"/>
              <w:rPr>
                <w:sz w:val="20"/>
                <w:szCs w:val="20"/>
                <w:color w:val="auto"/>
              </w:rPr>
            </w:pPr>
            <w:r>
              <w:rPr>
                <w:rFonts w:ascii="Times New Roman" w:cs="Times New Roman" w:eastAsia="Times New Roman" w:hAnsi="Times New Roman"/>
                <w:sz w:val="16"/>
                <w:szCs w:val="16"/>
                <w:color w:val="auto"/>
              </w:rPr>
              <w:t>August 1, 2023</w:t>
            </w:r>
          </w:p>
        </w:tc>
        <w:tc>
          <w:tcPr>
            <w:tcW w:w="100" w:type="dxa"/>
            <w:vAlign w:val="bottom"/>
            <w:shd w:val="clear" w:color="auto" w:fill="CFF0FC"/>
          </w:tcPr>
          <w:p>
            <w:pPr>
              <w:spacing w:after="0"/>
              <w:rPr>
                <w:sz w:val="18"/>
                <w:szCs w:val="18"/>
                <w:color w:val="auto"/>
              </w:rPr>
            </w:pPr>
          </w:p>
        </w:tc>
        <w:tc>
          <w:tcPr>
            <w:tcW w:w="1360" w:type="dxa"/>
            <w:vAlign w:val="bottom"/>
            <w:gridSpan w:val="2"/>
            <w:shd w:val="clear" w:color="auto" w:fill="CFF0FC"/>
          </w:tcPr>
          <w:p>
            <w:pPr>
              <w:jc w:val="right"/>
              <w:ind w:right="280"/>
              <w:spacing w:after="0"/>
              <w:rPr>
                <w:sz w:val="20"/>
                <w:szCs w:val="20"/>
                <w:color w:val="auto"/>
              </w:rPr>
            </w:pPr>
            <w:r>
              <w:rPr>
                <w:rFonts w:ascii="Times New Roman" w:cs="Times New Roman" w:eastAsia="Times New Roman" w:hAnsi="Times New Roman"/>
                <w:sz w:val="16"/>
                <w:szCs w:val="16"/>
                <w:color w:val="auto"/>
              </w:rPr>
              <w:t>May 1, 2023</w:t>
            </w:r>
          </w:p>
        </w:tc>
        <w:tc>
          <w:tcPr>
            <w:tcW w:w="200" w:type="dxa"/>
            <w:vAlign w:val="bottom"/>
            <w:shd w:val="clear" w:color="auto" w:fill="CFF0FC"/>
          </w:tcPr>
          <w:p>
            <w:pPr>
              <w:spacing w:after="0"/>
              <w:rPr>
                <w:sz w:val="18"/>
                <w:szCs w:val="18"/>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rPr>
              <w:t>2022</w:t>
            </w:r>
          </w:p>
        </w:tc>
        <w:tc>
          <w:tcPr>
            <w:tcW w:w="160" w:type="dxa"/>
            <w:vAlign w:val="bottom"/>
            <w:shd w:val="clear" w:color="auto" w:fill="CFF0FC"/>
          </w:tcPr>
          <w:p>
            <w:pPr>
              <w:spacing w:after="0"/>
              <w:rPr>
                <w:sz w:val="18"/>
                <w:szCs w:val="18"/>
                <w:color w:val="auto"/>
              </w:rPr>
            </w:pPr>
          </w:p>
        </w:tc>
      </w:tr>
      <w:tr>
        <w:trPr>
          <w:trHeight w:val="203"/>
        </w:trPr>
        <w:tc>
          <w:tcPr>
            <w:tcW w:w="2540" w:type="dxa"/>
            <w:vAlign w:val="bottom"/>
          </w:tcPr>
          <w:p>
            <w:pPr>
              <w:ind w:left="20"/>
              <w:spacing w:after="0"/>
              <w:rPr>
                <w:sz w:val="20"/>
                <w:szCs w:val="20"/>
                <w:color w:val="auto"/>
              </w:rPr>
            </w:pPr>
            <w:r>
              <w:rPr>
                <w:rFonts w:ascii="Times New Roman" w:cs="Times New Roman" w:eastAsia="Times New Roman" w:hAnsi="Times New Roman"/>
                <w:sz w:val="16"/>
                <w:szCs w:val="16"/>
                <w:color w:val="auto"/>
              </w:rPr>
              <w:t>Maximum aggregate offering price</w:t>
            </w:r>
          </w:p>
        </w:tc>
        <w:tc>
          <w:tcPr>
            <w:tcW w:w="140" w:type="dxa"/>
            <w:vAlign w:val="bottom"/>
          </w:tcPr>
          <w:p>
            <w:pPr>
              <w:ind w:left="20"/>
              <w:spacing w:after="0"/>
              <w:rPr>
                <w:sz w:val="20"/>
                <w:szCs w:val="20"/>
                <w:color w:val="auto"/>
              </w:rPr>
            </w:pPr>
            <w:r>
              <w:rPr>
                <w:rFonts w:ascii="Times New Roman" w:cs="Times New Roman" w:eastAsia="Times New Roman" w:hAnsi="Times New Roman"/>
                <w:sz w:val="16"/>
                <w:szCs w:val="16"/>
                <w:color w:val="auto"/>
              </w:rPr>
              <w:t>$</w:t>
            </w:r>
          </w:p>
        </w:tc>
        <w:tc>
          <w:tcPr>
            <w:tcW w:w="106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21,000,000</w:t>
            </w:r>
          </w:p>
        </w:tc>
        <w:tc>
          <w:tcPr>
            <w:tcW w:w="260" w:type="dxa"/>
            <w:vAlign w:val="bottom"/>
          </w:tcPr>
          <w:p>
            <w:pPr>
              <w:spacing w:after="0"/>
              <w:rPr>
                <w:sz w:val="17"/>
                <w:szCs w:val="17"/>
                <w:color w:val="auto"/>
              </w:rPr>
            </w:pPr>
          </w:p>
        </w:tc>
        <w:tc>
          <w:tcPr>
            <w:tcW w:w="140" w:type="dxa"/>
            <w:vAlign w:val="bottom"/>
          </w:tcPr>
          <w:p>
            <w:pPr>
              <w:ind w:left="20"/>
              <w:spacing w:after="0"/>
              <w:rPr>
                <w:sz w:val="20"/>
                <w:szCs w:val="20"/>
                <w:color w:val="auto"/>
              </w:rPr>
            </w:pPr>
            <w:r>
              <w:rPr>
                <w:rFonts w:ascii="Times New Roman" w:cs="Times New Roman" w:eastAsia="Times New Roman" w:hAnsi="Times New Roman"/>
                <w:sz w:val="16"/>
                <w:szCs w:val="16"/>
                <w:color w:val="auto"/>
              </w:rPr>
              <w:t>$</w:t>
            </w:r>
          </w:p>
        </w:tc>
        <w:tc>
          <w:tcPr>
            <w:tcW w:w="106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2,000,000</w:t>
            </w:r>
          </w:p>
        </w:tc>
        <w:tc>
          <w:tcPr>
            <w:tcW w:w="260" w:type="dxa"/>
            <w:vAlign w:val="bottom"/>
          </w:tcPr>
          <w:p>
            <w:pPr>
              <w:spacing w:after="0"/>
              <w:rPr>
                <w:sz w:val="17"/>
                <w:szCs w:val="17"/>
                <w:color w:val="auto"/>
              </w:rPr>
            </w:pPr>
          </w:p>
        </w:tc>
        <w:tc>
          <w:tcPr>
            <w:tcW w:w="140" w:type="dxa"/>
            <w:vAlign w:val="bottom"/>
          </w:tcPr>
          <w:p>
            <w:pPr>
              <w:jc w:val="right"/>
              <w:spacing w:after="0"/>
              <w:rPr>
                <w:sz w:val="20"/>
                <w:szCs w:val="20"/>
                <w:color w:val="auto"/>
              </w:rPr>
            </w:pPr>
            <w:r>
              <w:rPr>
                <w:rFonts w:ascii="Times New Roman" w:cs="Times New Roman" w:eastAsia="Times New Roman" w:hAnsi="Times New Roman"/>
                <w:sz w:val="16"/>
                <w:szCs w:val="16"/>
                <w:color w:val="auto"/>
                <w:w w:val="99"/>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750,000</w:t>
            </w:r>
          </w:p>
        </w:tc>
        <w:tc>
          <w:tcPr>
            <w:tcW w:w="280" w:type="dxa"/>
            <w:vAlign w:val="bottom"/>
          </w:tcPr>
          <w:p>
            <w:pPr>
              <w:spacing w:after="0"/>
              <w:rPr>
                <w:sz w:val="17"/>
                <w:szCs w:val="17"/>
                <w:color w:val="auto"/>
              </w:rPr>
            </w:pPr>
          </w:p>
        </w:tc>
        <w:tc>
          <w:tcPr>
            <w:tcW w:w="140" w:type="dxa"/>
            <w:vAlign w:val="bottom"/>
          </w:tcPr>
          <w:p>
            <w:pPr>
              <w:ind w:left="20"/>
              <w:spacing w:after="0"/>
              <w:rPr>
                <w:sz w:val="20"/>
                <w:szCs w:val="20"/>
                <w:color w:val="auto"/>
              </w:rPr>
            </w:pPr>
            <w:r>
              <w:rPr>
                <w:rFonts w:ascii="Times New Roman" w:cs="Times New Roman" w:eastAsia="Times New Roman" w:hAnsi="Times New Roman"/>
                <w:sz w:val="16"/>
                <w:szCs w:val="16"/>
                <w:color w:val="auto"/>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750,000</w:t>
            </w:r>
          </w:p>
        </w:tc>
        <w:tc>
          <w:tcPr>
            <w:tcW w:w="280" w:type="dxa"/>
            <w:vAlign w:val="bottom"/>
          </w:tcPr>
          <w:p>
            <w:pPr>
              <w:spacing w:after="0"/>
              <w:rPr>
                <w:sz w:val="17"/>
                <w:szCs w:val="17"/>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6"/>
                <w:szCs w:val="16"/>
                <w:color w:val="auto"/>
                <w:w w:val="99"/>
              </w:rPr>
              <w:t>$</w:t>
            </w:r>
          </w:p>
        </w:tc>
        <w:tc>
          <w:tcPr>
            <w:tcW w:w="110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625,000</w:t>
            </w:r>
          </w:p>
        </w:tc>
        <w:tc>
          <w:tcPr>
            <w:tcW w:w="260" w:type="dxa"/>
            <w:vAlign w:val="bottom"/>
          </w:tcPr>
          <w:p>
            <w:pPr>
              <w:spacing w:after="0"/>
              <w:rPr>
                <w:sz w:val="17"/>
                <w:szCs w:val="17"/>
                <w:color w:val="auto"/>
              </w:rPr>
            </w:pPr>
          </w:p>
        </w:tc>
        <w:tc>
          <w:tcPr>
            <w:tcW w:w="200" w:type="dxa"/>
            <w:vAlign w:val="bottom"/>
          </w:tcPr>
          <w:p>
            <w:pPr>
              <w:jc w:val="right"/>
              <w:ind w:right="19"/>
              <w:spacing w:after="0"/>
              <w:rPr>
                <w:sz w:val="20"/>
                <w:szCs w:val="20"/>
                <w:color w:val="auto"/>
              </w:rPr>
            </w:pPr>
            <w:r>
              <w:rPr>
                <w:rFonts w:ascii="Times New Roman" w:cs="Times New Roman" w:eastAsia="Times New Roman" w:hAnsi="Times New Roman"/>
                <w:sz w:val="16"/>
                <w:szCs w:val="16"/>
                <w:color w:val="auto"/>
                <w:w w:val="99"/>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500,000</w:t>
            </w:r>
          </w:p>
        </w:tc>
        <w:tc>
          <w:tcPr>
            <w:tcW w:w="160" w:type="dxa"/>
            <w:vAlign w:val="bottom"/>
          </w:tcPr>
          <w:p>
            <w:pPr>
              <w:spacing w:after="0"/>
              <w:rPr>
                <w:sz w:val="17"/>
                <w:szCs w:val="17"/>
                <w:color w:val="auto"/>
              </w:rPr>
            </w:pPr>
          </w:p>
        </w:tc>
      </w:tr>
      <w:tr>
        <w:trPr>
          <w:trHeight w:val="189"/>
        </w:trPr>
        <w:tc>
          <w:tcPr>
            <w:tcW w:w="2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6"/>
                <w:szCs w:val="16"/>
                <w:color w:val="auto"/>
              </w:rPr>
              <w:t>Maximum commissions payable to</w:t>
            </w:r>
          </w:p>
        </w:tc>
        <w:tc>
          <w:tcPr>
            <w:tcW w:w="140" w:type="dxa"/>
            <w:vAlign w:val="bottom"/>
            <w:shd w:val="clear" w:color="auto" w:fill="CFF0FC"/>
          </w:tcPr>
          <w:p>
            <w:pPr>
              <w:spacing w:after="0"/>
              <w:rPr>
                <w:sz w:val="16"/>
                <w:szCs w:val="16"/>
                <w:color w:val="auto"/>
              </w:rPr>
            </w:pPr>
          </w:p>
        </w:tc>
        <w:tc>
          <w:tcPr>
            <w:tcW w:w="106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6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4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4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10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200" w:type="dxa"/>
            <w:vAlign w:val="bottom"/>
            <w:shd w:val="clear" w:color="auto" w:fill="CFF0FC"/>
          </w:tcPr>
          <w:p>
            <w:pPr>
              <w:spacing w:after="0"/>
              <w:rPr>
                <w:sz w:val="16"/>
                <w:szCs w:val="16"/>
                <w:color w:val="auto"/>
              </w:rPr>
            </w:pPr>
          </w:p>
        </w:tc>
        <w:tc>
          <w:tcPr>
            <w:tcW w:w="104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r>
      <w:tr>
        <w:trPr>
          <w:trHeight w:val="203"/>
        </w:trPr>
        <w:tc>
          <w:tcPr>
            <w:tcW w:w="2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6"/>
                <w:szCs w:val="16"/>
                <w:color w:val="auto"/>
              </w:rPr>
              <w:t>sales agents on gross proceeds from</w:t>
            </w:r>
          </w:p>
        </w:tc>
        <w:tc>
          <w:tcPr>
            <w:tcW w:w="140" w:type="dxa"/>
            <w:vAlign w:val="bottom"/>
            <w:shd w:val="clear" w:color="auto" w:fill="CFF0FC"/>
          </w:tcPr>
          <w:p>
            <w:pPr>
              <w:spacing w:after="0"/>
              <w:rPr>
                <w:sz w:val="17"/>
                <w:szCs w:val="17"/>
                <w:color w:val="auto"/>
              </w:rPr>
            </w:pPr>
          </w:p>
        </w:tc>
        <w:tc>
          <w:tcPr>
            <w:tcW w:w="106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6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4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4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110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10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r>
      <w:tr>
        <w:trPr>
          <w:trHeight w:val="216"/>
        </w:trPr>
        <w:tc>
          <w:tcPr>
            <w:tcW w:w="2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6"/>
                <w:szCs w:val="16"/>
                <w:color w:val="auto"/>
              </w:rPr>
              <w:t>the sale of shares</w:t>
            </w:r>
          </w:p>
        </w:tc>
        <w:tc>
          <w:tcPr>
            <w:tcW w:w="140" w:type="dxa"/>
            <w:vAlign w:val="bottom"/>
            <w:shd w:val="clear" w:color="auto" w:fill="CFF0FC"/>
          </w:tcPr>
          <w:p>
            <w:pPr>
              <w:spacing w:after="0"/>
              <w:rPr>
                <w:sz w:val="18"/>
                <w:szCs w:val="18"/>
                <w:color w:val="auto"/>
              </w:rPr>
            </w:pPr>
          </w:p>
        </w:tc>
        <w:tc>
          <w:tcPr>
            <w:tcW w:w="13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6"/>
                <w:szCs w:val="16"/>
                <w:color w:val="auto"/>
              </w:rPr>
              <w:t>2.0 %</w:t>
            </w:r>
          </w:p>
        </w:tc>
        <w:tc>
          <w:tcPr>
            <w:tcW w:w="140" w:type="dxa"/>
            <w:vAlign w:val="bottom"/>
            <w:shd w:val="clear" w:color="auto" w:fill="CFF0FC"/>
          </w:tcPr>
          <w:p>
            <w:pPr>
              <w:spacing w:after="0"/>
              <w:rPr>
                <w:sz w:val="18"/>
                <w:szCs w:val="18"/>
                <w:color w:val="auto"/>
              </w:rPr>
            </w:pPr>
          </w:p>
        </w:tc>
        <w:tc>
          <w:tcPr>
            <w:tcW w:w="13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6"/>
                <w:szCs w:val="16"/>
                <w:color w:val="auto"/>
              </w:rPr>
              <w:t>2.0 %</w:t>
            </w:r>
          </w:p>
        </w:tc>
        <w:tc>
          <w:tcPr>
            <w:tcW w:w="140" w:type="dxa"/>
            <w:vAlign w:val="bottom"/>
            <w:shd w:val="clear" w:color="auto" w:fill="CFF0FC"/>
          </w:tcPr>
          <w:p>
            <w:pPr>
              <w:spacing w:after="0"/>
              <w:rPr>
                <w:sz w:val="18"/>
                <w:szCs w:val="18"/>
                <w:color w:val="auto"/>
              </w:rPr>
            </w:pPr>
          </w:p>
        </w:tc>
        <w:tc>
          <w:tcPr>
            <w:tcW w:w="13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6"/>
                <w:szCs w:val="16"/>
                <w:color w:val="auto"/>
              </w:rPr>
              <w:t>2.0 %</w:t>
            </w:r>
          </w:p>
        </w:tc>
        <w:tc>
          <w:tcPr>
            <w:tcW w:w="140" w:type="dxa"/>
            <w:vAlign w:val="bottom"/>
            <w:shd w:val="clear" w:color="auto" w:fill="CFF0FC"/>
          </w:tcPr>
          <w:p>
            <w:pPr>
              <w:spacing w:after="0"/>
              <w:rPr>
                <w:sz w:val="18"/>
                <w:szCs w:val="18"/>
                <w:color w:val="auto"/>
              </w:rPr>
            </w:pPr>
          </w:p>
        </w:tc>
        <w:tc>
          <w:tcPr>
            <w:tcW w:w="13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6"/>
                <w:szCs w:val="16"/>
                <w:color w:val="auto"/>
              </w:rPr>
              <w:t>2.0 %</w:t>
            </w:r>
          </w:p>
        </w:tc>
        <w:tc>
          <w:tcPr>
            <w:tcW w:w="100" w:type="dxa"/>
            <w:vAlign w:val="bottom"/>
            <w:shd w:val="clear" w:color="auto" w:fill="CFF0FC"/>
          </w:tcPr>
          <w:p>
            <w:pPr>
              <w:spacing w:after="0"/>
              <w:rPr>
                <w:sz w:val="18"/>
                <w:szCs w:val="18"/>
                <w:color w:val="auto"/>
              </w:rPr>
            </w:pPr>
          </w:p>
        </w:tc>
        <w:tc>
          <w:tcPr>
            <w:tcW w:w="136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6"/>
                <w:szCs w:val="16"/>
                <w:color w:val="auto"/>
              </w:rPr>
              <w:t>2.0 %</w:t>
            </w:r>
          </w:p>
        </w:tc>
        <w:tc>
          <w:tcPr>
            <w:tcW w:w="200" w:type="dxa"/>
            <w:vAlign w:val="bottom"/>
            <w:shd w:val="clear" w:color="auto" w:fill="CFF0FC"/>
          </w:tcPr>
          <w:p>
            <w:pPr>
              <w:spacing w:after="0"/>
              <w:rPr>
                <w:sz w:val="18"/>
                <w:szCs w:val="18"/>
                <w:color w:val="auto"/>
              </w:rPr>
            </w:pPr>
          </w:p>
        </w:tc>
        <w:tc>
          <w:tcPr>
            <w:tcW w:w="120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6"/>
                <w:szCs w:val="16"/>
                <w:color w:val="auto"/>
              </w:rPr>
              <w:t>2.0 %</w:t>
            </w:r>
          </w:p>
        </w:tc>
      </w:tr>
      <w:tr>
        <w:trPr>
          <w:trHeight w:val="189"/>
        </w:trPr>
        <w:tc>
          <w:tcPr>
            <w:tcW w:w="25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6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6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4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320" w:type="dxa"/>
            <w:vAlign w:val="bottom"/>
            <w:gridSpan w:val="2"/>
          </w:tcPr>
          <w:p>
            <w:pPr>
              <w:jc w:val="right"/>
              <w:ind w:right="340"/>
              <w:spacing w:after="0"/>
              <w:rPr>
                <w:sz w:val="20"/>
                <w:szCs w:val="20"/>
                <w:color w:val="auto"/>
              </w:rPr>
            </w:pPr>
            <w:r>
              <w:rPr>
                <w:rFonts w:ascii="Times New Roman" w:cs="Times New Roman" w:eastAsia="Times New Roman" w:hAnsi="Times New Roman"/>
                <w:sz w:val="16"/>
                <w:szCs w:val="16"/>
                <w:color w:val="auto"/>
              </w:rPr>
              <w:t>November 29,</w:t>
            </w:r>
          </w:p>
        </w:tc>
        <w:tc>
          <w:tcPr>
            <w:tcW w:w="100" w:type="dxa"/>
            <w:vAlign w:val="bottom"/>
          </w:tcPr>
          <w:p>
            <w:pPr>
              <w:spacing w:after="0"/>
              <w:rPr>
                <w:sz w:val="16"/>
                <w:szCs w:val="16"/>
                <w:color w:val="auto"/>
              </w:rPr>
            </w:pPr>
          </w:p>
        </w:tc>
        <w:tc>
          <w:tcPr>
            <w:tcW w:w="110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1040" w:type="dxa"/>
            <w:vAlign w:val="bottom"/>
          </w:tcPr>
          <w:p>
            <w:pPr>
              <w:spacing w:after="0"/>
              <w:rPr>
                <w:sz w:val="16"/>
                <w:szCs w:val="16"/>
                <w:color w:val="auto"/>
              </w:rPr>
            </w:pPr>
          </w:p>
        </w:tc>
        <w:tc>
          <w:tcPr>
            <w:tcW w:w="160" w:type="dxa"/>
            <w:vAlign w:val="bottom"/>
          </w:tcPr>
          <w:p>
            <w:pPr>
              <w:spacing w:after="0"/>
              <w:rPr>
                <w:sz w:val="16"/>
                <w:szCs w:val="16"/>
                <w:color w:val="auto"/>
              </w:rPr>
            </w:pPr>
          </w:p>
        </w:tc>
      </w:tr>
      <w:tr>
        <w:trPr>
          <w:trHeight w:val="213"/>
        </w:trPr>
        <w:tc>
          <w:tcPr>
            <w:tcW w:w="2540" w:type="dxa"/>
            <w:vAlign w:val="bottom"/>
          </w:tcPr>
          <w:p>
            <w:pPr>
              <w:ind w:left="20"/>
              <w:spacing w:after="0"/>
              <w:rPr>
                <w:sz w:val="20"/>
                <w:szCs w:val="20"/>
                <w:color w:val="auto"/>
              </w:rPr>
            </w:pPr>
            <w:r>
              <w:rPr>
                <w:rFonts w:ascii="Times New Roman" w:cs="Times New Roman" w:eastAsia="Times New Roman" w:hAnsi="Times New Roman"/>
                <w:sz w:val="16"/>
                <w:szCs w:val="16"/>
                <w:color w:val="auto"/>
              </w:rPr>
              <w:t>Date terminated</w:t>
            </w:r>
          </w:p>
        </w:tc>
        <w:tc>
          <w:tcPr>
            <w:tcW w:w="140" w:type="dxa"/>
            <w:vAlign w:val="bottom"/>
          </w:tcPr>
          <w:p>
            <w:pPr>
              <w:spacing w:after="0"/>
              <w:rPr>
                <w:sz w:val="18"/>
                <w:szCs w:val="18"/>
                <w:color w:val="auto"/>
              </w:rPr>
            </w:pPr>
          </w:p>
        </w:tc>
        <w:tc>
          <w:tcPr>
            <w:tcW w:w="1320" w:type="dxa"/>
            <w:vAlign w:val="bottom"/>
            <w:gridSpan w:val="2"/>
          </w:tcPr>
          <w:p>
            <w:pPr>
              <w:jc w:val="right"/>
              <w:ind w:right="300"/>
              <w:spacing w:after="0"/>
              <w:rPr>
                <w:sz w:val="20"/>
                <w:szCs w:val="20"/>
                <w:color w:val="auto"/>
              </w:rPr>
            </w:pPr>
            <w:r>
              <w:rPr>
                <w:rFonts w:ascii="Times New Roman" w:cs="Times New Roman" w:eastAsia="Times New Roman" w:hAnsi="Times New Roman"/>
                <w:sz w:val="16"/>
                <w:szCs w:val="16"/>
                <w:color w:val="auto"/>
              </w:rPr>
              <w:t>n/a</w:t>
            </w:r>
          </w:p>
        </w:tc>
        <w:tc>
          <w:tcPr>
            <w:tcW w:w="140" w:type="dxa"/>
            <w:vAlign w:val="bottom"/>
          </w:tcPr>
          <w:p>
            <w:pPr>
              <w:spacing w:after="0"/>
              <w:rPr>
                <w:sz w:val="18"/>
                <w:szCs w:val="18"/>
                <w:color w:val="auto"/>
              </w:rPr>
            </w:pPr>
          </w:p>
        </w:tc>
        <w:tc>
          <w:tcPr>
            <w:tcW w:w="1320" w:type="dxa"/>
            <w:vAlign w:val="bottom"/>
            <w:gridSpan w:val="2"/>
          </w:tcPr>
          <w:p>
            <w:pPr>
              <w:jc w:val="right"/>
              <w:ind w:right="300"/>
              <w:spacing w:after="0"/>
              <w:rPr>
                <w:sz w:val="20"/>
                <w:szCs w:val="20"/>
                <w:color w:val="auto"/>
              </w:rPr>
            </w:pPr>
            <w:r>
              <w:rPr>
                <w:rFonts w:ascii="Times New Roman" w:cs="Times New Roman" w:eastAsia="Times New Roman" w:hAnsi="Times New Roman"/>
                <w:sz w:val="16"/>
                <w:szCs w:val="16"/>
                <w:color w:val="auto"/>
              </w:rPr>
              <w:t>n/a</w:t>
            </w:r>
          </w:p>
        </w:tc>
        <w:tc>
          <w:tcPr>
            <w:tcW w:w="140" w:type="dxa"/>
            <w:vAlign w:val="bottom"/>
          </w:tcPr>
          <w:p>
            <w:pPr>
              <w:spacing w:after="0"/>
              <w:rPr>
                <w:sz w:val="18"/>
                <w:szCs w:val="18"/>
                <w:color w:val="auto"/>
              </w:rPr>
            </w:pPr>
          </w:p>
        </w:tc>
        <w:tc>
          <w:tcPr>
            <w:tcW w:w="1320" w:type="dxa"/>
            <w:vAlign w:val="bottom"/>
            <w:gridSpan w:val="2"/>
          </w:tcPr>
          <w:p>
            <w:pPr>
              <w:jc w:val="right"/>
              <w:ind w:right="300"/>
              <w:spacing w:after="0"/>
              <w:rPr>
                <w:sz w:val="20"/>
                <w:szCs w:val="20"/>
                <w:color w:val="auto"/>
              </w:rPr>
            </w:pPr>
            <w:r>
              <w:rPr>
                <w:rFonts w:ascii="Times New Roman" w:cs="Times New Roman" w:eastAsia="Times New Roman" w:hAnsi="Times New Roman"/>
                <w:sz w:val="16"/>
                <w:szCs w:val="16"/>
                <w:color w:val="auto"/>
              </w:rPr>
              <w:t>July 31, 2024</w:t>
            </w:r>
          </w:p>
        </w:tc>
        <w:tc>
          <w:tcPr>
            <w:tcW w:w="14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2023</w:t>
            </w:r>
          </w:p>
        </w:tc>
        <w:tc>
          <w:tcPr>
            <w:tcW w:w="2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360" w:type="dxa"/>
            <w:vAlign w:val="bottom"/>
            <w:gridSpan w:val="2"/>
          </w:tcPr>
          <w:p>
            <w:pPr>
              <w:jc w:val="right"/>
              <w:ind w:right="280"/>
              <w:spacing w:after="0"/>
              <w:rPr>
                <w:sz w:val="20"/>
                <w:szCs w:val="20"/>
                <w:color w:val="auto"/>
              </w:rPr>
            </w:pPr>
            <w:r>
              <w:rPr>
                <w:rFonts w:ascii="Times New Roman" w:cs="Times New Roman" w:eastAsia="Times New Roman" w:hAnsi="Times New Roman"/>
                <w:sz w:val="16"/>
                <w:szCs w:val="16"/>
                <w:color w:val="auto"/>
              </w:rPr>
              <w:t>August 1, 2023</w:t>
            </w:r>
          </w:p>
        </w:tc>
        <w:tc>
          <w:tcPr>
            <w:tcW w:w="200" w:type="dxa"/>
            <w:vAlign w:val="bottom"/>
          </w:tcPr>
          <w:p>
            <w:pPr>
              <w:spacing w:after="0"/>
              <w:rPr>
                <w:sz w:val="18"/>
                <w:szCs w:val="18"/>
                <w:color w:val="auto"/>
              </w:rPr>
            </w:pPr>
          </w:p>
        </w:tc>
        <w:tc>
          <w:tcPr>
            <w:tcW w:w="1200" w:type="dxa"/>
            <w:vAlign w:val="bottom"/>
            <w:gridSpan w:val="2"/>
          </w:tcPr>
          <w:p>
            <w:pPr>
              <w:jc w:val="right"/>
              <w:ind w:right="180"/>
              <w:spacing w:after="0"/>
              <w:rPr>
                <w:sz w:val="20"/>
                <w:szCs w:val="20"/>
                <w:color w:val="auto"/>
              </w:rPr>
            </w:pPr>
            <w:r>
              <w:rPr>
                <w:rFonts w:ascii="Times New Roman" w:cs="Times New Roman" w:eastAsia="Times New Roman" w:hAnsi="Times New Roman"/>
                <w:sz w:val="16"/>
                <w:szCs w:val="16"/>
                <w:color w:val="auto"/>
              </w:rPr>
              <w:t>May 1, 2023</w:t>
            </w:r>
          </w:p>
        </w:tc>
      </w:tr>
      <w:tr>
        <w:trPr>
          <w:trHeight w:val="205"/>
        </w:trPr>
        <w:tc>
          <w:tcPr>
            <w:tcW w:w="2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6"/>
                <w:szCs w:val="16"/>
                <w:color w:val="auto"/>
              </w:rPr>
              <w:t>As of December 31, 2024:</w:t>
            </w:r>
          </w:p>
        </w:tc>
        <w:tc>
          <w:tcPr>
            <w:tcW w:w="140" w:type="dxa"/>
            <w:vAlign w:val="bottom"/>
            <w:shd w:val="clear" w:color="auto" w:fill="CFF0FC"/>
          </w:tcPr>
          <w:p>
            <w:pPr>
              <w:spacing w:after="0"/>
              <w:rPr>
                <w:sz w:val="17"/>
                <w:szCs w:val="17"/>
                <w:color w:val="auto"/>
              </w:rPr>
            </w:pPr>
          </w:p>
        </w:tc>
        <w:tc>
          <w:tcPr>
            <w:tcW w:w="106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6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4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4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110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10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r>
      <w:tr>
        <w:trPr>
          <w:trHeight w:val="189"/>
        </w:trPr>
        <w:tc>
          <w:tcPr>
            <w:tcW w:w="2540" w:type="dxa"/>
            <w:vAlign w:val="bottom"/>
          </w:tcPr>
          <w:p>
            <w:pPr>
              <w:ind w:left="120"/>
              <w:spacing w:after="0"/>
              <w:rPr>
                <w:sz w:val="20"/>
                <w:szCs w:val="20"/>
                <w:color w:val="auto"/>
              </w:rPr>
            </w:pPr>
            <w:r>
              <w:rPr>
                <w:rFonts w:ascii="Times New Roman" w:cs="Times New Roman" w:eastAsia="Times New Roman" w:hAnsi="Times New Roman"/>
                <w:sz w:val="16"/>
                <w:szCs w:val="16"/>
                <w:color w:val="auto"/>
              </w:rPr>
              <w:t>Cumulative shares sold under such</w:t>
            </w:r>
          </w:p>
        </w:tc>
        <w:tc>
          <w:tcPr>
            <w:tcW w:w="140" w:type="dxa"/>
            <w:vAlign w:val="bottom"/>
          </w:tcPr>
          <w:p>
            <w:pPr>
              <w:spacing w:after="0"/>
              <w:rPr>
                <w:sz w:val="16"/>
                <w:szCs w:val="16"/>
                <w:color w:val="auto"/>
              </w:rPr>
            </w:pPr>
          </w:p>
        </w:tc>
        <w:tc>
          <w:tcPr>
            <w:tcW w:w="106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6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4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4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10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1040" w:type="dxa"/>
            <w:vAlign w:val="bottom"/>
          </w:tcPr>
          <w:p>
            <w:pPr>
              <w:spacing w:after="0"/>
              <w:rPr>
                <w:sz w:val="16"/>
                <w:szCs w:val="16"/>
                <w:color w:val="auto"/>
              </w:rPr>
            </w:pPr>
          </w:p>
        </w:tc>
        <w:tc>
          <w:tcPr>
            <w:tcW w:w="160" w:type="dxa"/>
            <w:vAlign w:val="bottom"/>
          </w:tcPr>
          <w:p>
            <w:pPr>
              <w:spacing w:after="0"/>
              <w:rPr>
                <w:sz w:val="16"/>
                <w:szCs w:val="16"/>
                <w:color w:val="auto"/>
              </w:rPr>
            </w:pPr>
          </w:p>
        </w:tc>
      </w:tr>
      <w:tr>
        <w:trPr>
          <w:trHeight w:val="213"/>
        </w:trPr>
        <w:tc>
          <w:tcPr>
            <w:tcW w:w="2540" w:type="dxa"/>
            <w:vAlign w:val="bottom"/>
          </w:tcPr>
          <w:p>
            <w:pPr>
              <w:ind w:left="120"/>
              <w:spacing w:after="0"/>
              <w:rPr>
                <w:sz w:val="20"/>
                <w:szCs w:val="20"/>
                <w:color w:val="auto"/>
              </w:rPr>
            </w:pPr>
            <w:r>
              <w:rPr>
                <w:rFonts w:ascii="Times New Roman" w:cs="Times New Roman" w:eastAsia="Times New Roman" w:hAnsi="Times New Roman"/>
                <w:sz w:val="16"/>
                <w:szCs w:val="16"/>
                <w:color w:val="auto"/>
              </w:rPr>
              <w:t>sales agreement</w:t>
            </w:r>
          </w:p>
        </w:tc>
        <w:tc>
          <w:tcPr>
            <w:tcW w:w="140" w:type="dxa"/>
            <w:vAlign w:val="bottom"/>
          </w:tcPr>
          <w:p>
            <w:pPr>
              <w:spacing w:after="0"/>
              <w:rPr>
                <w:sz w:val="18"/>
                <w:szCs w:val="18"/>
                <w:color w:val="auto"/>
              </w:rPr>
            </w:pPr>
          </w:p>
        </w:tc>
        <w:tc>
          <w:tcPr>
            <w:tcW w:w="106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38,671,537</w:t>
            </w:r>
          </w:p>
        </w:tc>
        <w:tc>
          <w:tcPr>
            <w:tcW w:w="26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06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11,685,355</w:t>
            </w:r>
          </w:p>
        </w:tc>
        <w:tc>
          <w:tcPr>
            <w:tcW w:w="26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12,720,770</w:t>
            </w:r>
          </w:p>
        </w:tc>
        <w:tc>
          <w:tcPr>
            <w:tcW w:w="28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15,929,500</w:t>
            </w:r>
          </w:p>
        </w:tc>
        <w:tc>
          <w:tcPr>
            <w:tcW w:w="2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10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10,791,700</w:t>
            </w:r>
          </w:p>
        </w:tc>
        <w:tc>
          <w:tcPr>
            <w:tcW w:w="2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15,674,300</w:t>
            </w:r>
          </w:p>
        </w:tc>
        <w:tc>
          <w:tcPr>
            <w:tcW w:w="160" w:type="dxa"/>
            <w:vAlign w:val="bottom"/>
          </w:tcPr>
          <w:p>
            <w:pPr>
              <w:spacing w:after="0"/>
              <w:rPr>
                <w:sz w:val="18"/>
                <w:szCs w:val="18"/>
                <w:color w:val="auto"/>
              </w:rPr>
            </w:pPr>
          </w:p>
        </w:tc>
      </w:tr>
      <w:tr>
        <w:trPr>
          <w:trHeight w:val="192"/>
        </w:trPr>
        <w:tc>
          <w:tcPr>
            <w:tcW w:w="25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6"/>
                <w:szCs w:val="16"/>
                <w:color w:val="auto"/>
              </w:rPr>
              <w:t>Cumulative net proceeds received</w:t>
            </w:r>
          </w:p>
        </w:tc>
        <w:tc>
          <w:tcPr>
            <w:tcW w:w="140" w:type="dxa"/>
            <w:vAlign w:val="bottom"/>
            <w:shd w:val="clear" w:color="auto" w:fill="CFF0FC"/>
          </w:tcPr>
          <w:p>
            <w:pPr>
              <w:spacing w:after="0"/>
              <w:rPr>
                <w:sz w:val="16"/>
                <w:szCs w:val="16"/>
                <w:color w:val="auto"/>
              </w:rPr>
            </w:pPr>
          </w:p>
        </w:tc>
        <w:tc>
          <w:tcPr>
            <w:tcW w:w="106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6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4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4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10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200" w:type="dxa"/>
            <w:vAlign w:val="bottom"/>
            <w:shd w:val="clear" w:color="auto" w:fill="CFF0FC"/>
          </w:tcPr>
          <w:p>
            <w:pPr>
              <w:spacing w:after="0"/>
              <w:rPr>
                <w:sz w:val="16"/>
                <w:szCs w:val="16"/>
                <w:color w:val="auto"/>
              </w:rPr>
            </w:pPr>
          </w:p>
        </w:tc>
        <w:tc>
          <w:tcPr>
            <w:tcW w:w="104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r>
      <w:tr>
        <w:trPr>
          <w:trHeight w:val="203"/>
        </w:trPr>
        <w:tc>
          <w:tcPr>
            <w:tcW w:w="25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6"/>
                <w:szCs w:val="16"/>
                <w:color w:val="auto"/>
              </w:rPr>
              <w:t>from shares sold under such sales</w:t>
            </w:r>
          </w:p>
        </w:tc>
        <w:tc>
          <w:tcPr>
            <w:tcW w:w="140" w:type="dxa"/>
            <w:vAlign w:val="bottom"/>
            <w:shd w:val="clear" w:color="auto" w:fill="CFF0FC"/>
          </w:tcPr>
          <w:p>
            <w:pPr>
              <w:spacing w:after="0"/>
              <w:rPr>
                <w:sz w:val="17"/>
                <w:szCs w:val="17"/>
                <w:color w:val="auto"/>
              </w:rPr>
            </w:pPr>
          </w:p>
        </w:tc>
        <w:tc>
          <w:tcPr>
            <w:tcW w:w="106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6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4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4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110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10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r>
      <w:tr>
        <w:trPr>
          <w:trHeight w:val="216"/>
        </w:trPr>
        <w:tc>
          <w:tcPr>
            <w:tcW w:w="25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6"/>
                <w:szCs w:val="16"/>
                <w:color w:val="auto"/>
              </w:rPr>
              <w:t>agreement</w:t>
            </w:r>
          </w:p>
        </w:tc>
        <w:tc>
          <w:tcPr>
            <w:tcW w:w="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6"/>
                <w:szCs w:val="16"/>
                <w:color w:val="auto"/>
              </w:rPr>
              <w:t>$</w:t>
            </w: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rPr>
              <w:t>14,199,432</w:t>
            </w:r>
          </w:p>
        </w:tc>
        <w:tc>
          <w:tcPr>
            <w:tcW w:w="260" w:type="dxa"/>
            <w:vAlign w:val="bottom"/>
            <w:shd w:val="clear" w:color="auto" w:fill="CFF0FC"/>
          </w:tcPr>
          <w:p>
            <w:pPr>
              <w:spacing w:after="0"/>
              <w:rPr>
                <w:sz w:val="18"/>
                <w:szCs w:val="18"/>
                <w:color w:val="auto"/>
              </w:rPr>
            </w:pPr>
          </w:p>
        </w:tc>
        <w:tc>
          <w:tcPr>
            <w:tcW w:w="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6"/>
                <w:szCs w:val="16"/>
                <w:color w:val="auto"/>
              </w:rPr>
              <w:t>$</w:t>
            </w:r>
          </w:p>
        </w:tc>
        <w:tc>
          <w:tcPr>
            <w:tcW w:w="10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rPr>
              <w:t>1,993,273</w:t>
            </w:r>
          </w:p>
        </w:tc>
        <w:tc>
          <w:tcPr>
            <w:tcW w:w="260" w:type="dxa"/>
            <w:vAlign w:val="bottom"/>
            <w:shd w:val="clear" w:color="auto" w:fill="CFF0FC"/>
          </w:tcPr>
          <w:p>
            <w:pPr>
              <w:spacing w:after="0"/>
              <w:rPr>
                <w:sz w:val="18"/>
                <w:szCs w:val="18"/>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w w:val="99"/>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rPr>
              <w:t>747,025</w:t>
            </w:r>
          </w:p>
        </w:tc>
        <w:tc>
          <w:tcPr>
            <w:tcW w:w="280" w:type="dxa"/>
            <w:vAlign w:val="bottom"/>
            <w:shd w:val="clear" w:color="auto" w:fill="CFF0FC"/>
          </w:tcPr>
          <w:p>
            <w:pPr>
              <w:spacing w:after="0"/>
              <w:rPr>
                <w:sz w:val="18"/>
                <w:szCs w:val="18"/>
                <w:color w:val="auto"/>
              </w:rPr>
            </w:pPr>
          </w:p>
        </w:tc>
        <w:tc>
          <w:tcPr>
            <w:tcW w:w="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6"/>
                <w:szCs w:val="16"/>
                <w:color w:val="auto"/>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rPr>
              <w:t>737,760</w:t>
            </w:r>
          </w:p>
        </w:tc>
        <w:tc>
          <w:tcPr>
            <w:tcW w:w="280" w:type="dxa"/>
            <w:vAlign w:val="bottom"/>
            <w:shd w:val="clear" w:color="auto" w:fill="CFF0FC"/>
          </w:tcPr>
          <w:p>
            <w:pPr>
              <w:spacing w:after="0"/>
              <w:rPr>
                <w:sz w:val="18"/>
                <w:szCs w:val="18"/>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w w:val="99"/>
              </w:rPr>
              <w:t>$</w:t>
            </w:r>
          </w:p>
        </w:tc>
        <w:tc>
          <w:tcPr>
            <w:tcW w:w="1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rPr>
              <w:t>333,494</w:t>
            </w:r>
          </w:p>
        </w:tc>
        <w:tc>
          <w:tcPr>
            <w:tcW w:w="260" w:type="dxa"/>
            <w:vAlign w:val="bottom"/>
            <w:shd w:val="clear" w:color="auto" w:fill="CFF0FC"/>
          </w:tcPr>
          <w:p>
            <w:pPr>
              <w:spacing w:after="0"/>
              <w:rPr>
                <w:sz w:val="18"/>
                <w:szCs w:val="18"/>
                <w:color w:val="auto"/>
              </w:rPr>
            </w:pPr>
          </w:p>
        </w:tc>
        <w:tc>
          <w:tcPr>
            <w:tcW w:w="200" w:type="dxa"/>
            <w:vAlign w:val="bottom"/>
            <w:shd w:val="clear" w:color="auto" w:fill="CFF0FC"/>
          </w:tcPr>
          <w:p>
            <w:pPr>
              <w:jc w:val="right"/>
              <w:ind w:right="19"/>
              <w:spacing w:after="0"/>
              <w:rPr>
                <w:sz w:val="20"/>
                <w:szCs w:val="20"/>
                <w:color w:val="auto"/>
              </w:rPr>
            </w:pPr>
            <w:r>
              <w:rPr>
                <w:rFonts w:ascii="Times New Roman" w:cs="Times New Roman" w:eastAsia="Times New Roman" w:hAnsi="Times New Roman"/>
                <w:sz w:val="16"/>
                <w:szCs w:val="16"/>
                <w:color w:val="auto"/>
                <w:w w:val="99"/>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6"/>
                <w:szCs w:val="16"/>
                <w:color w:val="auto"/>
              </w:rPr>
              <w:t>385,181</w:t>
            </w:r>
          </w:p>
        </w:tc>
        <w:tc>
          <w:tcPr>
            <w:tcW w:w="160" w:type="dxa"/>
            <w:vAlign w:val="bottom"/>
            <w:shd w:val="clear" w:color="auto" w:fill="CFF0FC"/>
          </w:tcPr>
          <w:p>
            <w:pPr>
              <w:spacing w:after="0"/>
              <w:rPr>
                <w:sz w:val="18"/>
                <w:szCs w:val="18"/>
                <w:color w:val="auto"/>
              </w:rPr>
            </w:pPr>
          </w:p>
        </w:tc>
      </w:tr>
      <w:tr>
        <w:trPr>
          <w:trHeight w:val="189"/>
        </w:trPr>
        <w:tc>
          <w:tcPr>
            <w:tcW w:w="2540" w:type="dxa"/>
            <w:vAlign w:val="bottom"/>
          </w:tcPr>
          <w:p>
            <w:pPr>
              <w:ind w:left="120"/>
              <w:spacing w:after="0"/>
              <w:rPr>
                <w:sz w:val="20"/>
                <w:szCs w:val="20"/>
                <w:color w:val="auto"/>
              </w:rPr>
            </w:pPr>
            <w:r>
              <w:rPr>
                <w:rFonts w:ascii="Times New Roman" w:cs="Times New Roman" w:eastAsia="Times New Roman" w:hAnsi="Times New Roman"/>
                <w:sz w:val="16"/>
                <w:szCs w:val="16"/>
                <w:color w:val="auto"/>
              </w:rPr>
              <w:t>Maximum aggregate offering price</w:t>
            </w:r>
          </w:p>
        </w:tc>
        <w:tc>
          <w:tcPr>
            <w:tcW w:w="140" w:type="dxa"/>
            <w:vAlign w:val="bottom"/>
          </w:tcPr>
          <w:p>
            <w:pPr>
              <w:spacing w:after="0"/>
              <w:rPr>
                <w:sz w:val="16"/>
                <w:szCs w:val="16"/>
                <w:color w:val="auto"/>
              </w:rPr>
            </w:pPr>
          </w:p>
        </w:tc>
        <w:tc>
          <w:tcPr>
            <w:tcW w:w="106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6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4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4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10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1040" w:type="dxa"/>
            <w:vAlign w:val="bottom"/>
          </w:tcPr>
          <w:p>
            <w:pPr>
              <w:spacing w:after="0"/>
              <w:rPr>
                <w:sz w:val="16"/>
                <w:szCs w:val="16"/>
                <w:color w:val="auto"/>
              </w:rPr>
            </w:pPr>
          </w:p>
        </w:tc>
        <w:tc>
          <w:tcPr>
            <w:tcW w:w="160" w:type="dxa"/>
            <w:vAlign w:val="bottom"/>
          </w:tcPr>
          <w:p>
            <w:pPr>
              <w:spacing w:after="0"/>
              <w:rPr>
                <w:sz w:val="16"/>
                <w:szCs w:val="16"/>
                <w:color w:val="auto"/>
              </w:rPr>
            </w:pPr>
          </w:p>
        </w:tc>
      </w:tr>
      <w:tr>
        <w:trPr>
          <w:trHeight w:val="203"/>
        </w:trPr>
        <w:tc>
          <w:tcPr>
            <w:tcW w:w="2540" w:type="dxa"/>
            <w:vAlign w:val="bottom"/>
          </w:tcPr>
          <w:p>
            <w:pPr>
              <w:ind w:left="120"/>
              <w:spacing w:after="0"/>
              <w:rPr>
                <w:sz w:val="20"/>
                <w:szCs w:val="20"/>
                <w:color w:val="auto"/>
              </w:rPr>
            </w:pPr>
            <w:r>
              <w:rPr>
                <w:rFonts w:ascii="Times New Roman" w:cs="Times New Roman" w:eastAsia="Times New Roman" w:hAnsi="Times New Roman"/>
                <w:sz w:val="16"/>
                <w:szCs w:val="16"/>
                <w:color w:val="auto"/>
              </w:rPr>
              <w:t>remaining available for sale under</w:t>
            </w:r>
          </w:p>
        </w:tc>
        <w:tc>
          <w:tcPr>
            <w:tcW w:w="140" w:type="dxa"/>
            <w:vAlign w:val="bottom"/>
          </w:tcPr>
          <w:p>
            <w:pPr>
              <w:spacing w:after="0"/>
              <w:rPr>
                <w:sz w:val="17"/>
                <w:szCs w:val="17"/>
                <w:color w:val="auto"/>
              </w:rPr>
            </w:pPr>
          </w:p>
        </w:tc>
        <w:tc>
          <w:tcPr>
            <w:tcW w:w="1060" w:type="dxa"/>
            <w:vAlign w:val="bottom"/>
          </w:tcPr>
          <w:p>
            <w:pPr>
              <w:spacing w:after="0"/>
              <w:rPr>
                <w:sz w:val="17"/>
                <w:szCs w:val="17"/>
                <w:color w:val="auto"/>
              </w:rPr>
            </w:pPr>
          </w:p>
        </w:tc>
        <w:tc>
          <w:tcPr>
            <w:tcW w:w="26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1060" w:type="dxa"/>
            <w:vAlign w:val="bottom"/>
          </w:tcPr>
          <w:p>
            <w:pPr>
              <w:spacing w:after="0"/>
              <w:rPr>
                <w:sz w:val="17"/>
                <w:szCs w:val="17"/>
                <w:color w:val="auto"/>
              </w:rPr>
            </w:pPr>
          </w:p>
        </w:tc>
        <w:tc>
          <w:tcPr>
            <w:tcW w:w="26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104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140" w:type="dxa"/>
            <w:vAlign w:val="bottom"/>
          </w:tcPr>
          <w:p>
            <w:pPr>
              <w:spacing w:after="0"/>
              <w:rPr>
                <w:sz w:val="17"/>
                <w:szCs w:val="17"/>
                <w:color w:val="auto"/>
              </w:rPr>
            </w:pPr>
          </w:p>
        </w:tc>
        <w:tc>
          <w:tcPr>
            <w:tcW w:w="104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1100" w:type="dxa"/>
            <w:vAlign w:val="bottom"/>
          </w:tcPr>
          <w:p>
            <w:pPr>
              <w:spacing w:after="0"/>
              <w:rPr>
                <w:sz w:val="17"/>
                <w:szCs w:val="17"/>
                <w:color w:val="auto"/>
              </w:rPr>
            </w:pPr>
          </w:p>
        </w:tc>
        <w:tc>
          <w:tcPr>
            <w:tcW w:w="26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1040" w:type="dxa"/>
            <w:vAlign w:val="bottom"/>
          </w:tcPr>
          <w:p>
            <w:pPr>
              <w:spacing w:after="0"/>
              <w:rPr>
                <w:sz w:val="17"/>
                <w:szCs w:val="17"/>
                <w:color w:val="auto"/>
              </w:rPr>
            </w:pPr>
          </w:p>
        </w:tc>
        <w:tc>
          <w:tcPr>
            <w:tcW w:w="160" w:type="dxa"/>
            <w:vAlign w:val="bottom"/>
          </w:tcPr>
          <w:p>
            <w:pPr>
              <w:spacing w:after="0"/>
              <w:rPr>
                <w:sz w:val="17"/>
                <w:szCs w:val="17"/>
                <w:color w:val="auto"/>
              </w:rPr>
            </w:pPr>
          </w:p>
        </w:tc>
      </w:tr>
      <w:tr>
        <w:trPr>
          <w:trHeight w:val="210"/>
        </w:trPr>
        <w:tc>
          <w:tcPr>
            <w:tcW w:w="2540" w:type="dxa"/>
            <w:vAlign w:val="bottom"/>
          </w:tcPr>
          <w:p>
            <w:pPr>
              <w:ind w:left="120"/>
              <w:spacing w:after="0"/>
              <w:rPr>
                <w:sz w:val="20"/>
                <w:szCs w:val="20"/>
                <w:color w:val="auto"/>
              </w:rPr>
            </w:pPr>
            <w:r>
              <w:rPr>
                <w:rFonts w:ascii="Times New Roman" w:cs="Times New Roman" w:eastAsia="Times New Roman" w:hAnsi="Times New Roman"/>
                <w:sz w:val="16"/>
                <w:szCs w:val="16"/>
                <w:color w:val="auto"/>
              </w:rPr>
              <w:t>such sales agreement</w:t>
            </w:r>
          </w:p>
        </w:tc>
        <w:tc>
          <w:tcPr>
            <w:tcW w:w="140" w:type="dxa"/>
            <w:vAlign w:val="bottom"/>
          </w:tcPr>
          <w:p>
            <w:pPr>
              <w:ind w:left="20"/>
              <w:spacing w:after="0"/>
              <w:rPr>
                <w:sz w:val="20"/>
                <w:szCs w:val="20"/>
                <w:color w:val="auto"/>
              </w:rPr>
            </w:pPr>
            <w:r>
              <w:rPr>
                <w:rFonts w:ascii="Times New Roman" w:cs="Times New Roman" w:eastAsia="Times New Roman" w:hAnsi="Times New Roman"/>
                <w:sz w:val="16"/>
                <w:szCs w:val="16"/>
                <w:color w:val="auto"/>
              </w:rPr>
              <w:t>$</w:t>
            </w:r>
          </w:p>
        </w:tc>
        <w:tc>
          <w:tcPr>
            <w:tcW w:w="106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6,774,741</w:t>
            </w:r>
          </w:p>
        </w:tc>
        <w:tc>
          <w:tcPr>
            <w:tcW w:w="260" w:type="dxa"/>
            <w:vAlign w:val="bottom"/>
          </w:tcPr>
          <w:p>
            <w:pPr>
              <w:spacing w:after="0"/>
              <w:rPr>
                <w:sz w:val="18"/>
                <w:szCs w:val="18"/>
                <w:color w:val="auto"/>
              </w:rPr>
            </w:pPr>
          </w:p>
        </w:tc>
        <w:tc>
          <w:tcPr>
            <w:tcW w:w="140" w:type="dxa"/>
            <w:vAlign w:val="bottom"/>
          </w:tcPr>
          <w:p>
            <w:pPr>
              <w:ind w:left="20"/>
              <w:spacing w:after="0"/>
              <w:rPr>
                <w:sz w:val="20"/>
                <w:szCs w:val="20"/>
                <w:color w:val="auto"/>
              </w:rPr>
            </w:pPr>
            <w:r>
              <w:rPr>
                <w:rFonts w:ascii="Times New Roman" w:cs="Times New Roman" w:eastAsia="Times New Roman" w:hAnsi="Times New Roman"/>
                <w:sz w:val="16"/>
                <w:szCs w:val="16"/>
                <w:color w:val="auto"/>
              </w:rPr>
              <w:t>$</w:t>
            </w:r>
          </w:p>
        </w:tc>
        <w:tc>
          <w:tcPr>
            <w:tcW w:w="1060" w:type="dxa"/>
            <w:vAlign w:val="bottom"/>
          </w:tcPr>
          <w:p>
            <w:pPr>
              <w:jc w:val="right"/>
              <w:spacing w:after="0"/>
              <w:rPr>
                <w:sz w:val="20"/>
                <w:szCs w:val="20"/>
                <w:color w:val="auto"/>
              </w:rPr>
            </w:pPr>
            <w:r>
              <w:rPr>
                <w:rFonts w:ascii="Times New Roman" w:cs="Times New Roman" w:eastAsia="Times New Roman" w:hAnsi="Times New Roman"/>
                <w:sz w:val="16"/>
                <w:szCs w:val="16"/>
                <w:color w:val="auto"/>
              </w:rPr>
              <w:t>0</w:t>
            </w:r>
          </w:p>
        </w:tc>
        <w:tc>
          <w:tcPr>
            <w:tcW w:w="26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320" w:type="dxa"/>
            <w:vAlign w:val="bottom"/>
            <w:gridSpan w:val="2"/>
          </w:tcPr>
          <w:p>
            <w:pPr>
              <w:jc w:val="right"/>
              <w:ind w:right="300"/>
              <w:spacing w:after="0"/>
              <w:rPr>
                <w:sz w:val="20"/>
                <w:szCs w:val="20"/>
                <w:color w:val="auto"/>
              </w:rPr>
            </w:pPr>
            <w:r>
              <w:rPr>
                <w:rFonts w:ascii="Times New Roman" w:cs="Times New Roman" w:eastAsia="Times New Roman" w:hAnsi="Times New Roman"/>
                <w:sz w:val="16"/>
                <w:szCs w:val="16"/>
                <w:color w:val="auto"/>
              </w:rPr>
              <w:t>n/a</w:t>
            </w:r>
          </w:p>
        </w:tc>
        <w:tc>
          <w:tcPr>
            <w:tcW w:w="140" w:type="dxa"/>
            <w:vAlign w:val="bottom"/>
          </w:tcPr>
          <w:p>
            <w:pPr>
              <w:spacing w:after="0"/>
              <w:rPr>
                <w:sz w:val="18"/>
                <w:szCs w:val="18"/>
                <w:color w:val="auto"/>
              </w:rPr>
            </w:pPr>
          </w:p>
        </w:tc>
        <w:tc>
          <w:tcPr>
            <w:tcW w:w="1320" w:type="dxa"/>
            <w:vAlign w:val="bottom"/>
            <w:gridSpan w:val="2"/>
          </w:tcPr>
          <w:p>
            <w:pPr>
              <w:jc w:val="right"/>
              <w:ind w:right="300"/>
              <w:spacing w:after="0"/>
              <w:rPr>
                <w:sz w:val="20"/>
                <w:szCs w:val="20"/>
                <w:color w:val="auto"/>
              </w:rPr>
            </w:pPr>
            <w:r>
              <w:rPr>
                <w:rFonts w:ascii="Times New Roman" w:cs="Times New Roman" w:eastAsia="Times New Roman" w:hAnsi="Times New Roman"/>
                <w:sz w:val="16"/>
                <w:szCs w:val="16"/>
                <w:color w:val="auto"/>
              </w:rPr>
              <w:t>n/a</w:t>
            </w:r>
          </w:p>
        </w:tc>
        <w:tc>
          <w:tcPr>
            <w:tcW w:w="100" w:type="dxa"/>
            <w:vAlign w:val="bottom"/>
          </w:tcPr>
          <w:p>
            <w:pPr>
              <w:spacing w:after="0"/>
              <w:rPr>
                <w:sz w:val="18"/>
                <w:szCs w:val="18"/>
                <w:color w:val="auto"/>
              </w:rPr>
            </w:pPr>
          </w:p>
        </w:tc>
        <w:tc>
          <w:tcPr>
            <w:tcW w:w="1360" w:type="dxa"/>
            <w:vAlign w:val="bottom"/>
            <w:gridSpan w:val="2"/>
          </w:tcPr>
          <w:p>
            <w:pPr>
              <w:jc w:val="right"/>
              <w:ind w:right="280"/>
              <w:spacing w:after="0"/>
              <w:rPr>
                <w:sz w:val="20"/>
                <w:szCs w:val="20"/>
                <w:color w:val="auto"/>
              </w:rPr>
            </w:pPr>
            <w:r>
              <w:rPr>
                <w:rFonts w:ascii="Times New Roman" w:cs="Times New Roman" w:eastAsia="Times New Roman" w:hAnsi="Times New Roman"/>
                <w:sz w:val="16"/>
                <w:szCs w:val="16"/>
                <w:color w:val="auto"/>
              </w:rPr>
              <w:t>n/a</w:t>
            </w:r>
          </w:p>
        </w:tc>
        <w:tc>
          <w:tcPr>
            <w:tcW w:w="200" w:type="dxa"/>
            <w:vAlign w:val="bottom"/>
          </w:tcPr>
          <w:p>
            <w:pPr>
              <w:spacing w:after="0"/>
              <w:rPr>
                <w:sz w:val="18"/>
                <w:szCs w:val="18"/>
                <w:color w:val="auto"/>
              </w:rPr>
            </w:pPr>
          </w:p>
        </w:tc>
        <w:tc>
          <w:tcPr>
            <w:tcW w:w="1200" w:type="dxa"/>
            <w:vAlign w:val="bottom"/>
            <w:gridSpan w:val="2"/>
          </w:tcPr>
          <w:p>
            <w:pPr>
              <w:jc w:val="right"/>
              <w:ind w:right="180"/>
              <w:spacing w:after="0"/>
              <w:rPr>
                <w:sz w:val="20"/>
                <w:szCs w:val="20"/>
                <w:color w:val="auto"/>
              </w:rPr>
            </w:pPr>
            <w:r>
              <w:rPr>
                <w:rFonts w:ascii="Times New Roman" w:cs="Times New Roman" w:eastAsia="Times New Roman" w:hAnsi="Times New Roman"/>
                <w:sz w:val="16"/>
                <w:szCs w:val="16"/>
                <w:color w:val="auto"/>
              </w:rPr>
              <w:t>n/a</w:t>
            </w:r>
          </w:p>
        </w:tc>
      </w:tr>
    </w:tbl>
    <w:p>
      <w:pPr>
        <w:spacing w:after="0" w:line="204" w:lineRule="exact"/>
        <w:rPr>
          <w:sz w:val="20"/>
          <w:szCs w:val="20"/>
          <w:color w:val="auto"/>
        </w:rPr>
      </w:pPr>
    </w:p>
    <w:p>
      <w:pPr>
        <w:jc w:val="both"/>
        <w:spacing w:after="0" w:line="278" w:lineRule="auto"/>
        <w:rPr>
          <w:sz w:val="20"/>
          <w:szCs w:val="20"/>
          <w:color w:val="auto"/>
        </w:rPr>
      </w:pPr>
      <w:r>
        <w:rPr>
          <w:rFonts w:ascii="Times New Roman" w:cs="Times New Roman" w:eastAsia="Times New Roman" w:hAnsi="Times New Roman"/>
          <w:sz w:val="18"/>
          <w:szCs w:val="18"/>
          <w:color w:val="auto"/>
        </w:rPr>
        <w:t>The following table summarizes the sales activity of each sales agreement that was active during 2024, 2023, or 2022 for the periods indicated. The net proceeds (less sales commissions and expenses) for each at-the-market equity offering program are reported in thousands.</w:t>
      </w:r>
    </w:p>
    <w:tbl>
      <w:tblPr>
        <w:tblLayout w:type="fixed"/>
        <w:tblInd w:w="0" w:type="dxa"/>
        <w:tblCellMar>
          <w:top w:w="0" w:type="dxa"/>
          <w:left w:w="0" w:type="dxa"/>
          <w:bottom w:w="0" w:type="dxa"/>
          <w:right w:w="0" w:type="dxa"/>
        </w:tblCellMar>
      </w:tblPr>
      <w:tr>
        <w:trPr>
          <w:trHeight w:val="173"/>
        </w:trPr>
        <w:tc>
          <w:tcPr>
            <w:tcW w:w="6880" w:type="dxa"/>
            <w:vAlign w:val="bottom"/>
          </w:tcPr>
          <w:p>
            <w:pPr>
              <w:spacing w:after="0"/>
              <w:rPr>
                <w:sz w:val="15"/>
                <w:szCs w:val="15"/>
                <w:color w:val="auto"/>
              </w:rPr>
            </w:pPr>
          </w:p>
        </w:tc>
        <w:tc>
          <w:tcPr>
            <w:tcW w:w="260" w:type="dxa"/>
            <w:vAlign w:val="bottom"/>
            <w:tcBorders>
              <w:bottom w:val="single" w:sz="8" w:color="auto"/>
            </w:tcBorders>
          </w:tcPr>
          <w:p>
            <w:pPr>
              <w:spacing w:after="0"/>
              <w:rPr>
                <w:sz w:val="15"/>
                <w:szCs w:val="15"/>
                <w:color w:val="auto"/>
              </w:rPr>
            </w:pPr>
          </w:p>
        </w:tc>
        <w:tc>
          <w:tcPr>
            <w:tcW w:w="1000" w:type="dxa"/>
            <w:vAlign w:val="bottom"/>
            <w:tcBorders>
              <w:bottom w:val="single" w:sz="8" w:color="auto"/>
            </w:tcBorders>
          </w:tcPr>
          <w:p>
            <w:pPr>
              <w:spacing w:after="0"/>
              <w:rPr>
                <w:sz w:val="15"/>
                <w:szCs w:val="15"/>
                <w:color w:val="auto"/>
              </w:rPr>
            </w:pPr>
          </w:p>
        </w:tc>
        <w:tc>
          <w:tcPr>
            <w:tcW w:w="1740" w:type="dxa"/>
            <w:vAlign w:val="bottom"/>
            <w:tcBorders>
              <w:bottom w:val="single" w:sz="8" w:color="auto"/>
            </w:tcBorders>
            <w:gridSpan w:val="6"/>
          </w:tcPr>
          <w:p>
            <w:pPr>
              <w:ind w:left="20"/>
              <w:spacing w:after="0"/>
              <w:rPr>
                <w:sz w:val="20"/>
                <w:szCs w:val="20"/>
                <w:color w:val="auto"/>
              </w:rPr>
            </w:pPr>
            <w:r>
              <w:rPr>
                <w:rFonts w:ascii="Times New Roman" w:cs="Times New Roman" w:eastAsia="Times New Roman" w:hAnsi="Times New Roman"/>
                <w:sz w:val="14"/>
                <w:szCs w:val="14"/>
                <w:b w:val="1"/>
                <w:bCs w:val="1"/>
                <w:color w:val="auto"/>
              </w:rPr>
              <w:t>Years Ended December 31,</w:t>
            </w:r>
          </w:p>
        </w:tc>
        <w:tc>
          <w:tcPr>
            <w:tcW w:w="280" w:type="dxa"/>
            <w:vAlign w:val="bottom"/>
            <w:tcBorders>
              <w:bottom w:val="single" w:sz="8" w:color="auto"/>
            </w:tcBorders>
          </w:tcPr>
          <w:p>
            <w:pPr>
              <w:spacing w:after="0"/>
              <w:rPr>
                <w:sz w:val="15"/>
                <w:szCs w:val="15"/>
                <w:color w:val="auto"/>
              </w:rPr>
            </w:pPr>
          </w:p>
        </w:tc>
        <w:tc>
          <w:tcPr>
            <w:tcW w:w="98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96"/>
        </w:trPr>
        <w:tc>
          <w:tcPr>
            <w:tcW w:w="6880" w:type="dxa"/>
            <w:vAlign w:val="bottom"/>
          </w:tcPr>
          <w:p>
            <w:pPr>
              <w:spacing w:after="0"/>
              <w:rPr>
                <w:sz w:val="17"/>
                <w:szCs w:val="17"/>
                <w:color w:val="auto"/>
              </w:rPr>
            </w:pPr>
          </w:p>
        </w:tc>
        <w:tc>
          <w:tcPr>
            <w:tcW w:w="260" w:type="dxa"/>
            <w:vAlign w:val="bottom"/>
            <w:tcBorders>
              <w:bottom w:val="single" w:sz="8" w:color="auto"/>
            </w:tcBorders>
          </w:tcPr>
          <w:p>
            <w:pPr>
              <w:spacing w:after="0"/>
              <w:rPr>
                <w:sz w:val="17"/>
                <w:szCs w:val="17"/>
                <w:color w:val="auto"/>
              </w:rPr>
            </w:pPr>
          </w:p>
        </w:tc>
        <w:tc>
          <w:tcPr>
            <w:tcW w:w="1000" w:type="dxa"/>
            <w:vAlign w:val="bottom"/>
            <w:tcBorders>
              <w:bottom w:val="single" w:sz="8" w:color="auto"/>
            </w:tcBorders>
          </w:tcPr>
          <w:p>
            <w:pPr>
              <w:jc w:val="right"/>
              <w:ind w:right="411"/>
              <w:spacing w:after="0"/>
              <w:rPr>
                <w:sz w:val="20"/>
                <w:szCs w:val="20"/>
                <w:color w:val="auto"/>
              </w:rPr>
            </w:pPr>
            <w:r>
              <w:rPr>
                <w:rFonts w:ascii="Times New Roman" w:cs="Times New Roman" w:eastAsia="Times New Roman" w:hAnsi="Times New Roman"/>
                <w:sz w:val="14"/>
                <w:szCs w:val="14"/>
                <w:b w:val="1"/>
                <w:bCs w:val="1"/>
                <w:color w:val="auto"/>
              </w:rPr>
              <w:t>2024</w:t>
            </w:r>
          </w:p>
        </w:tc>
        <w:tc>
          <w:tcPr>
            <w:tcW w:w="100" w:type="dxa"/>
            <w:vAlign w:val="bottom"/>
          </w:tcPr>
          <w:p>
            <w:pPr>
              <w:spacing w:after="0"/>
              <w:rPr>
                <w:sz w:val="17"/>
                <w:szCs w:val="17"/>
                <w:color w:val="auto"/>
              </w:rPr>
            </w:pPr>
          </w:p>
        </w:tc>
        <w:tc>
          <w:tcPr>
            <w:tcW w:w="140" w:type="dxa"/>
            <w:vAlign w:val="bottom"/>
            <w:tcBorders>
              <w:bottom w:val="single" w:sz="8" w:color="auto"/>
            </w:tcBorders>
          </w:tcPr>
          <w:p>
            <w:pPr>
              <w:spacing w:after="0"/>
              <w:rPr>
                <w:sz w:val="17"/>
                <w:szCs w:val="17"/>
                <w:color w:val="auto"/>
              </w:rPr>
            </w:pPr>
          </w:p>
        </w:tc>
        <w:tc>
          <w:tcPr>
            <w:tcW w:w="260" w:type="dxa"/>
            <w:vAlign w:val="bottom"/>
            <w:tcBorders>
              <w:bottom w:val="single" w:sz="8" w:color="auto"/>
            </w:tcBorders>
          </w:tcPr>
          <w:p>
            <w:pPr>
              <w:spacing w:after="0"/>
              <w:rPr>
                <w:sz w:val="17"/>
                <w:szCs w:val="17"/>
                <w:color w:val="auto"/>
              </w:rPr>
            </w:pPr>
          </w:p>
        </w:tc>
        <w:tc>
          <w:tcPr>
            <w:tcW w:w="1000" w:type="dxa"/>
            <w:vAlign w:val="bottom"/>
            <w:tcBorders>
              <w:bottom w:val="single" w:sz="8" w:color="auto"/>
            </w:tcBorders>
          </w:tcPr>
          <w:p>
            <w:pPr>
              <w:jc w:val="right"/>
              <w:ind w:right="41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7"/>
                <w:szCs w:val="17"/>
                <w:color w:val="auto"/>
              </w:rPr>
            </w:pPr>
          </w:p>
        </w:tc>
        <w:tc>
          <w:tcPr>
            <w:tcW w:w="140" w:type="dxa"/>
            <w:vAlign w:val="bottom"/>
            <w:tcBorders>
              <w:bottom w:val="single" w:sz="8" w:color="auto"/>
            </w:tcBorders>
          </w:tcPr>
          <w:p>
            <w:pPr>
              <w:spacing w:after="0"/>
              <w:rPr>
                <w:sz w:val="17"/>
                <w:szCs w:val="17"/>
                <w:color w:val="auto"/>
              </w:rPr>
            </w:pPr>
          </w:p>
        </w:tc>
        <w:tc>
          <w:tcPr>
            <w:tcW w:w="280" w:type="dxa"/>
            <w:vAlign w:val="bottom"/>
            <w:tcBorders>
              <w:bottom w:val="single" w:sz="8" w:color="auto"/>
            </w:tcBorders>
          </w:tcPr>
          <w:p>
            <w:pPr>
              <w:spacing w:after="0"/>
              <w:rPr>
                <w:sz w:val="17"/>
                <w:szCs w:val="17"/>
                <w:color w:val="auto"/>
              </w:rPr>
            </w:pPr>
          </w:p>
        </w:tc>
        <w:tc>
          <w:tcPr>
            <w:tcW w:w="980" w:type="dxa"/>
            <w:vAlign w:val="bottom"/>
            <w:tcBorders>
              <w:bottom w:val="single" w:sz="8" w:color="auto"/>
            </w:tcBorders>
          </w:tcPr>
          <w:p>
            <w:pPr>
              <w:ind w:left="200"/>
              <w:spacing w:after="0"/>
              <w:rPr>
                <w:sz w:val="20"/>
                <w:szCs w:val="20"/>
                <w:color w:val="auto"/>
              </w:rPr>
            </w:pPr>
            <w:r>
              <w:rPr>
                <w:rFonts w:ascii="Times New Roman" w:cs="Times New Roman" w:eastAsia="Times New Roman" w:hAnsi="Times New Roman"/>
                <w:sz w:val="14"/>
                <w:szCs w:val="14"/>
                <w:b w:val="1"/>
                <w:bCs w:val="1"/>
                <w:color w:val="auto"/>
              </w:rPr>
              <w:t>2022</w:t>
            </w:r>
          </w:p>
        </w:tc>
        <w:tc>
          <w:tcPr>
            <w:tcW w:w="1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10"/>
        </w:trPr>
        <w:tc>
          <w:tcPr>
            <w:tcW w:w="68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Number of shares sold under such sales agreement:</w:t>
            </w: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8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2022 Sales Agreement</w:t>
            </w:r>
          </w:p>
        </w:tc>
        <w:tc>
          <w:tcPr>
            <w:tcW w:w="26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6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13,488,550</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2,185,750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8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May 2023 Sales Agreement</w:t>
            </w: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10,791,700</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1080" w:type="dxa"/>
            <w:vAlign w:val="bottom"/>
            <w:gridSpan w:val="2"/>
            <w:shd w:val="clear" w:color="auto" w:fill="CFF0FC"/>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0" w:type="dxa"/>
            <w:vAlign w:val="bottom"/>
          </w:tcPr>
          <w:p>
            <w:pPr>
              <w:spacing w:after="0"/>
              <w:rPr>
                <w:sz w:val="1"/>
                <w:szCs w:val="1"/>
                <w:color w:val="auto"/>
              </w:rPr>
            </w:pPr>
          </w:p>
        </w:tc>
      </w:tr>
      <w:tr>
        <w:trPr>
          <w:trHeight w:val="216"/>
        </w:trPr>
        <w:tc>
          <w:tcPr>
            <w:tcW w:w="68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August 2023 Sales Agreement</w:t>
            </w:r>
          </w:p>
        </w:tc>
        <w:tc>
          <w:tcPr>
            <w:tcW w:w="26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6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15,929,500</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1080" w:type="dxa"/>
            <w:vAlign w:val="bottom"/>
            <w:gridSpan w:val="2"/>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0" w:type="dxa"/>
            <w:vAlign w:val="bottom"/>
          </w:tcPr>
          <w:p>
            <w:pPr>
              <w:spacing w:after="0"/>
              <w:rPr>
                <w:sz w:val="1"/>
                <w:szCs w:val="1"/>
                <w:color w:val="auto"/>
              </w:rPr>
            </w:pPr>
          </w:p>
        </w:tc>
      </w:tr>
      <w:tr>
        <w:trPr>
          <w:trHeight w:val="216"/>
        </w:trPr>
        <w:tc>
          <w:tcPr>
            <w:tcW w:w="68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November 2023 Sales Agreement</w:t>
            </w: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1,951,620</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10,769,150</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1080" w:type="dxa"/>
            <w:vAlign w:val="bottom"/>
            <w:gridSpan w:val="2"/>
            <w:shd w:val="clear" w:color="auto" w:fill="CFF0FC"/>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0" w:type="dxa"/>
            <w:vAlign w:val="bottom"/>
          </w:tcPr>
          <w:p>
            <w:pPr>
              <w:spacing w:after="0"/>
              <w:rPr>
                <w:sz w:val="1"/>
                <w:szCs w:val="1"/>
                <w:color w:val="auto"/>
              </w:rPr>
            </w:pPr>
          </w:p>
        </w:tc>
      </w:tr>
      <w:tr>
        <w:trPr>
          <w:trHeight w:val="216"/>
        </w:trPr>
        <w:tc>
          <w:tcPr>
            <w:tcW w:w="68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August 2024 Sales Agreement</w:t>
            </w:r>
          </w:p>
        </w:tc>
        <w:tc>
          <w:tcPr>
            <w:tcW w:w="26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11,685,355</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60" w:type="dxa"/>
            <w:vAlign w:val="bottom"/>
          </w:tcPr>
          <w:p>
            <w:pPr>
              <w:spacing w:after="0"/>
              <w:rPr>
                <w:sz w:val="18"/>
                <w:szCs w:val="18"/>
                <w:color w:val="auto"/>
              </w:rPr>
            </w:pPr>
          </w:p>
        </w:tc>
        <w:tc>
          <w:tcPr>
            <w:tcW w:w="1240" w:type="dxa"/>
            <w:vAlign w:val="bottom"/>
            <w:gridSpan w:val="3"/>
          </w:tcPr>
          <w:p>
            <w:pPr>
              <w:ind w:left="740"/>
              <w:spacing w:after="0"/>
              <w:rPr>
                <w:sz w:val="20"/>
                <w:szCs w:val="20"/>
                <w:color w:val="auto"/>
              </w:rPr>
            </w:pPr>
            <w:r>
              <w:rPr>
                <w:rFonts w:ascii="Times New Roman" w:cs="Times New Roman" w:eastAsia="Times New Roman" w:hAnsi="Times New Roman"/>
                <w:sz w:val="18"/>
                <w:szCs w:val="18"/>
                <w:color w:val="auto"/>
              </w:rPr>
              <w:t>n/a</w:t>
            </w:r>
          </w:p>
        </w:tc>
        <w:tc>
          <w:tcPr>
            <w:tcW w:w="280" w:type="dxa"/>
            <w:vAlign w:val="bottom"/>
          </w:tcPr>
          <w:p>
            <w:pPr>
              <w:spacing w:after="0"/>
              <w:rPr>
                <w:sz w:val="18"/>
                <w:szCs w:val="18"/>
                <w:color w:val="auto"/>
              </w:rPr>
            </w:pPr>
          </w:p>
        </w:tc>
        <w:tc>
          <w:tcPr>
            <w:tcW w:w="1080" w:type="dxa"/>
            <w:vAlign w:val="bottom"/>
            <w:gridSpan w:val="2"/>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0" w:type="dxa"/>
            <w:vAlign w:val="bottom"/>
          </w:tcPr>
          <w:p>
            <w:pPr>
              <w:spacing w:after="0"/>
              <w:rPr>
                <w:sz w:val="1"/>
                <w:szCs w:val="1"/>
                <w:color w:val="auto"/>
              </w:rPr>
            </w:pPr>
          </w:p>
        </w:tc>
      </w:tr>
      <w:tr>
        <w:trPr>
          <w:trHeight w:val="216"/>
        </w:trPr>
        <w:tc>
          <w:tcPr>
            <w:tcW w:w="68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October 2024 Sales Agreement</w:t>
            </w: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38,671,537</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240" w:type="dxa"/>
            <w:vAlign w:val="bottom"/>
            <w:gridSpan w:val="3"/>
            <w:shd w:val="clear" w:color="auto" w:fill="CFF0FC"/>
          </w:tcPr>
          <w:p>
            <w:pPr>
              <w:ind w:left="740"/>
              <w:spacing w:after="0"/>
              <w:rPr>
                <w:sz w:val="20"/>
                <w:szCs w:val="20"/>
                <w:color w:val="auto"/>
              </w:rPr>
            </w:pPr>
            <w:r>
              <w:rPr>
                <w:rFonts w:ascii="Times New Roman" w:cs="Times New Roman" w:eastAsia="Times New Roman" w:hAnsi="Times New Roman"/>
                <w:sz w:val="18"/>
                <w:szCs w:val="18"/>
                <w:color w:val="auto"/>
              </w:rPr>
              <w:t>n/a</w:t>
            </w:r>
          </w:p>
        </w:tc>
        <w:tc>
          <w:tcPr>
            <w:tcW w:w="280" w:type="dxa"/>
            <w:vAlign w:val="bottom"/>
            <w:shd w:val="clear" w:color="auto" w:fill="CFF0FC"/>
          </w:tcPr>
          <w:p>
            <w:pPr>
              <w:spacing w:after="0"/>
              <w:rPr>
                <w:sz w:val="18"/>
                <w:szCs w:val="18"/>
                <w:color w:val="auto"/>
              </w:rPr>
            </w:pPr>
          </w:p>
        </w:tc>
        <w:tc>
          <w:tcPr>
            <w:tcW w:w="1080" w:type="dxa"/>
            <w:vAlign w:val="bottom"/>
            <w:gridSpan w:val="2"/>
            <w:shd w:val="clear" w:color="auto" w:fill="CFF0FC"/>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0" w:type="dxa"/>
            <w:vAlign w:val="bottom"/>
          </w:tcPr>
          <w:p>
            <w:pPr>
              <w:spacing w:after="0"/>
              <w:rPr>
                <w:sz w:val="1"/>
                <w:szCs w:val="1"/>
                <w:color w:val="auto"/>
              </w:rPr>
            </w:pPr>
          </w:p>
        </w:tc>
      </w:tr>
      <w:tr>
        <w:trPr>
          <w:trHeight w:val="210"/>
        </w:trPr>
        <w:tc>
          <w:tcPr>
            <w:tcW w:w="6880" w:type="dxa"/>
            <w:vAlign w:val="bottom"/>
            <w:tcBorders>
              <w:top w:val="single" w:sz="8" w:color="CFF0FC"/>
            </w:tcBorders>
          </w:tcPr>
          <w:p>
            <w:pPr>
              <w:ind w:left="200"/>
              <w:spacing w:after="0"/>
              <w:rPr>
                <w:sz w:val="20"/>
                <w:szCs w:val="20"/>
                <w:color w:val="auto"/>
              </w:rPr>
            </w:pPr>
            <w:r>
              <w:rPr>
                <w:rFonts w:ascii="Times New Roman" w:cs="Times New Roman" w:eastAsia="Times New Roman" w:hAnsi="Times New Roman"/>
                <w:sz w:val="18"/>
                <w:szCs w:val="18"/>
                <w:color w:val="auto"/>
              </w:rPr>
              <w:t>Total shares sold pursuant to at-the-market equity offering programs</w:t>
            </w:r>
          </w:p>
        </w:tc>
        <w:tc>
          <w:tcPr>
            <w:tcW w:w="260" w:type="dxa"/>
            <w:vAlign w:val="bottom"/>
            <w:tcBorders>
              <w:top w:val="single" w:sz="8" w:color="auto"/>
              <w:bottom w:val="single" w:sz="8" w:color="auto"/>
            </w:tcBorders>
          </w:tcPr>
          <w:p>
            <w:pPr>
              <w:spacing w:after="0"/>
              <w:rPr>
                <w:sz w:val="18"/>
                <w:szCs w:val="18"/>
                <w:color w:val="auto"/>
              </w:rPr>
            </w:pPr>
          </w:p>
        </w:tc>
        <w:tc>
          <w:tcPr>
            <w:tcW w:w="100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52,308,512</w:t>
            </w:r>
          </w:p>
        </w:tc>
        <w:tc>
          <w:tcPr>
            <w:tcW w:w="100" w:type="dxa"/>
            <w:vAlign w:val="bottom"/>
            <w:tcBorders>
              <w:top w:val="single" w:sz="8" w:color="CFF0FC"/>
            </w:tcBorders>
          </w:tcPr>
          <w:p>
            <w:pPr>
              <w:spacing w:after="0"/>
              <w:rPr>
                <w:sz w:val="18"/>
                <w:szCs w:val="18"/>
                <w:color w:val="auto"/>
              </w:rPr>
            </w:pPr>
          </w:p>
        </w:tc>
        <w:tc>
          <w:tcPr>
            <w:tcW w:w="140" w:type="dxa"/>
            <w:vAlign w:val="bottom"/>
            <w:tcBorders>
              <w:top w:val="single" w:sz="8" w:color="CFF0FC"/>
            </w:tcBorders>
          </w:tcPr>
          <w:p>
            <w:pPr>
              <w:spacing w:after="0"/>
              <w:rPr>
                <w:sz w:val="18"/>
                <w:szCs w:val="18"/>
                <w:color w:val="auto"/>
              </w:rPr>
            </w:pPr>
          </w:p>
        </w:tc>
        <w:tc>
          <w:tcPr>
            <w:tcW w:w="260" w:type="dxa"/>
            <w:vAlign w:val="bottom"/>
            <w:tcBorders>
              <w:top w:val="single" w:sz="8" w:color="auto"/>
              <w:bottom w:val="single" w:sz="8" w:color="auto"/>
            </w:tcBorders>
          </w:tcPr>
          <w:p>
            <w:pPr>
              <w:spacing w:after="0"/>
              <w:rPr>
                <w:sz w:val="18"/>
                <w:szCs w:val="18"/>
                <w:color w:val="auto"/>
              </w:rPr>
            </w:pPr>
          </w:p>
        </w:tc>
        <w:tc>
          <w:tcPr>
            <w:tcW w:w="100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50,978,900</w:t>
            </w:r>
          </w:p>
        </w:tc>
        <w:tc>
          <w:tcPr>
            <w:tcW w:w="100" w:type="dxa"/>
            <w:vAlign w:val="bottom"/>
            <w:tcBorders>
              <w:top w:val="single" w:sz="8" w:color="CFF0FC"/>
            </w:tcBorders>
          </w:tcPr>
          <w:p>
            <w:pPr>
              <w:spacing w:after="0"/>
              <w:rPr>
                <w:sz w:val="18"/>
                <w:szCs w:val="18"/>
                <w:color w:val="auto"/>
              </w:rPr>
            </w:pPr>
          </w:p>
        </w:tc>
        <w:tc>
          <w:tcPr>
            <w:tcW w:w="140" w:type="dxa"/>
            <w:vAlign w:val="bottom"/>
            <w:tcBorders>
              <w:top w:val="single" w:sz="8" w:color="CFF0FC"/>
            </w:tcBorders>
          </w:tcPr>
          <w:p>
            <w:pPr>
              <w:spacing w:after="0"/>
              <w:rPr>
                <w:sz w:val="18"/>
                <w:szCs w:val="18"/>
                <w:color w:val="auto"/>
              </w:rPr>
            </w:pPr>
          </w:p>
        </w:tc>
        <w:tc>
          <w:tcPr>
            <w:tcW w:w="280" w:type="dxa"/>
            <w:vAlign w:val="bottom"/>
            <w:tcBorders>
              <w:top w:val="single" w:sz="8" w:color="auto"/>
              <w:bottom w:val="single" w:sz="8" w:color="auto"/>
            </w:tcBorders>
          </w:tcPr>
          <w:p>
            <w:pPr>
              <w:spacing w:after="0"/>
              <w:rPr>
                <w:sz w:val="18"/>
                <w:szCs w:val="18"/>
                <w:color w:val="auto"/>
              </w:rPr>
            </w:pPr>
          </w:p>
        </w:tc>
        <w:tc>
          <w:tcPr>
            <w:tcW w:w="98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2,185,750</w:t>
            </w:r>
          </w:p>
        </w:tc>
        <w:tc>
          <w:tcPr>
            <w:tcW w:w="100" w:type="dxa"/>
            <w:vAlign w:val="bottom"/>
            <w:tcBorders>
              <w:top w:val="single" w:sz="8" w:color="CFF0FC"/>
            </w:tcBorders>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688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88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Net proceeds received from shares sold under such sales agreement:</w:t>
            </w:r>
          </w:p>
        </w:tc>
        <w:tc>
          <w:tcPr>
            <w:tcW w:w="260" w:type="dxa"/>
            <w:vAlign w:val="bottom"/>
          </w:tcPr>
          <w:p>
            <w:pPr>
              <w:spacing w:after="0"/>
              <w:rPr>
                <w:sz w:val="18"/>
                <w:szCs w:val="18"/>
                <w:color w:val="auto"/>
              </w:rPr>
            </w:pPr>
          </w:p>
        </w:tc>
        <w:tc>
          <w:tcPr>
            <w:tcW w:w="10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60" w:type="dxa"/>
            <w:vAlign w:val="bottom"/>
          </w:tcPr>
          <w:p>
            <w:pPr>
              <w:spacing w:after="0"/>
              <w:rPr>
                <w:sz w:val="18"/>
                <w:szCs w:val="18"/>
                <w:color w:val="auto"/>
              </w:rPr>
            </w:pPr>
          </w:p>
        </w:tc>
        <w:tc>
          <w:tcPr>
            <w:tcW w:w="10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8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2022 Sales Agreement</w:t>
            </w: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338,962</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46,219</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68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May 2023 Sales Agreement</w:t>
            </w:r>
          </w:p>
        </w:tc>
        <w:tc>
          <w:tcPr>
            <w:tcW w:w="26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6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333,494</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1080" w:type="dxa"/>
            <w:vAlign w:val="bottom"/>
            <w:gridSpan w:val="2"/>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0" w:type="dxa"/>
            <w:vAlign w:val="bottom"/>
          </w:tcPr>
          <w:p>
            <w:pPr>
              <w:spacing w:after="0"/>
              <w:rPr>
                <w:sz w:val="1"/>
                <w:szCs w:val="1"/>
                <w:color w:val="auto"/>
              </w:rPr>
            </w:pPr>
          </w:p>
        </w:tc>
      </w:tr>
      <w:tr>
        <w:trPr>
          <w:trHeight w:val="216"/>
        </w:trPr>
        <w:tc>
          <w:tcPr>
            <w:tcW w:w="68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August 2023 Sales Agreement</w:t>
            </w: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737,760</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1080" w:type="dxa"/>
            <w:vAlign w:val="bottom"/>
            <w:gridSpan w:val="2"/>
            <w:shd w:val="clear" w:color="auto" w:fill="CFF0FC"/>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0" w:type="dxa"/>
            <w:vAlign w:val="bottom"/>
          </w:tcPr>
          <w:p>
            <w:pPr>
              <w:spacing w:after="0"/>
              <w:rPr>
                <w:sz w:val="1"/>
                <w:szCs w:val="1"/>
                <w:color w:val="auto"/>
              </w:rPr>
            </w:pPr>
          </w:p>
        </w:tc>
      </w:tr>
      <w:tr>
        <w:trPr>
          <w:trHeight w:val="216"/>
        </w:trPr>
        <w:tc>
          <w:tcPr>
            <w:tcW w:w="68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November 2023 Sales Agreement</w:t>
            </w:r>
          </w:p>
        </w:tc>
        <w:tc>
          <w:tcPr>
            <w:tcW w:w="26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137,152</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6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609,873</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1080" w:type="dxa"/>
            <w:vAlign w:val="bottom"/>
            <w:gridSpan w:val="2"/>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0" w:type="dxa"/>
            <w:vAlign w:val="bottom"/>
          </w:tcPr>
          <w:p>
            <w:pPr>
              <w:spacing w:after="0"/>
              <w:rPr>
                <w:sz w:val="1"/>
                <w:szCs w:val="1"/>
                <w:color w:val="auto"/>
              </w:rPr>
            </w:pPr>
          </w:p>
        </w:tc>
      </w:tr>
      <w:tr>
        <w:trPr>
          <w:trHeight w:val="216"/>
        </w:trPr>
        <w:tc>
          <w:tcPr>
            <w:tcW w:w="688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August 2024 Sales Agreement</w:t>
            </w:r>
          </w:p>
        </w:tc>
        <w:tc>
          <w:tcPr>
            <w:tcW w:w="26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1,993,273</w:t>
            </w:r>
          </w:p>
        </w:tc>
        <w:tc>
          <w:tcPr>
            <w:tcW w:w="10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240" w:type="dxa"/>
            <w:vAlign w:val="bottom"/>
            <w:gridSpan w:val="3"/>
            <w:shd w:val="clear" w:color="auto" w:fill="CFF0FC"/>
          </w:tcPr>
          <w:p>
            <w:pPr>
              <w:ind w:left="740"/>
              <w:spacing w:after="0"/>
              <w:rPr>
                <w:sz w:val="20"/>
                <w:szCs w:val="20"/>
                <w:color w:val="auto"/>
              </w:rPr>
            </w:pPr>
            <w:r>
              <w:rPr>
                <w:rFonts w:ascii="Times New Roman" w:cs="Times New Roman" w:eastAsia="Times New Roman" w:hAnsi="Times New Roman"/>
                <w:sz w:val="18"/>
                <w:szCs w:val="18"/>
                <w:color w:val="auto"/>
              </w:rPr>
              <w:t>n/a</w:t>
            </w:r>
          </w:p>
        </w:tc>
        <w:tc>
          <w:tcPr>
            <w:tcW w:w="280" w:type="dxa"/>
            <w:vAlign w:val="bottom"/>
            <w:shd w:val="clear" w:color="auto" w:fill="CFF0FC"/>
          </w:tcPr>
          <w:p>
            <w:pPr>
              <w:spacing w:after="0"/>
              <w:rPr>
                <w:sz w:val="18"/>
                <w:szCs w:val="18"/>
                <w:color w:val="auto"/>
              </w:rPr>
            </w:pPr>
          </w:p>
        </w:tc>
        <w:tc>
          <w:tcPr>
            <w:tcW w:w="1080" w:type="dxa"/>
            <w:vAlign w:val="bottom"/>
            <w:gridSpan w:val="2"/>
            <w:shd w:val="clear" w:color="auto" w:fill="CFF0FC"/>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0" w:type="dxa"/>
            <w:vAlign w:val="bottom"/>
          </w:tcPr>
          <w:p>
            <w:pPr>
              <w:spacing w:after="0"/>
              <w:rPr>
                <w:sz w:val="1"/>
                <w:szCs w:val="1"/>
                <w:color w:val="auto"/>
              </w:rPr>
            </w:pPr>
          </w:p>
        </w:tc>
      </w:tr>
      <w:tr>
        <w:trPr>
          <w:trHeight w:val="216"/>
        </w:trPr>
        <w:tc>
          <w:tcPr>
            <w:tcW w:w="688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October 2024 Sales Agreement</w:t>
            </w:r>
          </w:p>
        </w:tc>
        <w:tc>
          <w:tcPr>
            <w:tcW w:w="260" w:type="dxa"/>
            <w:vAlign w:val="bottom"/>
            <w:tcBorders>
              <w:bottom w:val="single" w:sz="8" w:color="auto"/>
            </w:tcBorders>
          </w:tcPr>
          <w:p>
            <w:pPr>
              <w:spacing w:after="0"/>
              <w:rPr>
                <w:sz w:val="18"/>
                <w:szCs w:val="18"/>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14,199,432</w:t>
            </w:r>
          </w:p>
        </w:tc>
        <w:tc>
          <w:tcPr>
            <w:tcW w:w="1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60" w:type="dxa"/>
            <w:vAlign w:val="bottom"/>
            <w:tcBorders>
              <w:bottom w:val="single" w:sz="8" w:color="auto"/>
            </w:tcBorders>
          </w:tcPr>
          <w:p>
            <w:pPr>
              <w:spacing w:after="0"/>
              <w:rPr>
                <w:sz w:val="18"/>
                <w:szCs w:val="18"/>
                <w:color w:val="auto"/>
              </w:rPr>
            </w:pPr>
          </w:p>
        </w:tc>
        <w:tc>
          <w:tcPr>
            <w:tcW w:w="1000" w:type="dxa"/>
            <w:vAlign w:val="bottom"/>
            <w:tcBorders>
              <w:bottom w:val="single" w:sz="8" w:color="auto"/>
            </w:tcBorders>
          </w:tcPr>
          <w:p>
            <w:pPr>
              <w:ind w:left="740"/>
              <w:spacing w:after="0"/>
              <w:rPr>
                <w:sz w:val="20"/>
                <w:szCs w:val="20"/>
                <w:color w:val="auto"/>
              </w:rPr>
            </w:pPr>
            <w:r>
              <w:rPr>
                <w:rFonts w:ascii="Times New Roman" w:cs="Times New Roman" w:eastAsia="Times New Roman" w:hAnsi="Times New Roman"/>
                <w:sz w:val="18"/>
                <w:szCs w:val="18"/>
                <w:color w:val="auto"/>
              </w:rPr>
              <w:t>n/a</w:t>
            </w:r>
          </w:p>
        </w:tc>
        <w:tc>
          <w:tcPr>
            <w:tcW w:w="240" w:type="dxa"/>
            <w:vAlign w:val="bottom"/>
            <w:gridSpan w:val="2"/>
          </w:tcPr>
          <w:p>
            <w:pPr>
              <w:spacing w:after="0"/>
              <w:rPr>
                <w:sz w:val="18"/>
                <w:szCs w:val="18"/>
                <w:color w:val="auto"/>
              </w:rPr>
            </w:pPr>
          </w:p>
        </w:tc>
        <w:tc>
          <w:tcPr>
            <w:tcW w:w="28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ind w:left="720"/>
              <w:spacing w:after="0"/>
              <w:rPr>
                <w:sz w:val="20"/>
                <w:szCs w:val="20"/>
                <w:color w:val="auto"/>
              </w:rPr>
            </w:pPr>
            <w:r>
              <w:rPr>
                <w:rFonts w:ascii="Times New Roman" w:cs="Times New Roman" w:eastAsia="Times New Roman" w:hAnsi="Times New Roman"/>
                <w:sz w:val="18"/>
                <w:szCs w:val="18"/>
                <w:color w:val="auto"/>
              </w:rPr>
              <w:t>n/a</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191"/>
        </w:trPr>
        <w:tc>
          <w:tcPr>
            <w:tcW w:w="6880" w:type="dxa"/>
            <w:vAlign w:val="bottom"/>
            <w:shd w:val="clear" w:color="auto" w:fill="CFF0FC"/>
          </w:tcPr>
          <w:p>
            <w:pPr>
              <w:ind w:left="200"/>
              <w:spacing w:after="0" w:line="191" w:lineRule="exact"/>
              <w:rPr>
                <w:sz w:val="20"/>
                <w:szCs w:val="20"/>
                <w:color w:val="auto"/>
              </w:rPr>
            </w:pPr>
            <w:r>
              <w:rPr>
                <w:rFonts w:ascii="Times New Roman" w:cs="Times New Roman" w:eastAsia="Times New Roman" w:hAnsi="Times New Roman"/>
                <w:sz w:val="18"/>
                <w:szCs w:val="18"/>
                <w:color w:val="auto"/>
              </w:rPr>
              <w:t>Total net proceeds received from shares sold pursuant to at-the-market equity offering</w:t>
            </w:r>
          </w:p>
        </w:tc>
        <w:tc>
          <w:tcPr>
            <w:tcW w:w="260" w:type="dxa"/>
            <w:vAlign w:val="bottom"/>
            <w:vMerge w:val="restart"/>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16,329,857</w:t>
            </w:r>
          </w:p>
        </w:tc>
        <w:tc>
          <w:tcPr>
            <w:tcW w:w="500" w:type="dxa"/>
            <w:vAlign w:val="bottom"/>
            <w:gridSpan w:val="3"/>
            <w:vMerge w:val="restart"/>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2,020,089</w:t>
            </w:r>
          </w:p>
        </w:tc>
        <w:tc>
          <w:tcPr>
            <w:tcW w:w="10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280" w:type="dxa"/>
            <w:vAlign w:val="bottom"/>
            <w:vMerge w:val="restart"/>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46,219</w:t>
            </w:r>
          </w:p>
        </w:tc>
        <w:tc>
          <w:tcPr>
            <w:tcW w:w="10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13"/>
        </w:trPr>
        <w:tc>
          <w:tcPr>
            <w:tcW w:w="6880" w:type="dxa"/>
            <w:vAlign w:val="bottom"/>
            <w:vMerge w:val="restart"/>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programs</w:t>
            </w:r>
          </w:p>
        </w:tc>
        <w:tc>
          <w:tcPr>
            <w:tcW w:w="260" w:type="dxa"/>
            <w:vAlign w:val="bottom"/>
            <w:vMerge w:val="continue"/>
            <w:shd w:val="clear" w:color="auto" w:fill="CFF0FC"/>
          </w:tcPr>
          <w:p>
            <w:pPr>
              <w:spacing w:after="0"/>
              <w:rPr>
                <w:sz w:val="9"/>
                <w:szCs w:val="9"/>
                <w:color w:val="auto"/>
              </w:rPr>
            </w:pPr>
          </w:p>
        </w:tc>
        <w:tc>
          <w:tcPr>
            <w:tcW w:w="1000" w:type="dxa"/>
            <w:vAlign w:val="bottom"/>
            <w:vMerge w:val="continue"/>
            <w:shd w:val="clear" w:color="auto" w:fill="CFF0FC"/>
          </w:tcPr>
          <w:p>
            <w:pPr>
              <w:spacing w:after="0"/>
              <w:rPr>
                <w:sz w:val="9"/>
                <w:szCs w:val="9"/>
                <w:color w:val="auto"/>
              </w:rPr>
            </w:pPr>
          </w:p>
        </w:tc>
        <w:tc>
          <w:tcPr>
            <w:tcW w:w="500" w:type="dxa"/>
            <w:vAlign w:val="bottom"/>
            <w:gridSpan w:val="3"/>
            <w:vMerge w:val="continue"/>
            <w:shd w:val="clear" w:color="auto" w:fill="CFF0FC"/>
          </w:tcPr>
          <w:p>
            <w:pPr>
              <w:spacing w:after="0"/>
              <w:rPr>
                <w:sz w:val="9"/>
                <w:szCs w:val="9"/>
                <w:color w:val="auto"/>
              </w:rPr>
            </w:pPr>
          </w:p>
        </w:tc>
        <w:tc>
          <w:tcPr>
            <w:tcW w:w="1000" w:type="dxa"/>
            <w:vAlign w:val="bottom"/>
            <w:vMerge w:val="continue"/>
            <w:shd w:val="clear" w:color="auto" w:fill="CFF0FC"/>
          </w:tcPr>
          <w:p>
            <w:pPr>
              <w:spacing w:after="0"/>
              <w:rPr>
                <w:sz w:val="9"/>
                <w:szCs w:val="9"/>
                <w:color w:val="auto"/>
              </w:rPr>
            </w:pPr>
          </w:p>
        </w:tc>
        <w:tc>
          <w:tcPr>
            <w:tcW w:w="100" w:type="dxa"/>
            <w:vAlign w:val="bottom"/>
            <w:shd w:val="clear" w:color="auto" w:fill="CFF0FC"/>
          </w:tcPr>
          <w:p>
            <w:pPr>
              <w:spacing w:after="0"/>
              <w:rPr>
                <w:sz w:val="9"/>
                <w:szCs w:val="9"/>
                <w:color w:val="auto"/>
              </w:rPr>
            </w:pPr>
          </w:p>
        </w:tc>
        <w:tc>
          <w:tcPr>
            <w:tcW w:w="140" w:type="dxa"/>
            <w:vAlign w:val="bottom"/>
            <w:shd w:val="clear" w:color="auto" w:fill="CFF0FC"/>
          </w:tcPr>
          <w:p>
            <w:pPr>
              <w:spacing w:after="0"/>
              <w:rPr>
                <w:sz w:val="9"/>
                <w:szCs w:val="9"/>
                <w:color w:val="auto"/>
              </w:rPr>
            </w:pPr>
          </w:p>
        </w:tc>
        <w:tc>
          <w:tcPr>
            <w:tcW w:w="280" w:type="dxa"/>
            <w:vAlign w:val="bottom"/>
            <w:vMerge w:val="continue"/>
            <w:shd w:val="clear" w:color="auto" w:fill="CFF0FC"/>
          </w:tcPr>
          <w:p>
            <w:pPr>
              <w:spacing w:after="0"/>
              <w:rPr>
                <w:sz w:val="9"/>
                <w:szCs w:val="9"/>
                <w:color w:val="auto"/>
              </w:rPr>
            </w:pPr>
          </w:p>
        </w:tc>
        <w:tc>
          <w:tcPr>
            <w:tcW w:w="980" w:type="dxa"/>
            <w:vAlign w:val="bottom"/>
            <w:vMerge w:val="continue"/>
            <w:shd w:val="clear" w:color="auto" w:fill="CFF0FC"/>
          </w:tcPr>
          <w:p>
            <w:pPr>
              <w:spacing w:after="0"/>
              <w:rPr>
                <w:sz w:val="9"/>
                <w:szCs w:val="9"/>
                <w:color w:val="auto"/>
              </w:rPr>
            </w:pPr>
          </w:p>
        </w:tc>
        <w:tc>
          <w:tcPr>
            <w:tcW w:w="100" w:type="dxa"/>
            <w:vAlign w:val="bottom"/>
            <w:shd w:val="clear" w:color="auto" w:fill="CFF0FC"/>
          </w:tcPr>
          <w:p>
            <w:pPr>
              <w:spacing w:after="0"/>
              <w:rPr>
                <w:sz w:val="9"/>
                <w:szCs w:val="9"/>
                <w:color w:val="auto"/>
              </w:rPr>
            </w:pPr>
          </w:p>
        </w:tc>
        <w:tc>
          <w:tcPr>
            <w:tcW w:w="0" w:type="dxa"/>
            <w:vAlign w:val="bottom"/>
          </w:tcPr>
          <w:p>
            <w:pPr>
              <w:spacing w:after="0"/>
              <w:rPr>
                <w:sz w:val="1"/>
                <w:szCs w:val="1"/>
                <w:color w:val="auto"/>
              </w:rPr>
            </w:pPr>
          </w:p>
        </w:tc>
      </w:tr>
      <w:tr>
        <w:trPr>
          <w:trHeight w:val="108"/>
        </w:trPr>
        <w:tc>
          <w:tcPr>
            <w:tcW w:w="6880" w:type="dxa"/>
            <w:vAlign w:val="bottom"/>
            <w:tcBorders>
              <w:bottom w:val="single" w:sz="8" w:color="CFF0FC"/>
            </w:tcBorders>
            <w:vMerge w:val="continue"/>
            <w:shd w:val="clear" w:color="auto" w:fill="CFF0FC"/>
          </w:tcPr>
          <w:p>
            <w:pPr>
              <w:spacing w:after="0"/>
              <w:rPr>
                <w:sz w:val="9"/>
                <w:szCs w:val="9"/>
                <w:color w:val="auto"/>
              </w:rPr>
            </w:pPr>
          </w:p>
        </w:tc>
        <w:tc>
          <w:tcPr>
            <w:tcW w:w="260" w:type="dxa"/>
            <w:vAlign w:val="bottom"/>
            <w:tcBorders>
              <w:bottom w:val="single" w:sz="8" w:color="auto"/>
            </w:tcBorders>
            <w:shd w:val="clear" w:color="auto" w:fill="CFF0FC"/>
          </w:tcPr>
          <w:p>
            <w:pPr>
              <w:spacing w:after="0"/>
              <w:rPr>
                <w:sz w:val="9"/>
                <w:szCs w:val="9"/>
                <w:color w:val="auto"/>
              </w:rPr>
            </w:pPr>
          </w:p>
        </w:tc>
        <w:tc>
          <w:tcPr>
            <w:tcW w:w="1000" w:type="dxa"/>
            <w:vAlign w:val="bottom"/>
            <w:tcBorders>
              <w:bottom w:val="single" w:sz="8" w:color="auto"/>
            </w:tcBorders>
            <w:shd w:val="clear" w:color="auto" w:fill="CFF0FC"/>
          </w:tcPr>
          <w:p>
            <w:pPr>
              <w:spacing w:after="0"/>
              <w:rPr>
                <w:sz w:val="9"/>
                <w:szCs w:val="9"/>
                <w:color w:val="auto"/>
              </w:rPr>
            </w:pPr>
          </w:p>
        </w:tc>
        <w:tc>
          <w:tcPr>
            <w:tcW w:w="100" w:type="dxa"/>
            <w:vAlign w:val="bottom"/>
            <w:tcBorders>
              <w:bottom w:val="single" w:sz="8" w:color="CFF0FC"/>
            </w:tcBorders>
            <w:shd w:val="clear" w:color="auto" w:fill="CFF0FC"/>
          </w:tcPr>
          <w:p>
            <w:pPr>
              <w:spacing w:after="0"/>
              <w:rPr>
                <w:sz w:val="9"/>
                <w:szCs w:val="9"/>
                <w:color w:val="auto"/>
              </w:rPr>
            </w:pPr>
          </w:p>
        </w:tc>
        <w:tc>
          <w:tcPr>
            <w:tcW w:w="140" w:type="dxa"/>
            <w:vAlign w:val="bottom"/>
            <w:tcBorders>
              <w:bottom w:val="single" w:sz="8" w:color="CFF0FC"/>
            </w:tcBorders>
            <w:shd w:val="clear" w:color="auto" w:fill="CFF0FC"/>
          </w:tcPr>
          <w:p>
            <w:pPr>
              <w:spacing w:after="0"/>
              <w:rPr>
                <w:sz w:val="9"/>
                <w:szCs w:val="9"/>
                <w:color w:val="auto"/>
              </w:rPr>
            </w:pPr>
          </w:p>
        </w:tc>
        <w:tc>
          <w:tcPr>
            <w:tcW w:w="260" w:type="dxa"/>
            <w:vAlign w:val="bottom"/>
            <w:tcBorders>
              <w:bottom w:val="single" w:sz="8" w:color="auto"/>
            </w:tcBorders>
            <w:shd w:val="clear" w:color="auto" w:fill="CFF0FC"/>
          </w:tcPr>
          <w:p>
            <w:pPr>
              <w:spacing w:after="0"/>
              <w:rPr>
                <w:sz w:val="9"/>
                <w:szCs w:val="9"/>
                <w:color w:val="auto"/>
              </w:rPr>
            </w:pPr>
          </w:p>
        </w:tc>
        <w:tc>
          <w:tcPr>
            <w:tcW w:w="1000" w:type="dxa"/>
            <w:vAlign w:val="bottom"/>
            <w:tcBorders>
              <w:bottom w:val="single" w:sz="8" w:color="auto"/>
            </w:tcBorders>
            <w:shd w:val="clear" w:color="auto" w:fill="CFF0FC"/>
          </w:tcPr>
          <w:p>
            <w:pPr>
              <w:spacing w:after="0"/>
              <w:rPr>
                <w:sz w:val="9"/>
                <w:szCs w:val="9"/>
                <w:color w:val="auto"/>
              </w:rPr>
            </w:pPr>
          </w:p>
        </w:tc>
        <w:tc>
          <w:tcPr>
            <w:tcW w:w="100" w:type="dxa"/>
            <w:vAlign w:val="bottom"/>
            <w:tcBorders>
              <w:bottom w:val="single" w:sz="8" w:color="CFF0FC"/>
            </w:tcBorders>
            <w:shd w:val="clear" w:color="auto" w:fill="CFF0FC"/>
          </w:tcPr>
          <w:p>
            <w:pPr>
              <w:spacing w:after="0"/>
              <w:rPr>
                <w:sz w:val="9"/>
                <w:szCs w:val="9"/>
                <w:color w:val="auto"/>
              </w:rPr>
            </w:pPr>
          </w:p>
        </w:tc>
        <w:tc>
          <w:tcPr>
            <w:tcW w:w="140" w:type="dxa"/>
            <w:vAlign w:val="bottom"/>
            <w:tcBorders>
              <w:bottom w:val="single" w:sz="8" w:color="CFF0FC"/>
            </w:tcBorders>
            <w:shd w:val="clear" w:color="auto" w:fill="CFF0FC"/>
          </w:tcPr>
          <w:p>
            <w:pPr>
              <w:spacing w:after="0"/>
              <w:rPr>
                <w:sz w:val="9"/>
                <w:szCs w:val="9"/>
                <w:color w:val="auto"/>
              </w:rPr>
            </w:pPr>
          </w:p>
        </w:tc>
        <w:tc>
          <w:tcPr>
            <w:tcW w:w="280" w:type="dxa"/>
            <w:vAlign w:val="bottom"/>
            <w:tcBorders>
              <w:bottom w:val="single" w:sz="8" w:color="auto"/>
            </w:tcBorders>
            <w:shd w:val="clear" w:color="auto" w:fill="CFF0FC"/>
          </w:tcPr>
          <w:p>
            <w:pPr>
              <w:spacing w:after="0"/>
              <w:rPr>
                <w:sz w:val="9"/>
                <w:szCs w:val="9"/>
                <w:color w:val="auto"/>
              </w:rPr>
            </w:pPr>
          </w:p>
        </w:tc>
        <w:tc>
          <w:tcPr>
            <w:tcW w:w="980" w:type="dxa"/>
            <w:vAlign w:val="bottom"/>
            <w:tcBorders>
              <w:bottom w:val="single" w:sz="8" w:color="auto"/>
            </w:tcBorders>
            <w:shd w:val="clear" w:color="auto" w:fill="CFF0FC"/>
          </w:tcPr>
          <w:p>
            <w:pPr>
              <w:spacing w:after="0"/>
              <w:rPr>
                <w:sz w:val="9"/>
                <w:szCs w:val="9"/>
                <w:color w:val="auto"/>
              </w:rPr>
            </w:pPr>
          </w:p>
        </w:tc>
        <w:tc>
          <w:tcPr>
            <w:tcW w:w="100" w:type="dxa"/>
            <w:vAlign w:val="bottom"/>
            <w:tcBorders>
              <w:bottom w:val="single" w:sz="8" w:color="CFF0FC"/>
            </w:tcBorders>
            <w:shd w:val="clear" w:color="auto" w:fill="CFF0FC"/>
          </w:tcPr>
          <w:p>
            <w:pPr>
              <w:spacing w:after="0"/>
              <w:rPr>
                <w:sz w:val="9"/>
                <w:szCs w:val="9"/>
                <w:color w:val="auto"/>
              </w:rPr>
            </w:pPr>
          </w:p>
        </w:tc>
        <w:tc>
          <w:tcPr>
            <w:tcW w:w="0" w:type="dxa"/>
            <w:vAlign w:val="bottom"/>
          </w:tcPr>
          <w:p>
            <w:pPr>
              <w:spacing w:after="0"/>
              <w:rPr>
                <w:sz w:val="1"/>
                <w:szCs w:val="1"/>
                <w:color w:val="auto"/>
              </w:rPr>
            </w:pPr>
          </w:p>
        </w:tc>
      </w:tr>
      <w:tr>
        <w:trPr>
          <w:trHeight w:val="641"/>
        </w:trPr>
        <w:tc>
          <w:tcPr>
            <w:tcW w:w="6880" w:type="dxa"/>
            <w:vAlign w:val="bottom"/>
          </w:tcPr>
          <w:p>
            <w:pPr>
              <w:ind w:left="5480"/>
              <w:spacing w:after="0"/>
              <w:rPr>
                <w:sz w:val="20"/>
                <w:szCs w:val="20"/>
                <w:color w:val="auto"/>
              </w:rPr>
            </w:pPr>
            <w:r>
              <w:rPr>
                <w:rFonts w:ascii="Times New Roman" w:cs="Times New Roman" w:eastAsia="Times New Roman" w:hAnsi="Times New Roman"/>
                <w:sz w:val="18"/>
                <w:szCs w:val="18"/>
                <w:color w:val="auto"/>
              </w:rPr>
              <w:t>110</w:t>
            </w:r>
          </w:p>
        </w:tc>
        <w:tc>
          <w:tcPr>
            <w:tcW w:w="260" w:type="dxa"/>
            <w:vAlign w:val="bottom"/>
          </w:tcPr>
          <w:p>
            <w:pPr>
              <w:spacing w:after="0"/>
              <w:rPr>
                <w:sz w:val="24"/>
                <w:szCs w:val="24"/>
                <w:color w:val="auto"/>
              </w:rPr>
            </w:pPr>
          </w:p>
        </w:tc>
        <w:tc>
          <w:tcPr>
            <w:tcW w:w="100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100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9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63"/>
        </w:trPr>
        <w:tc>
          <w:tcPr>
            <w:tcW w:w="6880" w:type="dxa"/>
            <w:vAlign w:val="bottom"/>
            <w:tcBorders>
              <w:bottom w:val="single" w:sz="8" w:color="9A9A9A"/>
            </w:tcBorders>
          </w:tcPr>
          <w:p>
            <w:pPr>
              <w:spacing w:after="0"/>
              <w:rPr>
                <w:sz w:val="24"/>
                <w:szCs w:val="24"/>
                <w:color w:val="auto"/>
              </w:rPr>
            </w:pPr>
          </w:p>
        </w:tc>
        <w:tc>
          <w:tcPr>
            <w:tcW w:w="260" w:type="dxa"/>
            <w:vAlign w:val="bottom"/>
            <w:tcBorders>
              <w:bottom w:val="single" w:sz="8" w:color="9A9A9A"/>
            </w:tcBorders>
          </w:tcPr>
          <w:p>
            <w:pPr>
              <w:spacing w:after="0"/>
              <w:rPr>
                <w:sz w:val="24"/>
                <w:szCs w:val="24"/>
                <w:color w:val="auto"/>
              </w:rPr>
            </w:pPr>
          </w:p>
        </w:tc>
        <w:tc>
          <w:tcPr>
            <w:tcW w:w="10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260" w:type="dxa"/>
            <w:vAlign w:val="bottom"/>
            <w:tcBorders>
              <w:bottom w:val="single" w:sz="8" w:color="9A9A9A"/>
            </w:tcBorders>
          </w:tcPr>
          <w:p>
            <w:pPr>
              <w:spacing w:after="0"/>
              <w:rPr>
                <w:sz w:val="24"/>
                <w:szCs w:val="24"/>
                <w:color w:val="auto"/>
              </w:rPr>
            </w:pPr>
          </w:p>
        </w:tc>
        <w:tc>
          <w:tcPr>
            <w:tcW w:w="10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9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5165725</wp:posOffset>
            </wp:positionH>
            <wp:positionV relativeFrom="paragraph">
              <wp:posOffset>-2442210</wp:posOffset>
            </wp:positionV>
            <wp:extent cx="68580" cy="8255"/>
            <wp:wrapNone/>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46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6116955</wp:posOffset>
            </wp:positionH>
            <wp:positionV relativeFrom="paragraph">
              <wp:posOffset>-2442210</wp:posOffset>
            </wp:positionV>
            <wp:extent cx="68580" cy="8255"/>
            <wp:wrapNone/>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47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-2442210</wp:posOffset>
            </wp:positionV>
            <wp:extent cx="68580" cy="8255"/>
            <wp:wrapNone/>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47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5165725</wp:posOffset>
            </wp:positionH>
            <wp:positionV relativeFrom="paragraph">
              <wp:posOffset>-916305</wp:posOffset>
            </wp:positionV>
            <wp:extent cx="68580" cy="8255"/>
            <wp:wrapNone/>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47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6116955</wp:posOffset>
            </wp:positionH>
            <wp:positionV relativeFrom="paragraph">
              <wp:posOffset>-916305</wp:posOffset>
            </wp:positionV>
            <wp:extent cx="68580" cy="8255"/>
            <wp:wrapNone/>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47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-916305</wp:posOffset>
            </wp:positionV>
            <wp:extent cx="68580" cy="8255"/>
            <wp:wrapNone/>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47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75">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476">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224" w:right="339" w:bottom="1440" w:gutter="0" w:footer="0" w:header="0"/>
        </w:sectPr>
      </w:pPr>
    </w:p>
    <w:bookmarkStart w:id="110" w:name="page111"/>
    <w:bookmarkEnd w:id="110"/>
    <w:p>
      <w:pPr>
        <w:jc w:val="both"/>
        <w:spacing w:after="0" w:line="282" w:lineRule="auto"/>
        <w:rPr>
          <w:sz w:val="20"/>
          <w:szCs w:val="20"/>
          <w:color w:val="auto"/>
        </w:rPr>
      </w:pPr>
      <w:r>
        <w:rPr>
          <w:rFonts w:ascii="Times New Roman" w:cs="Times New Roman" w:eastAsia="Times New Roman" w:hAnsi="Times New Roman"/>
          <w:sz w:val="18"/>
          <w:szCs w:val="18"/>
          <w:color w:val="auto"/>
        </w:rPr>
        <w:t>The sales commissions and expenses related to each of the above at-the-market equity offering programs are considered direct and incremental costs and are charged against “Additional paid-in capital” on the Consolidated Balance Sheet in the period in which the corresponding shares are issued and sold.</w:t>
      </w:r>
    </w:p>
    <w:p>
      <w:pPr>
        <w:spacing w:after="0" w:line="3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(14) Treasury Stock</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Board of Directors previously authorized the Company’s repurchase of up to an aggregate of $800.0 million of its class A common stock from time to time on the open market through April 29, 2023 under the Share Repurchase Program. The Share Repurchase Program expired by its own terms on April 29, 2023, and no shares of the Company’s class A common stock remain available for repurchase under the Share Repurchase Program. At the time of expiration, the Company had repurchased an aggregate of 5,674,226 shares of its class A common stock at an average price per share of $104.13 and an aggregate cost of $590.9 million pursuant to the Share Repurchase Program. The average price per share and aggregate cost amounts disclosed above include broker commissions. During 2023 and 2022, the Company did not repurchase any shares of its class A common stock pursuant to the Share Repurchase Program.</w:t>
      </w:r>
    </w:p>
    <w:p>
      <w:pPr>
        <w:spacing w:after="0" w:line="8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the fourth quarter of 2024, the Company retired all 8,684,291 shares of its class A common stock previously held in treasury and returned the shares to the status of authorized, but unissued. Upon retirement, it is the Company’s policy to allocate the excess of the aggregated purchase price of the shares being retired over their par value, first to additional paid in capital (based on the proportion of shares retired to the number of total shares issued, applied to the additional paid in capital balance, each as of the retirement date) and then any remaining portion to retained earnings (deficit).</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(15) Employee Benefit Plan</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Company sponsors a benefit plan to provide retirement benefits for its employees, known as the MicroStrategy 401(k) Savings Plan (the “401(k) Plan”). Participants may make voluntary contributions to the 401(k) Plan of up to 75% (and prior to September 30, 2022, up to 50%) of their annual base pre-tax compensation, cash bonuses, and commissions not to exceed the federally determined maximum allowable contribution amounts. Participants may designate all or a portion of the 401(k) Plan elective deferral contributions as Roth elective deferral contributions instead of pre-tax elective deferral contributions. The 401(k) Plan permits for discretionary Company contributions.</w:t>
      </w:r>
    </w:p>
    <w:p>
      <w:pPr>
        <w:spacing w:after="0" w:line="7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makes a matching contribution to each 401(k) Plan participant in the amount of 50% of the first 12% of a participant’s contributions, up to a maximum of $5,000 per year. Further, all active participants become fully vested in the Company’s matching contributions after completing four years of employment, vesting in 25% increments at the end of each year of employment with the Company.</w:t>
      </w:r>
    </w:p>
    <w:p>
      <w:pPr>
        <w:spacing w:after="0" w:line="6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 made contributions to the 401(k) Plan totaling $2.3 million, $2.8 million, and $3.1 million during the years ended December 31, 2024, 2023, and 2022, respectively.</w:t>
      </w:r>
    </w:p>
    <w:p>
      <w:pPr>
        <w:spacing w:after="0" w:line="37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111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7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28" w:right="339" w:bottom="1440" w:gutter="0" w:footer="0" w:header="0"/>
        </w:sectPr>
      </w:pPr>
    </w:p>
    <w:bookmarkStart w:id="111" w:name="page112"/>
    <w:bookmarkEnd w:id="111"/>
    <w:p>
      <w:pPr>
        <w:spacing w:after="0"/>
        <w:rPr>
          <w:sz w:val="20"/>
          <w:szCs w:val="20"/>
          <w:color w:val="auto"/>
        </w:rPr>
      </w:pPr>
      <w:r>
        <w:rPr>
          <w:rFonts w:ascii="Times New Roman" w:cs="Times New Roman" w:eastAsia="Times New Roman" w:hAnsi="Times New Roman"/>
          <w:sz w:val="18"/>
          <w:szCs w:val="18"/>
          <w:b w:val="1"/>
          <w:bCs w:val="1"/>
          <w:color w:val="auto"/>
        </w:rPr>
        <w:t>(16) Segment Information</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has one reportable operating segment, the “Software Business,” which is engaged in the design, development, marketing, and sales of the Company’s enterprise analytics software platform through cloud subscriptions and licensing arrangements and related services (i.e., product support, consulting, and education). The “Corporate &amp; Other” category presented in the following tables is not considered an operating segment. It consists primarily of costs and expenses related to executing the Company’s bitcoin strategy and includes the impairment charges and other third-party costs associated with the Company’s bitcoin holdings, net interest expense primarily related to long-term debt obligations (the net proceeds of which were primarily used to purchase bitcoin), and income tax effects generated from the Company’s bitcoin holdings and related debt issuances.</w:t>
      </w:r>
    </w:p>
    <w:p>
      <w:pPr>
        <w:spacing w:after="0" w:line="7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Company’s chief operating decision maker (“CODM”) is the Company’s Chief Executive Officer, who manages the entity on a consolidated basis. The CODM uses “net income (loss)” to assess the profitability of the software business by comparing actual to budgeted results on a monthly basis. In doing so, he focuses on “controllable costs” across main functions of the Software Business and will allocate personnel and budget accordingly to maximize potential profitability. The CODM also uses “net income (loss)” to understand the impact from income taxes and debt-related items for general tax and liquidity planning purposes.</w:t>
      </w:r>
    </w:p>
    <w:p>
      <w:pPr>
        <w:spacing w:after="0" w:line="7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following tables present (for each of the Software Business segment and Corporate &amp; Other category, and on a consolidated basis) the Company’s revenues and significant expenses regularly provided to the CODM, reconciled to net income (loss) (in thousands) for each of the periods presented. Total segment assets (in thousands) provided to the CODM are also disclosed in the tables below for each period presented.</w:t>
      </w:r>
    </w:p>
    <w:p>
      <w:pPr>
        <w:spacing w:after="0" w:line="250"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2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360" w:type="dxa"/>
            <w:vAlign w:val="bottom"/>
          </w:tcPr>
          <w:p>
            <w:pPr>
              <w:spacing w:after="0"/>
              <w:rPr>
                <w:sz w:val="15"/>
                <w:szCs w:val="15"/>
                <w:color w:val="auto"/>
              </w:rPr>
            </w:pPr>
          </w:p>
        </w:tc>
        <w:tc>
          <w:tcPr>
            <w:tcW w:w="3440" w:type="dxa"/>
            <w:vAlign w:val="bottom"/>
          </w:tcPr>
          <w:p>
            <w:pPr>
              <w:spacing w:after="0"/>
              <w:rPr>
                <w:sz w:val="15"/>
                <w:szCs w:val="15"/>
                <w:color w:val="auto"/>
              </w:rPr>
            </w:pPr>
          </w:p>
        </w:tc>
        <w:tc>
          <w:tcPr>
            <w:tcW w:w="88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480" w:type="dxa"/>
            <w:vAlign w:val="bottom"/>
            <w:tcBorders>
              <w:bottom w:val="single" w:sz="8" w:color="auto"/>
            </w:tcBorders>
          </w:tcPr>
          <w:p>
            <w:pPr>
              <w:spacing w:after="0"/>
              <w:rPr>
                <w:sz w:val="15"/>
                <w:szCs w:val="15"/>
                <w:color w:val="auto"/>
              </w:rPr>
            </w:pPr>
          </w:p>
        </w:tc>
        <w:tc>
          <w:tcPr>
            <w:tcW w:w="80" w:type="dxa"/>
            <w:vAlign w:val="bottom"/>
            <w:tcBorders>
              <w:bottom w:val="single" w:sz="8" w:color="auto"/>
            </w:tcBorders>
          </w:tcPr>
          <w:p>
            <w:pPr>
              <w:spacing w:after="0"/>
              <w:rPr>
                <w:sz w:val="15"/>
                <w:szCs w:val="15"/>
                <w:color w:val="auto"/>
              </w:rPr>
            </w:pPr>
          </w:p>
        </w:tc>
        <w:tc>
          <w:tcPr>
            <w:tcW w:w="2100" w:type="dxa"/>
            <w:vAlign w:val="bottom"/>
            <w:tcBorders>
              <w:bottom w:val="single" w:sz="8" w:color="auto"/>
            </w:tcBorders>
            <w:gridSpan w:val="6"/>
          </w:tcPr>
          <w:p>
            <w:pPr>
              <w:ind w:left="20"/>
              <w:spacing w:after="0"/>
              <w:rPr>
                <w:sz w:val="20"/>
                <w:szCs w:val="20"/>
                <w:color w:val="auto"/>
              </w:rPr>
            </w:pPr>
            <w:r>
              <w:rPr>
                <w:rFonts w:ascii="Times New Roman" w:cs="Times New Roman" w:eastAsia="Times New Roman" w:hAnsi="Times New Roman"/>
                <w:sz w:val="14"/>
                <w:szCs w:val="14"/>
                <w:b w:val="1"/>
                <w:bCs w:val="1"/>
                <w:color w:val="auto"/>
              </w:rPr>
              <w:t>Year-Ended December 31, 2024</w:t>
            </w:r>
          </w:p>
        </w:tc>
        <w:tc>
          <w:tcPr>
            <w:tcW w:w="160" w:type="dxa"/>
            <w:vAlign w:val="bottom"/>
            <w:tcBorders>
              <w:bottom w:val="single" w:sz="8" w:color="auto"/>
            </w:tcBorders>
          </w:tcPr>
          <w:p>
            <w:pPr>
              <w:spacing w:after="0"/>
              <w:rPr>
                <w:sz w:val="15"/>
                <w:szCs w:val="15"/>
                <w:color w:val="auto"/>
              </w:rPr>
            </w:pPr>
          </w:p>
        </w:tc>
        <w:tc>
          <w:tcPr>
            <w:tcW w:w="150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20" w:type="dxa"/>
            <w:vAlign w:val="bottom"/>
          </w:tcPr>
          <w:p>
            <w:pPr>
              <w:spacing w:after="0"/>
              <w:rPr>
                <w:sz w:val="12"/>
                <w:szCs w:val="12"/>
                <w:color w:val="auto"/>
              </w:rPr>
            </w:pPr>
          </w:p>
        </w:tc>
        <w:tc>
          <w:tcPr>
            <w:tcW w:w="920" w:type="dxa"/>
            <w:vAlign w:val="bottom"/>
          </w:tcPr>
          <w:p>
            <w:pPr>
              <w:spacing w:after="0"/>
              <w:rPr>
                <w:sz w:val="12"/>
                <w:szCs w:val="12"/>
                <w:color w:val="auto"/>
              </w:rPr>
            </w:pPr>
          </w:p>
        </w:tc>
        <w:tc>
          <w:tcPr>
            <w:tcW w:w="360" w:type="dxa"/>
            <w:vAlign w:val="bottom"/>
          </w:tcPr>
          <w:p>
            <w:pPr>
              <w:spacing w:after="0"/>
              <w:rPr>
                <w:sz w:val="12"/>
                <w:szCs w:val="12"/>
                <w:color w:val="auto"/>
              </w:rPr>
            </w:pPr>
          </w:p>
        </w:tc>
        <w:tc>
          <w:tcPr>
            <w:tcW w:w="344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1480" w:type="dxa"/>
            <w:vAlign w:val="bottom"/>
            <w:tcBorders>
              <w:bottom w:val="single" w:sz="8" w:color="auto"/>
            </w:tcBorders>
          </w:tcPr>
          <w:p>
            <w:pPr>
              <w:jc w:val="right"/>
              <w:ind w:right="191"/>
              <w:spacing w:after="0" w:line="142" w:lineRule="exact"/>
              <w:rPr>
                <w:sz w:val="20"/>
                <w:szCs w:val="20"/>
                <w:color w:val="auto"/>
              </w:rPr>
            </w:pPr>
            <w:r>
              <w:rPr>
                <w:rFonts w:ascii="Times New Roman" w:cs="Times New Roman" w:eastAsia="Times New Roman" w:hAnsi="Times New Roman"/>
                <w:sz w:val="14"/>
                <w:szCs w:val="14"/>
                <w:b w:val="1"/>
                <w:bCs w:val="1"/>
                <w:color w:val="auto"/>
              </w:rPr>
              <w:t>Software Business</w:t>
            </w:r>
          </w:p>
        </w:tc>
        <w:tc>
          <w:tcPr>
            <w:tcW w:w="8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500" w:type="dxa"/>
            <w:vAlign w:val="bottom"/>
            <w:tcBorders>
              <w:bottom w:val="single" w:sz="8" w:color="auto"/>
            </w:tcBorders>
          </w:tcPr>
          <w:p>
            <w:pPr>
              <w:jc w:val="right"/>
              <w:ind w:right="152"/>
              <w:spacing w:after="0" w:line="142" w:lineRule="exact"/>
              <w:rPr>
                <w:sz w:val="20"/>
                <w:szCs w:val="20"/>
                <w:color w:val="auto"/>
              </w:rPr>
            </w:pPr>
            <w:r>
              <w:rPr>
                <w:rFonts w:ascii="Times New Roman" w:cs="Times New Roman" w:eastAsia="Times New Roman" w:hAnsi="Times New Roman"/>
                <w:sz w:val="14"/>
                <w:szCs w:val="14"/>
                <w:b w:val="1"/>
                <w:bCs w:val="1"/>
                <w:color w:val="auto"/>
              </w:rPr>
              <w:t>Corporate &amp; Other</w:t>
            </w:r>
          </w:p>
        </w:tc>
        <w:tc>
          <w:tcPr>
            <w:tcW w:w="260" w:type="dxa"/>
            <w:vAlign w:val="bottom"/>
            <w:gridSpan w:val="2"/>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500" w:type="dxa"/>
            <w:vAlign w:val="bottom"/>
            <w:tcBorders>
              <w:bottom w:val="single" w:sz="8" w:color="auto"/>
            </w:tcBorders>
          </w:tcPr>
          <w:p>
            <w:pPr>
              <w:jc w:val="right"/>
              <w:ind w:right="171"/>
              <w:spacing w:after="0" w:line="142" w:lineRule="exact"/>
              <w:rPr>
                <w:sz w:val="20"/>
                <w:szCs w:val="20"/>
                <w:color w:val="auto"/>
              </w:rPr>
            </w:pPr>
            <w:r>
              <w:rPr>
                <w:rFonts w:ascii="Times New Roman" w:cs="Times New Roman" w:eastAsia="Times New Roman" w:hAnsi="Times New Roman"/>
                <w:sz w:val="14"/>
                <w:szCs w:val="14"/>
                <w:b w:val="1"/>
                <w:bCs w:val="1"/>
                <w:color w:val="auto"/>
              </w:rPr>
              <w:t>Total Consolidated</w:t>
            </w:r>
          </w:p>
        </w:tc>
        <w:tc>
          <w:tcPr>
            <w:tcW w:w="100" w:type="dxa"/>
            <w:vAlign w:val="bottom"/>
          </w:tcPr>
          <w:p>
            <w:pPr>
              <w:spacing w:after="0"/>
              <w:rPr>
                <w:sz w:val="12"/>
                <w:szCs w:val="12"/>
                <w:color w:val="auto"/>
              </w:rPr>
            </w:pPr>
          </w:p>
        </w:tc>
      </w:tr>
      <w:tr>
        <w:trPr>
          <w:trHeight w:val="209"/>
        </w:trPr>
        <w:tc>
          <w:tcPr>
            <w:tcW w:w="4740" w:type="dxa"/>
            <w:vAlign w:val="bottom"/>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1080" w:type="dxa"/>
            <w:vAlign w:val="bottom"/>
            <w:gridSpan w:val="2"/>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rPr>
              <w:t>$</w:t>
            </w:r>
          </w:p>
        </w:tc>
        <w:tc>
          <w:tcPr>
            <w:tcW w:w="1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463,456</w:t>
            </w:r>
          </w:p>
        </w:tc>
        <w:tc>
          <w:tcPr>
            <w:tcW w:w="80" w:type="dxa"/>
            <w:vAlign w:val="bottom"/>
            <w:shd w:val="clear" w:color="auto" w:fill="CFF0FC"/>
          </w:tcPr>
          <w:p>
            <w:pPr>
              <w:spacing w:after="0"/>
              <w:rPr>
                <w:sz w:val="18"/>
                <w:szCs w:val="18"/>
                <w:color w:val="auto"/>
              </w:rPr>
            </w:pPr>
          </w:p>
        </w:tc>
        <w:tc>
          <w:tcPr>
            <w:tcW w:w="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463,456</w:t>
            </w:r>
          </w:p>
        </w:tc>
        <w:tc>
          <w:tcPr>
            <w:tcW w:w="100" w:type="dxa"/>
            <w:vAlign w:val="bottom"/>
            <w:shd w:val="clear" w:color="auto" w:fill="CFF0FC"/>
          </w:tcPr>
          <w:p>
            <w:pPr>
              <w:spacing w:after="0"/>
              <w:rPr>
                <w:sz w:val="18"/>
                <w:szCs w:val="18"/>
                <w:color w:val="auto"/>
              </w:rPr>
            </w:pPr>
          </w:p>
        </w:tc>
      </w:tr>
      <w:tr>
        <w:trPr>
          <w:trHeight w:val="216"/>
        </w:trPr>
        <w:tc>
          <w:tcPr>
            <w:tcW w:w="4740" w:type="dxa"/>
            <w:vAlign w:val="bottom"/>
            <w:gridSpan w:val="4"/>
          </w:tcPr>
          <w:p>
            <w:pPr>
              <w:ind w:left="20"/>
              <w:spacing w:after="0"/>
              <w:rPr>
                <w:sz w:val="20"/>
                <w:szCs w:val="20"/>
                <w:color w:val="auto"/>
              </w:rPr>
            </w:pPr>
            <w:r>
              <w:rPr>
                <w:rFonts w:ascii="Times New Roman" w:cs="Times New Roman" w:eastAsia="Times New Roman" w:hAnsi="Times New Roman"/>
                <w:sz w:val="18"/>
                <w:szCs w:val="18"/>
                <w:color w:val="auto"/>
              </w:rPr>
              <w:t>Significant expenses (1)</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80" w:type="dxa"/>
            <w:vAlign w:val="bottom"/>
          </w:tcPr>
          <w:p>
            <w:pPr>
              <w:spacing w:after="0"/>
              <w:rPr>
                <w:sz w:val="18"/>
                <w:szCs w:val="18"/>
                <w:color w:val="auto"/>
              </w:rPr>
            </w:pPr>
          </w:p>
        </w:tc>
        <w:tc>
          <w:tcPr>
            <w:tcW w:w="80" w:type="dxa"/>
            <w:vAlign w:val="bottom"/>
          </w:tcPr>
          <w:p>
            <w:pPr>
              <w:spacing w:after="0"/>
              <w:rPr>
                <w:sz w:val="18"/>
                <w:szCs w:val="18"/>
                <w:color w:val="auto"/>
              </w:rPr>
            </w:pPr>
          </w:p>
        </w:tc>
        <w:tc>
          <w:tcPr>
            <w:tcW w:w="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176"/>
        </w:trPr>
        <w:tc>
          <w:tcPr>
            <w:tcW w:w="20" w:type="dxa"/>
            <w:vAlign w:val="bottom"/>
            <w:shd w:val="clear" w:color="auto" w:fill="CFF0FC"/>
          </w:tcPr>
          <w:p>
            <w:pPr>
              <w:spacing w:after="0"/>
              <w:rPr>
                <w:sz w:val="15"/>
                <w:szCs w:val="15"/>
                <w:color w:val="auto"/>
              </w:rPr>
            </w:pPr>
          </w:p>
        </w:tc>
        <w:tc>
          <w:tcPr>
            <w:tcW w:w="4720" w:type="dxa"/>
            <w:vAlign w:val="bottom"/>
            <w:gridSpan w:val="3"/>
            <w:shd w:val="clear" w:color="auto" w:fill="CFF0FC"/>
          </w:tcPr>
          <w:p>
            <w:pPr>
              <w:spacing w:after="0" w:line="176" w:lineRule="exact"/>
              <w:rPr>
                <w:sz w:val="20"/>
                <w:szCs w:val="20"/>
                <w:color w:val="auto"/>
              </w:rPr>
            </w:pPr>
            <w:r>
              <w:rPr>
                <w:rFonts w:ascii="Times New Roman" w:cs="Times New Roman" w:eastAsia="Times New Roman" w:hAnsi="Times New Roman"/>
                <w:sz w:val="18"/>
                <w:szCs w:val="18"/>
                <w:i w:val="1"/>
                <w:iCs w:val="1"/>
                <w:color w:val="auto"/>
              </w:rPr>
              <w:t>Controllable</w:t>
            </w:r>
          </w:p>
        </w:tc>
        <w:tc>
          <w:tcPr>
            <w:tcW w:w="880" w:type="dxa"/>
            <w:vAlign w:val="bottom"/>
            <w:shd w:val="clear" w:color="auto" w:fill="CFF0FC"/>
          </w:tcPr>
          <w:p>
            <w:pPr>
              <w:spacing w:after="0"/>
              <w:rPr>
                <w:sz w:val="15"/>
                <w:szCs w:val="15"/>
                <w:color w:val="auto"/>
              </w:rPr>
            </w:pPr>
          </w:p>
        </w:tc>
        <w:tc>
          <w:tcPr>
            <w:tcW w:w="200" w:type="dxa"/>
            <w:vAlign w:val="bottom"/>
            <w:shd w:val="clear" w:color="auto" w:fill="CFF0FC"/>
          </w:tcPr>
          <w:p>
            <w:pPr>
              <w:spacing w:after="0"/>
              <w:rPr>
                <w:sz w:val="15"/>
                <w:szCs w:val="15"/>
                <w:color w:val="auto"/>
              </w:rPr>
            </w:pPr>
          </w:p>
        </w:tc>
        <w:tc>
          <w:tcPr>
            <w:tcW w:w="148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2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50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50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r>
      <w:tr>
        <w:trPr>
          <w:trHeight w:val="20"/>
        </w:trPr>
        <w:tc>
          <w:tcPr>
            <w:tcW w:w="20" w:type="dxa"/>
            <w:vAlign w:val="bottom"/>
            <w:tcBorders>
              <w:top w:val="single" w:sz="8" w:color="CFF0FC"/>
            </w:tcBorders>
            <w:shd w:val="clear" w:color="auto" w:fill="CFF0FC"/>
          </w:tcPr>
          <w:p>
            <w:pPr>
              <w:spacing w:after="0" w:line="20" w:lineRule="exact"/>
              <w:rPr>
                <w:sz w:val="1"/>
                <w:szCs w:val="1"/>
                <w:color w:val="auto"/>
              </w:rPr>
            </w:pPr>
          </w:p>
        </w:tc>
        <w:tc>
          <w:tcPr>
            <w:tcW w:w="920" w:type="dxa"/>
            <w:vAlign w:val="bottom"/>
            <w:tcBorders>
              <w:top w:val="single" w:sz="8" w:color="auto"/>
            </w:tcBorders>
            <w:shd w:val="clear" w:color="auto" w:fill="CFF0FC"/>
          </w:tcPr>
          <w:p>
            <w:pPr>
              <w:spacing w:after="0" w:line="20" w:lineRule="exact"/>
              <w:rPr>
                <w:sz w:val="1"/>
                <w:szCs w:val="1"/>
                <w:color w:val="auto"/>
              </w:rPr>
            </w:pPr>
          </w:p>
        </w:tc>
        <w:tc>
          <w:tcPr>
            <w:tcW w:w="360" w:type="dxa"/>
            <w:vAlign w:val="bottom"/>
            <w:tcBorders>
              <w:top w:val="single" w:sz="8" w:color="CFF0FC"/>
            </w:tcBorders>
            <w:shd w:val="clear" w:color="auto" w:fill="CFF0FC"/>
          </w:tcPr>
          <w:p>
            <w:pPr>
              <w:spacing w:after="0" w:line="20" w:lineRule="exact"/>
              <w:rPr>
                <w:sz w:val="1"/>
                <w:szCs w:val="1"/>
                <w:color w:val="auto"/>
              </w:rPr>
            </w:pPr>
          </w:p>
        </w:tc>
        <w:tc>
          <w:tcPr>
            <w:tcW w:w="3440" w:type="dxa"/>
            <w:vAlign w:val="bottom"/>
            <w:tcBorders>
              <w:top w:val="single" w:sz="8" w:color="CFF0FC"/>
            </w:tcBorders>
            <w:shd w:val="clear" w:color="auto" w:fill="CFF0FC"/>
          </w:tcPr>
          <w:p>
            <w:pPr>
              <w:spacing w:after="0" w:line="20" w:lineRule="exact"/>
              <w:rPr>
                <w:sz w:val="1"/>
                <w:szCs w:val="1"/>
                <w:color w:val="auto"/>
              </w:rPr>
            </w:pPr>
          </w:p>
        </w:tc>
        <w:tc>
          <w:tcPr>
            <w:tcW w:w="88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148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CFF0FC"/>
            </w:tcBorders>
            <w:shd w:val="clear" w:color="auto" w:fill="CFF0FC"/>
          </w:tcPr>
          <w:p>
            <w:pPr>
              <w:spacing w:after="0" w:line="20" w:lineRule="exact"/>
              <w:rPr>
                <w:sz w:val="1"/>
                <w:szCs w:val="1"/>
                <w:color w:val="auto"/>
              </w:rPr>
            </w:pPr>
          </w:p>
        </w:tc>
        <w:tc>
          <w:tcPr>
            <w:tcW w:w="2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50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50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Sales and marketing</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(105,782 )</w:t>
            </w:r>
          </w:p>
        </w:tc>
        <w:tc>
          <w:tcPr>
            <w:tcW w:w="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(105,782 )</w:t>
            </w: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Maintenance</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(28,739 )</w:t>
            </w:r>
          </w:p>
        </w:tc>
        <w:tc>
          <w:tcPr>
            <w:tcW w:w="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(28,739 )</w:t>
            </w: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Consulting</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(56,472 )</w:t>
            </w:r>
          </w:p>
        </w:tc>
        <w:tc>
          <w:tcPr>
            <w:tcW w:w="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(56,472 )</w:t>
            </w: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Cloud</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(42,731 )</w:t>
            </w:r>
          </w:p>
        </w:tc>
        <w:tc>
          <w:tcPr>
            <w:tcW w:w="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(42,731 )</w:t>
            </w: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Technology</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(105,140 )</w:t>
            </w:r>
          </w:p>
        </w:tc>
        <w:tc>
          <w:tcPr>
            <w:tcW w:w="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(105,140 )</w:t>
            </w: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Corporate resources</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(85,479 )</w:t>
            </w:r>
          </w:p>
        </w:tc>
        <w:tc>
          <w:tcPr>
            <w:tcW w:w="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(85,479 )</w:t>
            </w:r>
          </w:p>
        </w:tc>
      </w:tr>
      <w:tr>
        <w:trPr>
          <w:trHeight w:val="175"/>
        </w:trPr>
        <w:tc>
          <w:tcPr>
            <w:tcW w:w="4740" w:type="dxa"/>
            <w:vAlign w:val="bottom"/>
            <w:gridSpan w:val="4"/>
          </w:tcPr>
          <w:p>
            <w:pPr>
              <w:ind w:left="20"/>
              <w:spacing w:after="0" w:line="176" w:lineRule="exact"/>
              <w:rPr>
                <w:sz w:val="20"/>
                <w:szCs w:val="20"/>
                <w:color w:val="auto"/>
              </w:rPr>
            </w:pPr>
            <w:r>
              <w:rPr>
                <w:rFonts w:ascii="Times New Roman" w:cs="Times New Roman" w:eastAsia="Times New Roman" w:hAnsi="Times New Roman"/>
                <w:sz w:val="18"/>
                <w:szCs w:val="18"/>
                <w:i w:val="1"/>
                <w:iCs w:val="1"/>
                <w:color w:val="auto"/>
              </w:rPr>
              <w:t>Non-Controllable</w:t>
            </w:r>
          </w:p>
        </w:tc>
        <w:tc>
          <w:tcPr>
            <w:tcW w:w="88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148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50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500" w:type="dxa"/>
            <w:vAlign w:val="bottom"/>
          </w:tcPr>
          <w:p>
            <w:pPr>
              <w:spacing w:after="0"/>
              <w:rPr>
                <w:sz w:val="15"/>
                <w:szCs w:val="15"/>
                <w:color w:val="auto"/>
              </w:rPr>
            </w:pPr>
          </w:p>
        </w:tc>
        <w:tc>
          <w:tcPr>
            <w:tcW w:w="100" w:type="dxa"/>
            <w:vAlign w:val="bottom"/>
          </w:tcPr>
          <w:p>
            <w:pPr>
              <w:spacing w:after="0"/>
              <w:rPr>
                <w:sz w:val="15"/>
                <w:szCs w:val="15"/>
                <w:color w:val="auto"/>
              </w:rPr>
            </w:pPr>
          </w:p>
        </w:tc>
      </w:tr>
      <w:tr>
        <w:trPr>
          <w:trHeight w:val="20"/>
        </w:trPr>
        <w:tc>
          <w:tcPr>
            <w:tcW w:w="20" w:type="dxa"/>
            <w:vAlign w:val="bottom"/>
          </w:tcPr>
          <w:p>
            <w:pPr>
              <w:spacing w:after="0" w:line="20" w:lineRule="exact"/>
              <w:rPr>
                <w:sz w:val="1"/>
                <w:szCs w:val="1"/>
                <w:color w:val="auto"/>
              </w:rPr>
            </w:pPr>
          </w:p>
        </w:tc>
        <w:tc>
          <w:tcPr>
            <w:tcW w:w="920" w:type="dxa"/>
            <w:vAlign w:val="bottom"/>
            <w:tcBorders>
              <w:top w:val="single" w:sz="8" w:color="auto"/>
            </w:tcBorders>
          </w:tcPr>
          <w:p>
            <w:pPr>
              <w:spacing w:after="0" w:line="20" w:lineRule="exact"/>
              <w:rPr>
                <w:sz w:val="1"/>
                <w:szCs w:val="1"/>
                <w:color w:val="auto"/>
              </w:rPr>
            </w:pPr>
          </w:p>
        </w:tc>
        <w:tc>
          <w:tcPr>
            <w:tcW w:w="360" w:type="dxa"/>
            <w:vAlign w:val="bottom"/>
            <w:tcBorders>
              <w:top w:val="single" w:sz="8" w:color="auto"/>
            </w:tcBorders>
          </w:tcPr>
          <w:p>
            <w:pPr>
              <w:spacing w:after="0" w:line="20" w:lineRule="exact"/>
              <w:rPr>
                <w:sz w:val="1"/>
                <w:szCs w:val="1"/>
                <w:color w:val="auto"/>
              </w:rPr>
            </w:pPr>
          </w:p>
        </w:tc>
        <w:tc>
          <w:tcPr>
            <w:tcW w:w="3440" w:type="dxa"/>
            <w:vAlign w:val="bottom"/>
          </w:tcPr>
          <w:p>
            <w:pPr>
              <w:spacing w:after="0" w:line="20" w:lineRule="exact"/>
              <w:rPr>
                <w:sz w:val="1"/>
                <w:szCs w:val="1"/>
                <w:color w:val="auto"/>
              </w:rPr>
            </w:pPr>
          </w:p>
        </w:tc>
        <w:tc>
          <w:tcPr>
            <w:tcW w:w="880" w:type="dxa"/>
            <w:vAlign w:val="bottom"/>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48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50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50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spacing w:after="0"/>
              <w:rPr>
                <w:sz w:val="18"/>
                <w:szCs w:val="18"/>
                <w:color w:val="auto"/>
              </w:rPr>
            </w:pPr>
          </w:p>
        </w:tc>
        <w:tc>
          <w:tcPr>
            <w:tcW w:w="80" w:type="dxa"/>
            <w:vAlign w:val="bottom"/>
            <w:shd w:val="clear" w:color="auto" w:fill="CFF0FC"/>
          </w:tcPr>
          <w:p>
            <w:pPr>
              <w:spacing w:after="0"/>
              <w:rPr>
                <w:sz w:val="18"/>
                <w:szCs w:val="18"/>
                <w:color w:val="auto"/>
              </w:rPr>
            </w:pPr>
          </w:p>
        </w:tc>
        <w:tc>
          <w:tcPr>
            <w:tcW w:w="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(1,789,862 )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(1,789,862 )</w:t>
            </w: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Digital asset custody fees</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80" w:type="dxa"/>
            <w:vAlign w:val="bottom"/>
          </w:tcPr>
          <w:p>
            <w:pPr>
              <w:spacing w:after="0"/>
              <w:rPr>
                <w:sz w:val="18"/>
                <w:szCs w:val="18"/>
                <w:color w:val="auto"/>
              </w:rPr>
            </w:pPr>
          </w:p>
        </w:tc>
        <w:tc>
          <w:tcPr>
            <w:tcW w:w="80" w:type="dxa"/>
            <w:vAlign w:val="bottom"/>
          </w:tcPr>
          <w:p>
            <w:pPr>
              <w:spacing w:after="0"/>
              <w:rPr>
                <w:sz w:val="18"/>
                <w:szCs w:val="18"/>
                <w:color w:val="auto"/>
              </w:rPr>
            </w:pPr>
          </w:p>
        </w:tc>
        <w:tc>
          <w:tcPr>
            <w:tcW w:w="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(5,956 )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(5,956 )</w:t>
            </w: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(77,124 )</w:t>
            </w:r>
          </w:p>
        </w:tc>
        <w:tc>
          <w:tcPr>
            <w:tcW w:w="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(77,124 )</w:t>
            </w: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Payroll taxes on equity award exercises and vestings</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(13,723 )</w:t>
            </w:r>
          </w:p>
        </w:tc>
        <w:tc>
          <w:tcPr>
            <w:tcW w:w="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(13,723 )</w:t>
            </w:r>
          </w:p>
        </w:tc>
      </w:tr>
      <w:tr>
        <w:trPr>
          <w:trHeight w:val="216"/>
        </w:trPr>
        <w:tc>
          <w:tcPr>
            <w:tcW w:w="4740" w:type="dxa"/>
            <w:vAlign w:val="bottom"/>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segment items (2)</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(167 )</w:t>
            </w:r>
          </w:p>
        </w:tc>
        <w:tc>
          <w:tcPr>
            <w:tcW w:w="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(1,753 )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(1,920 )</w:t>
            </w:r>
          </w:p>
        </w:tc>
      </w:tr>
      <w:tr>
        <w:trPr>
          <w:trHeight w:val="216"/>
        </w:trPr>
        <w:tc>
          <w:tcPr>
            <w:tcW w:w="4740" w:type="dxa"/>
            <w:vAlign w:val="bottom"/>
            <w:gridSpan w:val="4"/>
          </w:tcPr>
          <w:p>
            <w:pPr>
              <w:ind w:left="20"/>
              <w:spacing w:after="0"/>
              <w:rPr>
                <w:sz w:val="20"/>
                <w:szCs w:val="20"/>
                <w:color w:val="auto"/>
              </w:rPr>
            </w:pPr>
            <w:r>
              <w:rPr>
                <w:rFonts w:ascii="Times New Roman" w:cs="Times New Roman" w:eastAsia="Times New Roman" w:hAnsi="Times New Roman"/>
                <w:sz w:val="18"/>
                <w:szCs w:val="18"/>
                <w:color w:val="auto"/>
              </w:rPr>
              <w:t>Interest expense, net (3)</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80" w:type="dxa"/>
            <w:vAlign w:val="bottom"/>
          </w:tcPr>
          <w:p>
            <w:pPr>
              <w:spacing w:after="0"/>
              <w:rPr>
                <w:sz w:val="18"/>
                <w:szCs w:val="18"/>
                <w:color w:val="auto"/>
              </w:rPr>
            </w:pPr>
          </w:p>
        </w:tc>
        <w:tc>
          <w:tcPr>
            <w:tcW w:w="80" w:type="dxa"/>
            <w:vAlign w:val="bottom"/>
          </w:tcPr>
          <w:p>
            <w:pPr>
              <w:spacing w:after="0"/>
              <w:rPr>
                <w:sz w:val="18"/>
                <w:szCs w:val="18"/>
                <w:color w:val="auto"/>
              </w:rPr>
            </w:pPr>
          </w:p>
        </w:tc>
        <w:tc>
          <w:tcPr>
            <w:tcW w:w="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(61,941 )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(61,941 )</w:t>
            </w:r>
          </w:p>
        </w:tc>
      </w:tr>
      <w:tr>
        <w:trPr>
          <w:trHeight w:val="216"/>
        </w:trPr>
        <w:tc>
          <w:tcPr>
            <w:tcW w:w="4740" w:type="dxa"/>
            <w:vAlign w:val="bottom"/>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Loss on debt extinguishment</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spacing w:after="0"/>
              <w:rPr>
                <w:sz w:val="18"/>
                <w:szCs w:val="18"/>
                <w:color w:val="auto"/>
              </w:rPr>
            </w:pPr>
          </w:p>
        </w:tc>
        <w:tc>
          <w:tcPr>
            <w:tcW w:w="80" w:type="dxa"/>
            <w:vAlign w:val="bottom"/>
            <w:shd w:val="clear" w:color="auto" w:fill="CFF0FC"/>
          </w:tcPr>
          <w:p>
            <w:pPr>
              <w:spacing w:after="0"/>
              <w:rPr>
                <w:sz w:val="18"/>
                <w:szCs w:val="18"/>
                <w:color w:val="auto"/>
              </w:rPr>
            </w:pPr>
          </w:p>
        </w:tc>
        <w:tc>
          <w:tcPr>
            <w:tcW w:w="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(22,933 )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(22,933 )</w:t>
            </w:r>
          </w:p>
        </w:tc>
      </w:tr>
      <w:tr>
        <w:trPr>
          <w:trHeight w:val="216"/>
        </w:trPr>
        <w:tc>
          <w:tcPr>
            <w:tcW w:w="4740" w:type="dxa"/>
            <w:vAlign w:val="bottom"/>
            <w:gridSpan w:val="4"/>
          </w:tcPr>
          <w:p>
            <w:pPr>
              <w:ind w:left="20"/>
              <w:spacing w:after="0"/>
              <w:rPr>
                <w:sz w:val="20"/>
                <w:szCs w:val="20"/>
                <w:color w:val="auto"/>
              </w:rPr>
            </w:pPr>
            <w:r>
              <w:rPr>
                <w:rFonts w:ascii="Times New Roman" w:cs="Times New Roman" w:eastAsia="Times New Roman" w:hAnsi="Times New Roman"/>
                <w:sz w:val="18"/>
                <w:szCs w:val="18"/>
                <w:color w:val="auto"/>
              </w:rPr>
              <w:t>Income tax benefit (4)</w:t>
            </w:r>
          </w:p>
        </w:tc>
        <w:tc>
          <w:tcPr>
            <w:tcW w:w="880" w:type="dxa"/>
            <w:vAlign w:val="bottom"/>
          </w:tcPr>
          <w:p>
            <w:pPr>
              <w:spacing w:after="0"/>
              <w:rPr>
                <w:sz w:val="18"/>
                <w:szCs w:val="18"/>
                <w:color w:val="auto"/>
              </w:rPr>
            </w:pPr>
          </w:p>
        </w:tc>
        <w:tc>
          <w:tcPr>
            <w:tcW w:w="200" w:type="dxa"/>
            <w:vAlign w:val="bottom"/>
            <w:tcBorders>
              <w:bottom w:val="single" w:sz="8" w:color="auto"/>
            </w:tcBorders>
          </w:tcPr>
          <w:p>
            <w:pPr>
              <w:spacing w:after="0"/>
              <w:rPr>
                <w:sz w:val="18"/>
                <w:szCs w:val="18"/>
                <w:color w:val="auto"/>
              </w:rPr>
            </w:pPr>
          </w:p>
        </w:tc>
        <w:tc>
          <w:tcPr>
            <w:tcW w:w="1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226,961</w:t>
            </w:r>
          </w:p>
        </w:tc>
        <w:tc>
          <w:tcPr>
            <w:tcW w:w="80" w:type="dxa"/>
            <w:vAlign w:val="bottom"/>
          </w:tcPr>
          <w:p>
            <w:pPr>
              <w:spacing w:after="0"/>
              <w:rPr>
                <w:sz w:val="18"/>
                <w:szCs w:val="18"/>
                <w:color w:val="auto"/>
              </w:rPr>
            </w:pPr>
          </w:p>
        </w:tc>
        <w:tc>
          <w:tcPr>
            <w:tcW w:w="2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1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540,724</w:t>
            </w:r>
          </w:p>
        </w:tc>
        <w:tc>
          <w:tcPr>
            <w:tcW w:w="10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1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767,685</w:t>
            </w:r>
          </w:p>
        </w:tc>
        <w:tc>
          <w:tcPr>
            <w:tcW w:w="100" w:type="dxa"/>
            <w:vAlign w:val="bottom"/>
          </w:tcPr>
          <w:p>
            <w:pPr>
              <w:spacing w:after="0"/>
              <w:rPr>
                <w:sz w:val="18"/>
                <w:szCs w:val="18"/>
                <w:color w:val="auto"/>
              </w:rPr>
            </w:pPr>
          </w:p>
        </w:tc>
      </w:tr>
      <w:tr>
        <w:trPr>
          <w:trHeight w:val="250"/>
        </w:trPr>
        <w:tc>
          <w:tcPr>
            <w:tcW w:w="4740" w:type="dxa"/>
            <w:vAlign w:val="bottom"/>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Net income (loss)</w:t>
            </w:r>
          </w:p>
        </w:tc>
        <w:tc>
          <w:tcPr>
            <w:tcW w:w="880" w:type="dxa"/>
            <w:vAlign w:val="bottom"/>
            <w:shd w:val="clear" w:color="auto" w:fill="CFF0FC"/>
          </w:tcPr>
          <w:p>
            <w:pPr>
              <w:spacing w:after="0"/>
              <w:rPr>
                <w:sz w:val="21"/>
                <w:szCs w:val="21"/>
                <w:color w:val="auto"/>
              </w:rPr>
            </w:pP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175,060</w:t>
            </w:r>
          </w:p>
        </w:tc>
        <w:tc>
          <w:tcPr>
            <w:tcW w:w="80" w:type="dxa"/>
            <w:vAlign w:val="bottom"/>
            <w:shd w:val="clear" w:color="auto" w:fill="CFF0FC"/>
          </w:tcPr>
          <w:p>
            <w:pPr>
              <w:spacing w:after="0"/>
              <w:rPr>
                <w:sz w:val="21"/>
                <w:szCs w:val="21"/>
                <w:color w:val="auto"/>
              </w:rPr>
            </w:pPr>
          </w:p>
        </w:tc>
        <w:tc>
          <w:tcPr>
            <w:tcW w:w="20" w:type="dxa"/>
            <w:vAlign w:val="bottom"/>
            <w:shd w:val="clear" w:color="auto" w:fill="CFF0FC"/>
          </w:tcPr>
          <w:p>
            <w:pPr>
              <w:spacing w:after="0"/>
              <w:rPr>
                <w:sz w:val="21"/>
                <w:szCs w:val="21"/>
                <w:color w:val="auto"/>
              </w:rPr>
            </w:pPr>
          </w:p>
        </w:tc>
        <w:tc>
          <w:tcPr>
            <w:tcW w:w="32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(1,341,721 )</w:t>
            </w:r>
          </w:p>
        </w:tc>
        <w:tc>
          <w:tcPr>
            <w:tcW w:w="160" w:type="dxa"/>
            <w:vAlign w:val="bottom"/>
            <w:shd w:val="clear" w:color="auto" w:fill="CFF0FC"/>
          </w:tcPr>
          <w:p>
            <w:pPr>
              <w:spacing w:after="0"/>
              <w:rPr>
                <w:sz w:val="21"/>
                <w:szCs w:val="21"/>
                <w:color w:val="auto"/>
              </w:rPr>
            </w:pP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(1,166,661 )</w:t>
            </w:r>
          </w:p>
        </w:tc>
      </w:tr>
      <w:tr>
        <w:trPr>
          <w:trHeight w:val="215"/>
        </w:trPr>
        <w:tc>
          <w:tcPr>
            <w:tcW w:w="4740" w:type="dxa"/>
            <w:vAlign w:val="bottom"/>
            <w:tcBorders>
              <w:top w:val="single" w:sz="8" w:color="CFF0FC"/>
            </w:tcBorders>
            <w:gridSpan w:val="4"/>
          </w:tcPr>
          <w:p>
            <w:pPr>
              <w:ind w:left="20"/>
              <w:spacing w:after="0"/>
              <w:rPr>
                <w:sz w:val="20"/>
                <w:szCs w:val="20"/>
                <w:color w:val="auto"/>
              </w:rPr>
            </w:pPr>
            <w:r>
              <w:rPr>
                <w:rFonts w:ascii="Times New Roman" w:cs="Times New Roman" w:eastAsia="Times New Roman" w:hAnsi="Times New Roman"/>
                <w:sz w:val="18"/>
                <w:szCs w:val="18"/>
                <w:color w:val="auto"/>
              </w:rPr>
              <w:t>Total assets, as of December 31, 2024 (5)</w:t>
            </w:r>
          </w:p>
        </w:tc>
        <w:tc>
          <w:tcPr>
            <w:tcW w:w="880" w:type="dxa"/>
            <w:vAlign w:val="bottom"/>
            <w:tcBorders>
              <w:top w:val="single" w:sz="8" w:color="CFF0FC"/>
            </w:tcBorders>
          </w:tcPr>
          <w:p>
            <w:pPr>
              <w:spacing w:after="0"/>
              <w:rPr>
                <w:sz w:val="18"/>
                <w:szCs w:val="18"/>
                <w:color w:val="auto"/>
              </w:rPr>
            </w:pPr>
          </w:p>
        </w:tc>
        <w:tc>
          <w:tcPr>
            <w:tcW w:w="200" w:type="dxa"/>
            <w:vAlign w:val="bottom"/>
            <w:tcBorders>
              <w:top w:val="single" w:sz="8" w:color="auto"/>
            </w:tcBorders>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743,190</w:t>
            </w:r>
          </w:p>
        </w:tc>
        <w:tc>
          <w:tcPr>
            <w:tcW w:w="80" w:type="dxa"/>
            <w:vAlign w:val="bottom"/>
            <w:tcBorders>
              <w:top w:val="single" w:sz="8" w:color="CFF0FC"/>
            </w:tcBorders>
          </w:tcPr>
          <w:p>
            <w:pPr>
              <w:spacing w:after="0"/>
              <w:rPr>
                <w:sz w:val="18"/>
                <w:szCs w:val="18"/>
                <w:color w:val="auto"/>
              </w:rPr>
            </w:pPr>
          </w:p>
        </w:tc>
        <w:tc>
          <w:tcPr>
            <w:tcW w:w="20" w:type="dxa"/>
            <w:vAlign w:val="bottom"/>
            <w:tcBorders>
              <w:top w:val="single" w:sz="8" w:color="CFF0FC"/>
            </w:tcBorders>
          </w:tcPr>
          <w:p>
            <w:pPr>
              <w:spacing w:after="0"/>
              <w:rPr>
                <w:sz w:val="18"/>
                <w:szCs w:val="18"/>
                <w:color w:val="auto"/>
              </w:rPr>
            </w:pPr>
          </w:p>
        </w:tc>
        <w:tc>
          <w:tcPr>
            <w:tcW w:w="320" w:type="dxa"/>
            <w:vAlign w:val="bottom"/>
            <w:tcBorders>
              <w:top w:val="single" w:sz="8" w:color="auto"/>
            </w:tcBorders>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5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25,100,495</w:t>
            </w:r>
          </w:p>
        </w:tc>
        <w:tc>
          <w:tcPr>
            <w:tcW w:w="100" w:type="dxa"/>
            <w:vAlign w:val="bottom"/>
            <w:tcBorders>
              <w:top w:val="single" w:sz="8" w:color="CFF0FC"/>
            </w:tcBorders>
          </w:tcPr>
          <w:p>
            <w:pPr>
              <w:spacing w:after="0"/>
              <w:rPr>
                <w:sz w:val="18"/>
                <w:szCs w:val="18"/>
                <w:color w:val="auto"/>
              </w:rPr>
            </w:pPr>
          </w:p>
        </w:tc>
        <w:tc>
          <w:tcPr>
            <w:tcW w:w="160" w:type="dxa"/>
            <w:vAlign w:val="bottom"/>
            <w:tcBorders>
              <w:top w:val="single" w:sz="8" w:color="auto"/>
            </w:tcBorders>
          </w:tcPr>
          <w:p>
            <w:pPr>
              <w:spacing w:after="0"/>
              <w:rPr>
                <w:sz w:val="18"/>
                <w:szCs w:val="18"/>
                <w:color w:val="auto"/>
              </w:rPr>
            </w:pPr>
          </w:p>
        </w:tc>
        <w:tc>
          <w:tcPr>
            <w:tcW w:w="1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25,843,685</w:t>
            </w:r>
          </w:p>
        </w:tc>
        <w:tc>
          <w:tcPr>
            <w:tcW w:w="100" w:type="dxa"/>
            <w:vAlign w:val="bottom"/>
            <w:tcBorders>
              <w:top w:val="single" w:sz="8" w:color="CFF0FC"/>
            </w:tcBorders>
          </w:tcPr>
          <w:p>
            <w:pPr>
              <w:spacing w:after="0"/>
              <w:rPr>
                <w:sz w:val="18"/>
                <w:szCs w:val="18"/>
                <w:color w:val="auto"/>
              </w:rPr>
            </w:pPr>
          </w:p>
        </w:tc>
      </w:tr>
      <w:tr>
        <w:trPr>
          <w:trHeight w:val="630"/>
        </w:trPr>
        <w:tc>
          <w:tcPr>
            <w:tcW w:w="2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3440" w:type="dxa"/>
            <w:vAlign w:val="bottom"/>
          </w:tcPr>
          <w:p>
            <w:pPr>
              <w:spacing w:after="0"/>
              <w:rPr>
                <w:sz w:val="24"/>
                <w:szCs w:val="24"/>
                <w:color w:val="auto"/>
              </w:rPr>
            </w:pPr>
          </w:p>
        </w:tc>
        <w:tc>
          <w:tcPr>
            <w:tcW w:w="10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112</w:t>
            </w:r>
          </w:p>
        </w:tc>
        <w:tc>
          <w:tcPr>
            <w:tcW w:w="148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50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500" w:type="dxa"/>
            <w:vAlign w:val="bottom"/>
          </w:tcPr>
          <w:p>
            <w:pPr>
              <w:spacing w:after="0"/>
              <w:rPr>
                <w:sz w:val="24"/>
                <w:szCs w:val="24"/>
                <w:color w:val="auto"/>
              </w:rPr>
            </w:pPr>
          </w:p>
        </w:tc>
        <w:tc>
          <w:tcPr>
            <w:tcW w:w="100" w:type="dxa"/>
            <w:vAlign w:val="bottom"/>
          </w:tcPr>
          <w:p>
            <w:pPr>
              <w:spacing w:after="0"/>
              <w:rPr>
                <w:sz w:val="24"/>
                <w:szCs w:val="24"/>
                <w:color w:val="auto"/>
              </w:rPr>
            </w:pPr>
          </w:p>
        </w:tc>
      </w:tr>
      <w:tr>
        <w:trPr>
          <w:trHeight w:val="763"/>
        </w:trPr>
        <w:tc>
          <w:tcPr>
            <w:tcW w:w="20" w:type="dxa"/>
            <w:vAlign w:val="bottom"/>
            <w:tcBorders>
              <w:bottom w:val="single" w:sz="8" w:color="9A9A9A"/>
            </w:tcBorders>
          </w:tcPr>
          <w:p>
            <w:pPr>
              <w:spacing w:after="0"/>
              <w:rPr>
                <w:sz w:val="24"/>
                <w:szCs w:val="24"/>
                <w:color w:val="auto"/>
              </w:rPr>
            </w:pPr>
          </w:p>
        </w:tc>
        <w:tc>
          <w:tcPr>
            <w:tcW w:w="920" w:type="dxa"/>
            <w:vAlign w:val="bottom"/>
            <w:tcBorders>
              <w:bottom w:val="single" w:sz="8" w:color="9A9A9A"/>
            </w:tcBorders>
          </w:tcPr>
          <w:p>
            <w:pPr>
              <w:spacing w:after="0"/>
              <w:rPr>
                <w:sz w:val="24"/>
                <w:szCs w:val="24"/>
                <w:color w:val="auto"/>
              </w:rPr>
            </w:pPr>
          </w:p>
        </w:tc>
        <w:tc>
          <w:tcPr>
            <w:tcW w:w="360" w:type="dxa"/>
            <w:vAlign w:val="bottom"/>
            <w:tcBorders>
              <w:bottom w:val="single" w:sz="8" w:color="9A9A9A"/>
            </w:tcBorders>
          </w:tcPr>
          <w:p>
            <w:pPr>
              <w:spacing w:after="0"/>
              <w:rPr>
                <w:sz w:val="24"/>
                <w:szCs w:val="24"/>
                <w:color w:val="auto"/>
              </w:rPr>
            </w:pPr>
          </w:p>
        </w:tc>
        <w:tc>
          <w:tcPr>
            <w:tcW w:w="3440" w:type="dxa"/>
            <w:vAlign w:val="bottom"/>
            <w:tcBorders>
              <w:bottom w:val="single" w:sz="8" w:color="9A9A9A"/>
            </w:tcBorders>
          </w:tcPr>
          <w:p>
            <w:pPr>
              <w:spacing w:after="0"/>
              <w:rPr>
                <w:sz w:val="24"/>
                <w:szCs w:val="24"/>
                <w:color w:val="auto"/>
              </w:rPr>
            </w:pPr>
          </w:p>
        </w:tc>
        <w:tc>
          <w:tcPr>
            <w:tcW w:w="88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48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5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5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4634230</wp:posOffset>
            </wp:positionH>
            <wp:positionV relativeFrom="paragraph">
              <wp:posOffset>-1070610</wp:posOffset>
            </wp:positionV>
            <wp:extent cx="68580" cy="8255"/>
            <wp:wrapNone/>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47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-1053465</wp:posOffset>
            </wp:positionV>
            <wp:extent cx="68580" cy="8890"/>
            <wp:wrapNone/>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47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-1070610</wp:posOffset>
            </wp:positionV>
            <wp:extent cx="68580" cy="8255"/>
            <wp:wrapNone/>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48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-1053465</wp:posOffset>
            </wp:positionV>
            <wp:extent cx="68580" cy="8890"/>
            <wp:wrapNone/>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48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-1070610</wp:posOffset>
            </wp:positionV>
            <wp:extent cx="68580" cy="8255"/>
            <wp:wrapNone/>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48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-1053465</wp:posOffset>
            </wp:positionV>
            <wp:extent cx="68580" cy="8890"/>
            <wp:wrapNone/>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48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484">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485">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170" w:right="339" w:bottom="1440" w:gutter="0" w:footer="0" w:header="0"/>
        </w:sectPr>
      </w:pPr>
    </w:p>
    <w:bookmarkStart w:id="112" w:name="page113"/>
    <w:bookmarkEnd w:id="112"/>
    <w:tbl>
      <w:tblPr>
        <w:tblLayout w:type="fixed"/>
        <w:tblInd w:w="0" w:type="dxa"/>
        <w:tblCellMar>
          <w:top w:w="0" w:type="dxa"/>
          <w:left w:w="0" w:type="dxa"/>
          <w:bottom w:w="0" w:type="dxa"/>
          <w:right w:w="0" w:type="dxa"/>
        </w:tblCellMar>
      </w:tblPr>
      <w:tr>
        <w:trPr>
          <w:trHeight w:val="173"/>
        </w:trPr>
        <w:tc>
          <w:tcPr>
            <w:tcW w:w="2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360" w:type="dxa"/>
            <w:vAlign w:val="bottom"/>
          </w:tcPr>
          <w:p>
            <w:pPr>
              <w:spacing w:after="0"/>
              <w:rPr>
                <w:sz w:val="15"/>
                <w:szCs w:val="15"/>
                <w:color w:val="auto"/>
              </w:rPr>
            </w:pPr>
          </w:p>
        </w:tc>
        <w:tc>
          <w:tcPr>
            <w:tcW w:w="3440" w:type="dxa"/>
            <w:vAlign w:val="bottom"/>
          </w:tcPr>
          <w:p>
            <w:pPr>
              <w:spacing w:after="0"/>
              <w:rPr>
                <w:sz w:val="15"/>
                <w:szCs w:val="15"/>
                <w:color w:val="auto"/>
              </w:rPr>
            </w:pPr>
          </w:p>
        </w:tc>
        <w:tc>
          <w:tcPr>
            <w:tcW w:w="88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480" w:type="dxa"/>
            <w:vAlign w:val="bottom"/>
            <w:tcBorders>
              <w:bottom w:val="single" w:sz="8" w:color="auto"/>
            </w:tcBorders>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2080" w:type="dxa"/>
            <w:vAlign w:val="bottom"/>
            <w:tcBorders>
              <w:bottom w:val="single" w:sz="8" w:color="auto"/>
            </w:tcBorders>
            <w:gridSpan w:val="5"/>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Year Ended December 31, 2023</w:t>
            </w:r>
          </w:p>
        </w:tc>
        <w:tc>
          <w:tcPr>
            <w:tcW w:w="160" w:type="dxa"/>
            <w:vAlign w:val="bottom"/>
            <w:tcBorders>
              <w:bottom w:val="single" w:sz="8" w:color="auto"/>
            </w:tcBorders>
          </w:tcPr>
          <w:p>
            <w:pPr>
              <w:spacing w:after="0"/>
              <w:rPr>
                <w:sz w:val="15"/>
                <w:szCs w:val="15"/>
                <w:color w:val="auto"/>
              </w:rPr>
            </w:pPr>
          </w:p>
        </w:tc>
        <w:tc>
          <w:tcPr>
            <w:tcW w:w="150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4740" w:type="dxa"/>
            <w:vAlign w:val="bottom"/>
            <w:gridSpan w:val="4"/>
            <w:vMerge w:val="restart"/>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88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580" w:type="dxa"/>
            <w:vAlign w:val="bottom"/>
            <w:gridSpan w:val="2"/>
          </w:tcPr>
          <w:p>
            <w:pPr>
              <w:jc w:val="right"/>
              <w:ind w:right="380"/>
              <w:spacing w:after="0" w:line="142" w:lineRule="exact"/>
              <w:rPr>
                <w:sz w:val="20"/>
                <w:szCs w:val="20"/>
                <w:color w:val="auto"/>
              </w:rPr>
            </w:pPr>
            <w:r>
              <w:rPr>
                <w:rFonts w:ascii="Times New Roman" w:cs="Times New Roman" w:eastAsia="Times New Roman" w:hAnsi="Times New Roman"/>
                <w:sz w:val="14"/>
                <w:szCs w:val="14"/>
                <w:b w:val="1"/>
                <w:bCs w:val="1"/>
                <w:color w:val="auto"/>
              </w:rPr>
              <w:t>Software Business</w:t>
            </w:r>
          </w:p>
        </w:tc>
        <w:tc>
          <w:tcPr>
            <w:tcW w:w="1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760" w:type="dxa"/>
            <w:vAlign w:val="bottom"/>
            <w:gridSpan w:val="3"/>
          </w:tcPr>
          <w:p>
            <w:pPr>
              <w:jc w:val="center"/>
              <w:ind w:right="440"/>
              <w:spacing w:after="0" w:line="142" w:lineRule="exact"/>
              <w:rPr>
                <w:sz w:val="20"/>
                <w:szCs w:val="20"/>
                <w:color w:val="auto"/>
              </w:rPr>
            </w:pPr>
            <w:r>
              <w:rPr>
                <w:rFonts w:ascii="Times New Roman" w:cs="Times New Roman" w:eastAsia="Times New Roman" w:hAnsi="Times New Roman"/>
                <w:sz w:val="14"/>
                <w:szCs w:val="14"/>
                <w:b w:val="1"/>
                <w:bCs w:val="1"/>
                <w:color w:val="auto"/>
              </w:rPr>
              <w:t>Corporate &amp; Other</w:t>
            </w:r>
          </w:p>
        </w:tc>
        <w:tc>
          <w:tcPr>
            <w:tcW w:w="160" w:type="dxa"/>
            <w:vAlign w:val="bottom"/>
          </w:tcPr>
          <w:p>
            <w:pPr>
              <w:spacing w:after="0"/>
              <w:rPr>
                <w:sz w:val="12"/>
                <w:szCs w:val="12"/>
                <w:color w:val="auto"/>
              </w:rPr>
            </w:pPr>
          </w:p>
        </w:tc>
        <w:tc>
          <w:tcPr>
            <w:tcW w:w="1500" w:type="dxa"/>
            <w:vAlign w:val="bottom"/>
          </w:tcPr>
          <w:p>
            <w:pPr>
              <w:jc w:val="right"/>
              <w:ind w:right="171"/>
              <w:spacing w:after="0" w:line="142" w:lineRule="exact"/>
              <w:rPr>
                <w:sz w:val="20"/>
                <w:szCs w:val="20"/>
                <w:color w:val="auto"/>
              </w:rPr>
            </w:pPr>
            <w:r>
              <w:rPr>
                <w:rFonts w:ascii="Times New Roman" w:cs="Times New Roman" w:eastAsia="Times New Roman" w:hAnsi="Times New Roman"/>
                <w:sz w:val="14"/>
                <w:szCs w:val="14"/>
                <w:b w:val="1"/>
                <w:bCs w:val="1"/>
                <w:color w:val="auto"/>
              </w:rPr>
              <w:t>Total Consolidated</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4740" w:type="dxa"/>
            <w:vAlign w:val="bottom"/>
            <w:gridSpan w:val="4"/>
            <w:vMerge w:val="continue"/>
          </w:tcPr>
          <w:p>
            <w:pPr>
              <w:spacing w:after="0"/>
              <w:rPr>
                <w:sz w:val="18"/>
                <w:szCs w:val="18"/>
                <w:color w:val="auto"/>
              </w:rPr>
            </w:pPr>
          </w:p>
        </w:tc>
        <w:tc>
          <w:tcPr>
            <w:tcW w:w="880" w:type="dxa"/>
            <w:vAlign w:val="bottom"/>
          </w:tcPr>
          <w:p>
            <w:pPr>
              <w:spacing w:after="0"/>
              <w:rPr>
                <w:sz w:val="18"/>
                <w:szCs w:val="18"/>
                <w:color w:val="auto"/>
              </w:rPr>
            </w:pPr>
          </w:p>
        </w:tc>
        <w:tc>
          <w:tcPr>
            <w:tcW w:w="200" w:type="dxa"/>
            <w:vAlign w:val="bottom"/>
            <w:tcBorders>
              <w:top w:val="single" w:sz="8" w:color="auto"/>
            </w:tcBorders>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496,261</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Borders>
              <w:top w:val="single" w:sz="8" w:color="auto"/>
            </w:tcBorders>
          </w:tcPr>
          <w:p>
            <w:pPr>
              <w:spacing w:after="0"/>
              <w:rPr>
                <w:sz w:val="18"/>
                <w:szCs w:val="18"/>
                <w:color w:val="auto"/>
              </w:rPr>
            </w:pPr>
          </w:p>
        </w:tc>
        <w:tc>
          <w:tcPr>
            <w:tcW w:w="1500" w:type="dxa"/>
            <w:vAlign w:val="bottom"/>
            <w:tcBorders>
              <w:top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496,261</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740" w:type="dxa"/>
            <w:vAlign w:val="bottom"/>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Significant expenses (1)</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spacing w:after="0"/>
              <w:rPr>
                <w:sz w:val="18"/>
                <w:szCs w:val="18"/>
                <w:color w:val="auto"/>
              </w:rPr>
            </w:pP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176"/>
        </w:trPr>
        <w:tc>
          <w:tcPr>
            <w:tcW w:w="4740" w:type="dxa"/>
            <w:vAlign w:val="bottom"/>
            <w:gridSpan w:val="4"/>
          </w:tcPr>
          <w:p>
            <w:pPr>
              <w:ind w:left="20"/>
              <w:spacing w:after="0" w:line="176" w:lineRule="exact"/>
              <w:rPr>
                <w:sz w:val="20"/>
                <w:szCs w:val="20"/>
                <w:color w:val="auto"/>
              </w:rPr>
            </w:pPr>
            <w:r>
              <w:rPr>
                <w:rFonts w:ascii="Times New Roman" w:cs="Times New Roman" w:eastAsia="Times New Roman" w:hAnsi="Times New Roman"/>
                <w:sz w:val="18"/>
                <w:szCs w:val="18"/>
                <w:i w:val="1"/>
                <w:iCs w:val="1"/>
                <w:color w:val="auto"/>
              </w:rPr>
              <w:t>Controllable</w:t>
            </w:r>
          </w:p>
        </w:tc>
        <w:tc>
          <w:tcPr>
            <w:tcW w:w="88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148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50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50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920" w:type="dxa"/>
            <w:vAlign w:val="bottom"/>
            <w:tcBorders>
              <w:top w:val="single" w:sz="8" w:color="auto"/>
            </w:tcBorders>
          </w:tcPr>
          <w:p>
            <w:pPr>
              <w:spacing w:after="0" w:line="20" w:lineRule="exact"/>
              <w:rPr>
                <w:sz w:val="1"/>
                <w:szCs w:val="1"/>
                <w:color w:val="auto"/>
              </w:rPr>
            </w:pPr>
          </w:p>
        </w:tc>
        <w:tc>
          <w:tcPr>
            <w:tcW w:w="360" w:type="dxa"/>
            <w:vAlign w:val="bottom"/>
          </w:tcPr>
          <w:p>
            <w:pPr>
              <w:spacing w:after="0" w:line="20" w:lineRule="exact"/>
              <w:rPr>
                <w:sz w:val="1"/>
                <w:szCs w:val="1"/>
                <w:color w:val="auto"/>
              </w:rPr>
            </w:pPr>
          </w:p>
        </w:tc>
        <w:tc>
          <w:tcPr>
            <w:tcW w:w="3440" w:type="dxa"/>
            <w:vAlign w:val="bottom"/>
          </w:tcPr>
          <w:p>
            <w:pPr>
              <w:spacing w:after="0" w:line="20" w:lineRule="exact"/>
              <w:rPr>
                <w:sz w:val="1"/>
                <w:szCs w:val="1"/>
                <w:color w:val="auto"/>
              </w:rPr>
            </w:pPr>
          </w:p>
        </w:tc>
        <w:tc>
          <w:tcPr>
            <w:tcW w:w="880" w:type="dxa"/>
            <w:vAlign w:val="bottom"/>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48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50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50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Sales and marketing</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(112,408 )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(112,408 )</w:t>
            </w:r>
          </w:p>
        </w:tc>
        <w:tc>
          <w:tcPr>
            <w:tcW w:w="0" w:type="dxa"/>
            <w:vAlign w:val="bottom"/>
          </w:tcPr>
          <w:p>
            <w:pPr>
              <w:spacing w:after="0"/>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Maintenance</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(20,058 )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(20,058 )</w:t>
            </w:r>
          </w:p>
        </w:tc>
        <w:tc>
          <w:tcPr>
            <w:tcW w:w="0" w:type="dxa"/>
            <w:vAlign w:val="bottom"/>
          </w:tcPr>
          <w:p>
            <w:pPr>
              <w:spacing w:after="0"/>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Consulting</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(61,019 )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(61,019 )</w:t>
            </w:r>
          </w:p>
        </w:tc>
        <w:tc>
          <w:tcPr>
            <w:tcW w:w="0" w:type="dxa"/>
            <w:vAlign w:val="bottom"/>
          </w:tcPr>
          <w:p>
            <w:pPr>
              <w:spacing w:after="0"/>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Cloud</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(31,466 )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(31,466 )</w:t>
            </w:r>
          </w:p>
        </w:tc>
        <w:tc>
          <w:tcPr>
            <w:tcW w:w="0" w:type="dxa"/>
            <w:vAlign w:val="bottom"/>
          </w:tcPr>
          <w:p>
            <w:pPr>
              <w:spacing w:after="0"/>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Technology</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(106,901 )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(106,901 )</w:t>
            </w:r>
          </w:p>
        </w:tc>
        <w:tc>
          <w:tcPr>
            <w:tcW w:w="0" w:type="dxa"/>
            <w:vAlign w:val="bottom"/>
          </w:tcPr>
          <w:p>
            <w:pPr>
              <w:spacing w:after="0"/>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Corporate resources</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(84,947 )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(84,947 )</w:t>
            </w:r>
          </w:p>
        </w:tc>
        <w:tc>
          <w:tcPr>
            <w:tcW w:w="0" w:type="dxa"/>
            <w:vAlign w:val="bottom"/>
          </w:tcPr>
          <w:p>
            <w:pPr>
              <w:spacing w:after="0"/>
              <w:rPr>
                <w:sz w:val="1"/>
                <w:szCs w:val="1"/>
                <w:color w:val="auto"/>
              </w:rPr>
            </w:pPr>
          </w:p>
        </w:tc>
      </w:tr>
      <w:tr>
        <w:trPr>
          <w:trHeight w:val="176"/>
        </w:trPr>
        <w:tc>
          <w:tcPr>
            <w:tcW w:w="20" w:type="dxa"/>
            <w:vAlign w:val="bottom"/>
            <w:shd w:val="clear" w:color="auto" w:fill="CFF0FC"/>
          </w:tcPr>
          <w:p>
            <w:pPr>
              <w:spacing w:after="0"/>
              <w:rPr>
                <w:sz w:val="15"/>
                <w:szCs w:val="15"/>
                <w:color w:val="auto"/>
              </w:rPr>
            </w:pPr>
          </w:p>
        </w:tc>
        <w:tc>
          <w:tcPr>
            <w:tcW w:w="4720" w:type="dxa"/>
            <w:vAlign w:val="bottom"/>
            <w:gridSpan w:val="3"/>
            <w:shd w:val="clear" w:color="auto" w:fill="CFF0FC"/>
          </w:tcPr>
          <w:p>
            <w:pPr>
              <w:spacing w:after="0" w:line="176" w:lineRule="exact"/>
              <w:rPr>
                <w:sz w:val="20"/>
                <w:szCs w:val="20"/>
                <w:color w:val="auto"/>
              </w:rPr>
            </w:pPr>
            <w:r>
              <w:rPr>
                <w:rFonts w:ascii="Times New Roman" w:cs="Times New Roman" w:eastAsia="Times New Roman" w:hAnsi="Times New Roman"/>
                <w:sz w:val="18"/>
                <w:szCs w:val="18"/>
                <w:i w:val="1"/>
                <w:iCs w:val="1"/>
                <w:color w:val="auto"/>
              </w:rPr>
              <w:t>Non-Controllable</w:t>
            </w:r>
          </w:p>
        </w:tc>
        <w:tc>
          <w:tcPr>
            <w:tcW w:w="880" w:type="dxa"/>
            <w:vAlign w:val="bottom"/>
            <w:shd w:val="clear" w:color="auto" w:fill="CFF0FC"/>
          </w:tcPr>
          <w:p>
            <w:pPr>
              <w:spacing w:after="0"/>
              <w:rPr>
                <w:sz w:val="15"/>
                <w:szCs w:val="15"/>
                <w:color w:val="auto"/>
              </w:rPr>
            </w:pPr>
          </w:p>
        </w:tc>
        <w:tc>
          <w:tcPr>
            <w:tcW w:w="200" w:type="dxa"/>
            <w:vAlign w:val="bottom"/>
            <w:shd w:val="clear" w:color="auto" w:fill="CFF0FC"/>
          </w:tcPr>
          <w:p>
            <w:pPr>
              <w:spacing w:after="0"/>
              <w:rPr>
                <w:sz w:val="15"/>
                <w:szCs w:val="15"/>
                <w:color w:val="auto"/>
              </w:rPr>
            </w:pPr>
          </w:p>
        </w:tc>
        <w:tc>
          <w:tcPr>
            <w:tcW w:w="1480" w:type="dxa"/>
            <w:vAlign w:val="bottom"/>
            <w:shd w:val="clear" w:color="auto" w:fill="CFF0FC"/>
          </w:tcPr>
          <w:p>
            <w:pPr>
              <w:spacing w:after="0"/>
              <w:rPr>
                <w:sz w:val="15"/>
                <w:szCs w:val="15"/>
                <w:color w:val="auto"/>
              </w:rPr>
            </w:pPr>
          </w:p>
        </w:tc>
        <w:tc>
          <w:tcPr>
            <w:tcW w:w="100" w:type="dxa"/>
            <w:vAlign w:val="bottom"/>
            <w:tcBorders>
              <w:right w:val="single" w:sz="8" w:color="CFF0FC"/>
            </w:tcBorders>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50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50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0" w:type="dxa"/>
            <w:vAlign w:val="bottom"/>
          </w:tcPr>
          <w:p>
            <w:pPr>
              <w:spacing w:after="0"/>
              <w:rPr>
                <w:sz w:val="1"/>
                <w:szCs w:val="1"/>
                <w:color w:val="auto"/>
              </w:rPr>
            </w:pPr>
          </w:p>
        </w:tc>
      </w:tr>
      <w:tr>
        <w:trPr>
          <w:trHeight w:val="21"/>
        </w:trPr>
        <w:tc>
          <w:tcPr>
            <w:tcW w:w="20" w:type="dxa"/>
            <w:vAlign w:val="bottom"/>
            <w:tcBorders>
              <w:top w:val="single" w:sz="8" w:color="CFF0FC"/>
            </w:tcBorders>
            <w:shd w:val="clear" w:color="auto" w:fill="CFF0FC"/>
          </w:tcPr>
          <w:p>
            <w:pPr>
              <w:spacing w:after="0" w:line="20" w:lineRule="exact"/>
              <w:rPr>
                <w:sz w:val="1"/>
                <w:szCs w:val="1"/>
                <w:color w:val="auto"/>
              </w:rPr>
            </w:pPr>
          </w:p>
        </w:tc>
        <w:tc>
          <w:tcPr>
            <w:tcW w:w="920" w:type="dxa"/>
            <w:vAlign w:val="bottom"/>
            <w:tcBorders>
              <w:top w:val="single" w:sz="8" w:color="auto"/>
            </w:tcBorders>
            <w:shd w:val="clear" w:color="auto" w:fill="CFF0FC"/>
          </w:tcPr>
          <w:p>
            <w:pPr>
              <w:spacing w:after="0" w:line="20" w:lineRule="exact"/>
              <w:rPr>
                <w:sz w:val="1"/>
                <w:szCs w:val="1"/>
                <w:color w:val="auto"/>
              </w:rPr>
            </w:pPr>
          </w:p>
        </w:tc>
        <w:tc>
          <w:tcPr>
            <w:tcW w:w="360" w:type="dxa"/>
            <w:vAlign w:val="bottom"/>
            <w:tcBorders>
              <w:top w:val="single" w:sz="8" w:color="auto"/>
            </w:tcBorders>
            <w:shd w:val="clear" w:color="auto" w:fill="CFF0FC"/>
          </w:tcPr>
          <w:p>
            <w:pPr>
              <w:spacing w:after="0" w:line="20" w:lineRule="exact"/>
              <w:rPr>
                <w:sz w:val="1"/>
                <w:szCs w:val="1"/>
                <w:color w:val="auto"/>
              </w:rPr>
            </w:pPr>
          </w:p>
        </w:tc>
        <w:tc>
          <w:tcPr>
            <w:tcW w:w="3440" w:type="dxa"/>
            <w:vAlign w:val="bottom"/>
            <w:tcBorders>
              <w:top w:val="single" w:sz="8" w:color="CFF0FC"/>
            </w:tcBorders>
            <w:shd w:val="clear" w:color="auto" w:fill="CFF0FC"/>
          </w:tcPr>
          <w:p>
            <w:pPr>
              <w:spacing w:after="0" w:line="20" w:lineRule="exact"/>
              <w:rPr>
                <w:sz w:val="1"/>
                <w:szCs w:val="1"/>
                <w:color w:val="auto"/>
              </w:rPr>
            </w:pPr>
          </w:p>
        </w:tc>
        <w:tc>
          <w:tcPr>
            <w:tcW w:w="88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148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right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50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50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(115,851 )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(115,851 )</w:t>
            </w:r>
          </w:p>
        </w:tc>
        <w:tc>
          <w:tcPr>
            <w:tcW w:w="0" w:type="dxa"/>
            <w:vAlign w:val="bottom"/>
          </w:tcPr>
          <w:p>
            <w:pPr>
              <w:spacing w:after="0"/>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Digital asset custody fees</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spacing w:after="0"/>
              <w:rPr>
                <w:sz w:val="18"/>
                <w:szCs w:val="18"/>
                <w:color w:val="auto"/>
              </w:rPr>
            </w:pP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(1,572 )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(1,572 )</w:t>
            </w:r>
          </w:p>
        </w:tc>
        <w:tc>
          <w:tcPr>
            <w:tcW w:w="0" w:type="dxa"/>
            <w:vAlign w:val="bottom"/>
          </w:tcPr>
          <w:p>
            <w:pPr>
              <w:spacing w:after="0"/>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(69,571 )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(69,571 )</w:t>
            </w:r>
          </w:p>
        </w:tc>
        <w:tc>
          <w:tcPr>
            <w:tcW w:w="0" w:type="dxa"/>
            <w:vAlign w:val="bottom"/>
          </w:tcPr>
          <w:p>
            <w:pPr>
              <w:spacing w:after="0"/>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Payroll taxes on equity award exercises and vestings</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(820 )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(820 )</w:t>
            </w:r>
          </w:p>
        </w:tc>
        <w:tc>
          <w:tcPr>
            <w:tcW w:w="0" w:type="dxa"/>
            <w:vAlign w:val="bottom"/>
          </w:tcPr>
          <w:p>
            <w:pPr>
              <w:spacing w:after="0"/>
              <w:rPr>
                <w:sz w:val="1"/>
                <w:szCs w:val="1"/>
                <w:color w:val="auto"/>
              </w:rPr>
            </w:pPr>
          </w:p>
        </w:tc>
      </w:tr>
      <w:tr>
        <w:trPr>
          <w:trHeight w:val="216"/>
        </w:trPr>
        <w:tc>
          <w:tcPr>
            <w:tcW w:w="4740" w:type="dxa"/>
            <w:vAlign w:val="bottom"/>
            <w:gridSpan w:val="4"/>
          </w:tcPr>
          <w:p>
            <w:pPr>
              <w:ind w:left="20"/>
              <w:spacing w:after="0"/>
              <w:rPr>
                <w:sz w:val="20"/>
                <w:szCs w:val="20"/>
                <w:color w:val="auto"/>
              </w:rPr>
            </w:pPr>
            <w:r>
              <w:rPr>
                <w:rFonts w:ascii="Times New Roman" w:cs="Times New Roman" w:eastAsia="Times New Roman" w:hAnsi="Times New Roman"/>
                <w:sz w:val="18"/>
                <w:szCs w:val="18"/>
                <w:color w:val="auto"/>
              </w:rPr>
              <w:t>Other segment items (2)</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(10,717 )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(1,182 )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(11,899 )</w:t>
            </w:r>
          </w:p>
        </w:tc>
        <w:tc>
          <w:tcPr>
            <w:tcW w:w="0" w:type="dxa"/>
            <w:vAlign w:val="bottom"/>
          </w:tcPr>
          <w:p>
            <w:pPr>
              <w:spacing w:after="0"/>
              <w:rPr>
                <w:sz w:val="1"/>
                <w:szCs w:val="1"/>
                <w:color w:val="auto"/>
              </w:rPr>
            </w:pPr>
          </w:p>
        </w:tc>
      </w:tr>
      <w:tr>
        <w:trPr>
          <w:trHeight w:val="216"/>
        </w:trPr>
        <w:tc>
          <w:tcPr>
            <w:tcW w:w="4740" w:type="dxa"/>
            <w:vAlign w:val="bottom"/>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Interest expense, net (3)</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spacing w:after="0"/>
              <w:rPr>
                <w:sz w:val="18"/>
                <w:szCs w:val="18"/>
                <w:color w:val="auto"/>
              </w:rPr>
            </w:pP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(48,960 )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(48,960 )</w:t>
            </w:r>
          </w:p>
        </w:tc>
        <w:tc>
          <w:tcPr>
            <w:tcW w:w="0" w:type="dxa"/>
            <w:vAlign w:val="bottom"/>
          </w:tcPr>
          <w:p>
            <w:pPr>
              <w:spacing w:after="0"/>
              <w:rPr>
                <w:sz w:val="1"/>
                <w:szCs w:val="1"/>
                <w:color w:val="auto"/>
              </w:rPr>
            </w:pPr>
          </w:p>
        </w:tc>
      </w:tr>
      <w:tr>
        <w:trPr>
          <w:trHeight w:val="216"/>
        </w:trPr>
        <w:tc>
          <w:tcPr>
            <w:tcW w:w="4740" w:type="dxa"/>
            <w:vAlign w:val="bottom"/>
            <w:gridSpan w:val="4"/>
          </w:tcPr>
          <w:p>
            <w:pPr>
              <w:ind w:left="20"/>
              <w:spacing w:after="0"/>
              <w:rPr>
                <w:sz w:val="20"/>
                <w:szCs w:val="20"/>
                <w:color w:val="auto"/>
              </w:rPr>
            </w:pPr>
            <w:r>
              <w:rPr>
                <w:rFonts w:ascii="Times New Roman" w:cs="Times New Roman" w:eastAsia="Times New Roman" w:hAnsi="Times New Roman"/>
                <w:sz w:val="18"/>
                <w:szCs w:val="18"/>
                <w:color w:val="auto"/>
              </w:rPr>
              <w:t>Gain on debt extinguishment</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44,686</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44,686</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740" w:type="dxa"/>
            <w:vAlign w:val="bottom"/>
            <w:tcBorders>
              <w:bottom w:val="single" w:sz="8" w:color="CFF0FC"/>
            </w:tcBorders>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Income tax benefit (4)</w:t>
            </w:r>
          </w:p>
        </w:tc>
        <w:tc>
          <w:tcPr>
            <w:tcW w:w="880" w:type="dxa"/>
            <w:vAlign w:val="bottom"/>
            <w:tcBorders>
              <w:bottom w:val="single" w:sz="8" w:color="CFF0FC"/>
            </w:tcBorders>
            <w:shd w:val="clear" w:color="auto" w:fill="CFF0FC"/>
          </w:tcPr>
          <w:p>
            <w:pPr>
              <w:spacing w:after="0"/>
              <w:rPr>
                <w:sz w:val="18"/>
                <w:szCs w:val="18"/>
                <w:color w:val="auto"/>
              </w:rPr>
            </w:pPr>
          </w:p>
        </w:tc>
        <w:tc>
          <w:tcPr>
            <w:tcW w:w="200" w:type="dxa"/>
            <w:vAlign w:val="bottom"/>
            <w:tcBorders>
              <w:bottom w:val="single" w:sz="8" w:color="auto"/>
            </w:tcBorders>
            <w:shd w:val="clear" w:color="auto" w:fill="CFF0FC"/>
          </w:tcPr>
          <w:p>
            <w:pPr>
              <w:spacing w:after="0"/>
              <w:rPr>
                <w:sz w:val="18"/>
                <w:szCs w:val="18"/>
                <w:color w:val="auto"/>
              </w:rPr>
            </w:pPr>
          </w:p>
        </w:tc>
        <w:tc>
          <w:tcPr>
            <w:tcW w:w="14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10,553</w:t>
            </w:r>
          </w:p>
        </w:tc>
        <w:tc>
          <w:tcPr>
            <w:tcW w:w="100" w:type="dxa"/>
            <w:vAlign w:val="bottom"/>
            <w:tcBorders>
              <w:bottom w:val="single" w:sz="8" w:color="CFF0FC"/>
              <w:right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1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543,093</w:t>
            </w:r>
          </w:p>
        </w:tc>
        <w:tc>
          <w:tcPr>
            <w:tcW w:w="10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1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553,646</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4740" w:type="dxa"/>
            <w:vAlign w:val="bottom"/>
            <w:gridSpan w:val="4"/>
          </w:tcPr>
          <w:p>
            <w:pPr>
              <w:ind w:left="20"/>
              <w:spacing w:after="0"/>
              <w:rPr>
                <w:sz w:val="20"/>
                <w:szCs w:val="20"/>
                <w:color w:val="auto"/>
              </w:rPr>
            </w:pPr>
            <w:r>
              <w:rPr>
                <w:rFonts w:ascii="Times New Roman" w:cs="Times New Roman" w:eastAsia="Times New Roman" w:hAnsi="Times New Roman"/>
                <w:sz w:val="18"/>
                <w:szCs w:val="18"/>
                <w:color w:val="auto"/>
              </w:rPr>
              <w:t>Net income</w:t>
            </w:r>
          </w:p>
        </w:tc>
        <w:tc>
          <w:tcPr>
            <w:tcW w:w="1080" w:type="dxa"/>
            <w:vAlign w:val="bottom"/>
            <w:gridSpan w:val="2"/>
          </w:tcPr>
          <w:p>
            <w:pPr>
              <w:jc w:val="right"/>
              <w:ind w:right="10"/>
              <w:spacing w:after="0"/>
              <w:rPr>
                <w:sz w:val="20"/>
                <w:szCs w:val="20"/>
                <w:color w:val="auto"/>
              </w:rPr>
            </w:pPr>
            <w:r>
              <w:rPr>
                <w:rFonts w:ascii="Times New Roman" w:cs="Times New Roman" w:eastAsia="Times New Roman" w:hAnsi="Times New Roman"/>
                <w:sz w:val="18"/>
                <w:szCs w:val="18"/>
                <w:color w:val="auto"/>
              </w:rPr>
              <w:t>$</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8,907</w:t>
            </w:r>
          </w:p>
        </w:tc>
        <w:tc>
          <w:tcPr>
            <w:tcW w:w="100" w:type="dxa"/>
            <w:vAlign w:val="bottom"/>
          </w:tcPr>
          <w:p>
            <w:pPr>
              <w:spacing w:after="0"/>
              <w:rPr>
                <w:sz w:val="18"/>
                <w:szCs w:val="18"/>
                <w:color w:val="auto"/>
              </w:rPr>
            </w:pPr>
          </w:p>
        </w:tc>
        <w:tc>
          <w:tcPr>
            <w:tcW w:w="3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5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420,214</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429,121</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920" w:type="dxa"/>
            <w:vAlign w:val="bottom"/>
          </w:tcPr>
          <w:p>
            <w:pPr>
              <w:spacing w:after="0" w:line="20" w:lineRule="exact"/>
              <w:rPr>
                <w:sz w:val="1"/>
                <w:szCs w:val="1"/>
                <w:color w:val="auto"/>
              </w:rPr>
            </w:pPr>
          </w:p>
        </w:tc>
        <w:tc>
          <w:tcPr>
            <w:tcW w:w="360" w:type="dxa"/>
            <w:vAlign w:val="bottom"/>
          </w:tcPr>
          <w:p>
            <w:pPr>
              <w:spacing w:after="0" w:line="20" w:lineRule="exact"/>
              <w:rPr>
                <w:sz w:val="1"/>
                <w:szCs w:val="1"/>
                <w:color w:val="auto"/>
              </w:rPr>
            </w:pPr>
          </w:p>
        </w:tc>
        <w:tc>
          <w:tcPr>
            <w:tcW w:w="3440" w:type="dxa"/>
            <w:vAlign w:val="bottom"/>
          </w:tcPr>
          <w:p>
            <w:pPr>
              <w:spacing w:after="0" w:line="20" w:lineRule="exact"/>
              <w:rPr>
                <w:sz w:val="1"/>
                <w:szCs w:val="1"/>
                <w:color w:val="auto"/>
              </w:rPr>
            </w:pPr>
          </w:p>
        </w:tc>
        <w:tc>
          <w:tcPr>
            <w:tcW w:w="88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4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50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50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7"/>
        </w:trPr>
        <w:tc>
          <w:tcPr>
            <w:tcW w:w="4740" w:type="dxa"/>
            <w:vAlign w:val="bottom"/>
            <w:gridSpan w:val="4"/>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color w:val="auto"/>
              </w:rPr>
              <w:t>Total assets, as of December 31, 2023 (5)</w:t>
            </w:r>
          </w:p>
        </w:tc>
        <w:tc>
          <w:tcPr>
            <w:tcW w:w="1080" w:type="dxa"/>
            <w:vAlign w:val="bottom"/>
            <w:gridSpan w:val="2"/>
            <w:shd w:val="clear" w:color="auto" w:fill="CFF0FC"/>
          </w:tcPr>
          <w:p>
            <w:pPr>
              <w:jc w:val="right"/>
              <w:ind w:right="1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48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470,353</w:t>
            </w:r>
          </w:p>
        </w:tc>
        <w:tc>
          <w:tcPr>
            <w:tcW w:w="100" w:type="dxa"/>
            <w:vAlign w:val="bottom"/>
            <w:tcBorders>
              <w:right w:val="single" w:sz="8" w:color="CFF0FC"/>
            </w:tcBorders>
            <w:shd w:val="clear" w:color="auto" w:fill="CFF0FC"/>
          </w:tcPr>
          <w:p>
            <w:pPr>
              <w:spacing w:after="0"/>
              <w:rPr>
                <w:sz w:val="17"/>
                <w:szCs w:val="17"/>
                <w:color w:val="auto"/>
              </w:rPr>
            </w:pPr>
          </w:p>
        </w:tc>
        <w:tc>
          <w:tcPr>
            <w:tcW w:w="320" w:type="dxa"/>
            <w:vAlign w:val="bottom"/>
            <w:gridSpan w:val="2"/>
            <w:shd w:val="clear" w:color="auto" w:fill="CFF0FC"/>
          </w:tcPr>
          <w:p>
            <w:pPr>
              <w:jc w:val="right"/>
              <w:ind w:right="6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50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4,292,175</w:t>
            </w:r>
          </w:p>
        </w:tc>
        <w:tc>
          <w:tcPr>
            <w:tcW w:w="10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w w:val="88"/>
              </w:rPr>
              <w:t>$</w:t>
            </w:r>
          </w:p>
        </w:tc>
        <w:tc>
          <w:tcPr>
            <w:tcW w:w="150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4,762,528</w:t>
            </w:r>
          </w:p>
        </w:tc>
        <w:tc>
          <w:tcPr>
            <w:tcW w:w="10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446"/>
        </w:trPr>
        <w:tc>
          <w:tcPr>
            <w:tcW w:w="2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3440" w:type="dxa"/>
            <w:vAlign w:val="bottom"/>
          </w:tcPr>
          <w:p>
            <w:pPr>
              <w:spacing w:after="0"/>
              <w:rPr>
                <w:sz w:val="24"/>
                <w:szCs w:val="24"/>
                <w:color w:val="auto"/>
              </w:rPr>
            </w:pPr>
          </w:p>
        </w:tc>
        <w:tc>
          <w:tcPr>
            <w:tcW w:w="880" w:type="dxa"/>
            <w:vAlign w:val="bottom"/>
          </w:tcPr>
          <w:p>
            <w:pPr>
              <w:spacing w:after="0"/>
              <w:rPr>
                <w:sz w:val="24"/>
                <w:szCs w:val="24"/>
                <w:color w:val="auto"/>
              </w:rPr>
            </w:pPr>
          </w:p>
        </w:tc>
        <w:tc>
          <w:tcPr>
            <w:tcW w:w="200" w:type="dxa"/>
            <w:vAlign w:val="bottom"/>
            <w:tcBorders>
              <w:bottom w:val="single" w:sz="8" w:color="auto"/>
            </w:tcBorders>
          </w:tcPr>
          <w:p>
            <w:pPr>
              <w:spacing w:after="0"/>
              <w:rPr>
                <w:sz w:val="24"/>
                <w:szCs w:val="24"/>
                <w:color w:val="auto"/>
              </w:rPr>
            </w:pPr>
          </w:p>
        </w:tc>
        <w:tc>
          <w:tcPr>
            <w:tcW w:w="1480" w:type="dxa"/>
            <w:vAlign w:val="bottom"/>
            <w:tcBorders>
              <w:bottom w:val="single" w:sz="8" w:color="auto"/>
            </w:tcBorders>
          </w:tcPr>
          <w:p>
            <w:pPr>
              <w:spacing w:after="0"/>
              <w:rPr>
                <w:sz w:val="24"/>
                <w:szCs w:val="24"/>
                <w:color w:val="auto"/>
              </w:rPr>
            </w:pPr>
          </w:p>
        </w:tc>
        <w:tc>
          <w:tcPr>
            <w:tcW w:w="100" w:type="dxa"/>
            <w:vAlign w:val="bottom"/>
            <w:tcBorders>
              <w:bottom w:val="single" w:sz="8" w:color="auto"/>
            </w:tcBorders>
          </w:tcPr>
          <w:p>
            <w:pPr>
              <w:spacing w:after="0"/>
              <w:rPr>
                <w:sz w:val="24"/>
                <w:szCs w:val="24"/>
                <w:color w:val="auto"/>
              </w:rPr>
            </w:pPr>
          </w:p>
        </w:tc>
        <w:tc>
          <w:tcPr>
            <w:tcW w:w="2080" w:type="dxa"/>
            <w:vAlign w:val="bottom"/>
            <w:tcBorders>
              <w:bottom w:val="single" w:sz="8" w:color="auto"/>
            </w:tcBorders>
            <w:gridSpan w:val="5"/>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Year Ended December 31, 2022</w:t>
            </w:r>
          </w:p>
        </w:tc>
        <w:tc>
          <w:tcPr>
            <w:tcW w:w="160" w:type="dxa"/>
            <w:vAlign w:val="bottom"/>
            <w:tcBorders>
              <w:bottom w:val="single" w:sz="8" w:color="auto"/>
            </w:tcBorders>
          </w:tcPr>
          <w:p>
            <w:pPr>
              <w:spacing w:after="0"/>
              <w:rPr>
                <w:sz w:val="24"/>
                <w:szCs w:val="24"/>
                <w:color w:val="auto"/>
              </w:rPr>
            </w:pPr>
          </w:p>
        </w:tc>
        <w:tc>
          <w:tcPr>
            <w:tcW w:w="150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42"/>
        </w:trPr>
        <w:tc>
          <w:tcPr>
            <w:tcW w:w="20" w:type="dxa"/>
            <w:vAlign w:val="bottom"/>
          </w:tcPr>
          <w:p>
            <w:pPr>
              <w:spacing w:after="0"/>
              <w:rPr>
                <w:sz w:val="12"/>
                <w:szCs w:val="12"/>
                <w:color w:val="auto"/>
              </w:rPr>
            </w:pPr>
          </w:p>
        </w:tc>
        <w:tc>
          <w:tcPr>
            <w:tcW w:w="920" w:type="dxa"/>
            <w:vAlign w:val="bottom"/>
          </w:tcPr>
          <w:p>
            <w:pPr>
              <w:spacing w:after="0"/>
              <w:rPr>
                <w:sz w:val="12"/>
                <w:szCs w:val="12"/>
                <w:color w:val="auto"/>
              </w:rPr>
            </w:pPr>
          </w:p>
        </w:tc>
        <w:tc>
          <w:tcPr>
            <w:tcW w:w="360" w:type="dxa"/>
            <w:vAlign w:val="bottom"/>
          </w:tcPr>
          <w:p>
            <w:pPr>
              <w:spacing w:after="0"/>
              <w:rPr>
                <w:sz w:val="12"/>
                <w:szCs w:val="12"/>
                <w:color w:val="auto"/>
              </w:rPr>
            </w:pPr>
          </w:p>
        </w:tc>
        <w:tc>
          <w:tcPr>
            <w:tcW w:w="344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1480" w:type="dxa"/>
            <w:vAlign w:val="bottom"/>
            <w:tcBorders>
              <w:bottom w:val="single" w:sz="8" w:color="auto"/>
            </w:tcBorders>
          </w:tcPr>
          <w:p>
            <w:pPr>
              <w:jc w:val="right"/>
              <w:ind w:right="191"/>
              <w:spacing w:after="0" w:line="142" w:lineRule="exact"/>
              <w:rPr>
                <w:sz w:val="20"/>
                <w:szCs w:val="20"/>
                <w:color w:val="auto"/>
              </w:rPr>
            </w:pPr>
            <w:r>
              <w:rPr>
                <w:rFonts w:ascii="Times New Roman" w:cs="Times New Roman" w:eastAsia="Times New Roman" w:hAnsi="Times New Roman"/>
                <w:sz w:val="14"/>
                <w:szCs w:val="14"/>
                <w:b w:val="1"/>
                <w:bCs w:val="1"/>
                <w:color w:val="auto"/>
              </w:rPr>
              <w:t>Software Business</w:t>
            </w:r>
          </w:p>
        </w:tc>
        <w:tc>
          <w:tcPr>
            <w:tcW w:w="1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500" w:type="dxa"/>
            <w:vAlign w:val="bottom"/>
            <w:tcBorders>
              <w:bottom w:val="single" w:sz="8" w:color="auto"/>
            </w:tcBorders>
          </w:tcPr>
          <w:p>
            <w:pPr>
              <w:jc w:val="center"/>
              <w:ind w:right="92"/>
              <w:spacing w:after="0" w:line="142" w:lineRule="exact"/>
              <w:rPr>
                <w:sz w:val="20"/>
                <w:szCs w:val="20"/>
                <w:color w:val="auto"/>
              </w:rPr>
            </w:pPr>
            <w:r>
              <w:rPr>
                <w:rFonts w:ascii="Times New Roman" w:cs="Times New Roman" w:eastAsia="Times New Roman" w:hAnsi="Times New Roman"/>
                <w:sz w:val="14"/>
                <w:szCs w:val="14"/>
                <w:b w:val="1"/>
                <w:bCs w:val="1"/>
                <w:color w:val="auto"/>
              </w:rPr>
              <w:t>Corporate &amp; Other</w:t>
            </w:r>
          </w:p>
        </w:tc>
        <w:tc>
          <w:tcPr>
            <w:tcW w:w="260" w:type="dxa"/>
            <w:vAlign w:val="bottom"/>
            <w:gridSpan w:val="2"/>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500" w:type="dxa"/>
            <w:vAlign w:val="bottom"/>
            <w:tcBorders>
              <w:bottom w:val="single" w:sz="8" w:color="auto"/>
            </w:tcBorders>
          </w:tcPr>
          <w:p>
            <w:pPr>
              <w:jc w:val="right"/>
              <w:ind w:right="171"/>
              <w:spacing w:after="0" w:line="142" w:lineRule="exact"/>
              <w:rPr>
                <w:sz w:val="20"/>
                <w:szCs w:val="20"/>
                <w:color w:val="auto"/>
              </w:rPr>
            </w:pPr>
            <w:r>
              <w:rPr>
                <w:rFonts w:ascii="Times New Roman" w:cs="Times New Roman" w:eastAsia="Times New Roman" w:hAnsi="Times New Roman"/>
                <w:sz w:val="14"/>
                <w:szCs w:val="14"/>
                <w:b w:val="1"/>
                <w:bCs w:val="1"/>
                <w:color w:val="auto"/>
              </w:rPr>
              <w:t>Total Consolidated</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4740" w:type="dxa"/>
            <w:vAlign w:val="bottom"/>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1080" w:type="dxa"/>
            <w:vAlign w:val="bottom"/>
            <w:gridSpan w:val="2"/>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rPr>
              <w:t>$</w:t>
            </w:r>
          </w:p>
        </w:tc>
        <w:tc>
          <w:tcPr>
            <w:tcW w:w="1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499,264</w:t>
            </w: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499,264</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740" w:type="dxa"/>
            <w:vAlign w:val="bottom"/>
            <w:gridSpan w:val="4"/>
          </w:tcPr>
          <w:p>
            <w:pPr>
              <w:ind w:left="20"/>
              <w:spacing w:after="0"/>
              <w:rPr>
                <w:sz w:val="20"/>
                <w:szCs w:val="20"/>
                <w:color w:val="auto"/>
              </w:rPr>
            </w:pPr>
            <w:r>
              <w:rPr>
                <w:rFonts w:ascii="Times New Roman" w:cs="Times New Roman" w:eastAsia="Times New Roman" w:hAnsi="Times New Roman"/>
                <w:sz w:val="18"/>
                <w:szCs w:val="18"/>
                <w:color w:val="auto"/>
              </w:rPr>
              <w:t>Significant expenses (1)</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175"/>
        </w:trPr>
        <w:tc>
          <w:tcPr>
            <w:tcW w:w="20" w:type="dxa"/>
            <w:vAlign w:val="bottom"/>
            <w:shd w:val="clear" w:color="auto" w:fill="CFF0FC"/>
          </w:tcPr>
          <w:p>
            <w:pPr>
              <w:spacing w:after="0"/>
              <w:rPr>
                <w:sz w:val="15"/>
                <w:szCs w:val="15"/>
                <w:color w:val="auto"/>
              </w:rPr>
            </w:pPr>
          </w:p>
        </w:tc>
        <w:tc>
          <w:tcPr>
            <w:tcW w:w="4720" w:type="dxa"/>
            <w:vAlign w:val="bottom"/>
            <w:gridSpan w:val="3"/>
            <w:shd w:val="clear" w:color="auto" w:fill="CFF0FC"/>
          </w:tcPr>
          <w:p>
            <w:pPr>
              <w:spacing w:after="0" w:line="176" w:lineRule="exact"/>
              <w:rPr>
                <w:sz w:val="20"/>
                <w:szCs w:val="20"/>
                <w:color w:val="auto"/>
              </w:rPr>
            </w:pPr>
            <w:r>
              <w:rPr>
                <w:rFonts w:ascii="Times New Roman" w:cs="Times New Roman" w:eastAsia="Times New Roman" w:hAnsi="Times New Roman"/>
                <w:sz w:val="18"/>
                <w:szCs w:val="18"/>
                <w:i w:val="1"/>
                <w:iCs w:val="1"/>
                <w:color w:val="auto"/>
              </w:rPr>
              <w:t>Controllable</w:t>
            </w:r>
          </w:p>
        </w:tc>
        <w:tc>
          <w:tcPr>
            <w:tcW w:w="880" w:type="dxa"/>
            <w:vAlign w:val="bottom"/>
            <w:shd w:val="clear" w:color="auto" w:fill="CFF0FC"/>
          </w:tcPr>
          <w:p>
            <w:pPr>
              <w:spacing w:after="0"/>
              <w:rPr>
                <w:sz w:val="15"/>
                <w:szCs w:val="15"/>
                <w:color w:val="auto"/>
              </w:rPr>
            </w:pPr>
          </w:p>
        </w:tc>
        <w:tc>
          <w:tcPr>
            <w:tcW w:w="200" w:type="dxa"/>
            <w:vAlign w:val="bottom"/>
            <w:shd w:val="clear" w:color="auto" w:fill="CFF0FC"/>
          </w:tcPr>
          <w:p>
            <w:pPr>
              <w:spacing w:after="0"/>
              <w:rPr>
                <w:sz w:val="15"/>
                <w:szCs w:val="15"/>
                <w:color w:val="auto"/>
              </w:rPr>
            </w:pPr>
          </w:p>
        </w:tc>
        <w:tc>
          <w:tcPr>
            <w:tcW w:w="1480" w:type="dxa"/>
            <w:vAlign w:val="bottom"/>
            <w:shd w:val="clear" w:color="auto" w:fill="CFF0FC"/>
          </w:tcPr>
          <w:p>
            <w:pPr>
              <w:spacing w:after="0"/>
              <w:rPr>
                <w:sz w:val="15"/>
                <w:szCs w:val="15"/>
                <w:color w:val="auto"/>
              </w:rPr>
            </w:pPr>
          </w:p>
        </w:tc>
        <w:tc>
          <w:tcPr>
            <w:tcW w:w="100" w:type="dxa"/>
            <w:vAlign w:val="bottom"/>
            <w:tcBorders>
              <w:right w:val="single" w:sz="8" w:color="CFF0FC"/>
            </w:tcBorders>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50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50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0" w:type="dxa"/>
            <w:vAlign w:val="bottom"/>
          </w:tcPr>
          <w:p>
            <w:pPr>
              <w:spacing w:after="0"/>
              <w:rPr>
                <w:sz w:val="1"/>
                <w:szCs w:val="1"/>
                <w:color w:val="auto"/>
              </w:rPr>
            </w:pPr>
          </w:p>
        </w:tc>
      </w:tr>
      <w:tr>
        <w:trPr>
          <w:trHeight w:val="21"/>
        </w:trPr>
        <w:tc>
          <w:tcPr>
            <w:tcW w:w="20" w:type="dxa"/>
            <w:vAlign w:val="bottom"/>
            <w:tcBorders>
              <w:top w:val="single" w:sz="8" w:color="CFF0FC"/>
            </w:tcBorders>
            <w:shd w:val="clear" w:color="auto" w:fill="CFF0FC"/>
          </w:tcPr>
          <w:p>
            <w:pPr>
              <w:spacing w:after="0" w:line="20" w:lineRule="exact"/>
              <w:rPr>
                <w:sz w:val="1"/>
                <w:szCs w:val="1"/>
                <w:color w:val="auto"/>
              </w:rPr>
            </w:pPr>
          </w:p>
        </w:tc>
        <w:tc>
          <w:tcPr>
            <w:tcW w:w="920" w:type="dxa"/>
            <w:vAlign w:val="bottom"/>
            <w:tcBorders>
              <w:top w:val="single" w:sz="8" w:color="auto"/>
            </w:tcBorders>
            <w:shd w:val="clear" w:color="auto" w:fill="CFF0FC"/>
          </w:tcPr>
          <w:p>
            <w:pPr>
              <w:spacing w:after="0" w:line="20" w:lineRule="exact"/>
              <w:rPr>
                <w:sz w:val="1"/>
                <w:szCs w:val="1"/>
                <w:color w:val="auto"/>
              </w:rPr>
            </w:pPr>
          </w:p>
        </w:tc>
        <w:tc>
          <w:tcPr>
            <w:tcW w:w="360" w:type="dxa"/>
            <w:vAlign w:val="bottom"/>
            <w:tcBorders>
              <w:top w:val="single" w:sz="8" w:color="CFF0FC"/>
            </w:tcBorders>
            <w:shd w:val="clear" w:color="auto" w:fill="CFF0FC"/>
          </w:tcPr>
          <w:p>
            <w:pPr>
              <w:spacing w:after="0" w:line="20" w:lineRule="exact"/>
              <w:rPr>
                <w:sz w:val="1"/>
                <w:szCs w:val="1"/>
                <w:color w:val="auto"/>
              </w:rPr>
            </w:pPr>
          </w:p>
        </w:tc>
        <w:tc>
          <w:tcPr>
            <w:tcW w:w="3440" w:type="dxa"/>
            <w:vAlign w:val="bottom"/>
            <w:tcBorders>
              <w:top w:val="single" w:sz="8" w:color="CFF0FC"/>
            </w:tcBorders>
            <w:shd w:val="clear" w:color="auto" w:fill="CFF0FC"/>
          </w:tcPr>
          <w:p>
            <w:pPr>
              <w:spacing w:after="0" w:line="20" w:lineRule="exact"/>
              <w:rPr>
                <w:sz w:val="1"/>
                <w:szCs w:val="1"/>
                <w:color w:val="auto"/>
              </w:rPr>
            </w:pPr>
          </w:p>
        </w:tc>
        <w:tc>
          <w:tcPr>
            <w:tcW w:w="88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148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right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50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50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Sales and marketing</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(106,348 )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(106,348 )</w:t>
            </w:r>
          </w:p>
        </w:tc>
        <w:tc>
          <w:tcPr>
            <w:tcW w:w="0" w:type="dxa"/>
            <w:vAlign w:val="bottom"/>
          </w:tcPr>
          <w:p>
            <w:pPr>
              <w:spacing w:after="0"/>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Maintenance</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(19,211 )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(19,211 )</w:t>
            </w:r>
          </w:p>
        </w:tc>
        <w:tc>
          <w:tcPr>
            <w:tcW w:w="0" w:type="dxa"/>
            <w:vAlign w:val="bottom"/>
          </w:tcPr>
          <w:p>
            <w:pPr>
              <w:spacing w:after="0"/>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Consulting</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(64,843 )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(64,843 )</w:t>
            </w:r>
          </w:p>
        </w:tc>
        <w:tc>
          <w:tcPr>
            <w:tcW w:w="0" w:type="dxa"/>
            <w:vAlign w:val="bottom"/>
          </w:tcPr>
          <w:p>
            <w:pPr>
              <w:spacing w:after="0"/>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Cloud</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(24,488 )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(24,488 )</w:t>
            </w:r>
          </w:p>
        </w:tc>
        <w:tc>
          <w:tcPr>
            <w:tcW w:w="0" w:type="dxa"/>
            <w:vAlign w:val="bottom"/>
          </w:tcPr>
          <w:p>
            <w:pPr>
              <w:spacing w:after="0"/>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Technology</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(115,225 )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(115,225 )</w:t>
            </w:r>
          </w:p>
        </w:tc>
        <w:tc>
          <w:tcPr>
            <w:tcW w:w="0" w:type="dxa"/>
            <w:vAlign w:val="bottom"/>
          </w:tcPr>
          <w:p>
            <w:pPr>
              <w:spacing w:after="0"/>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Corporate resources</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(86,541 )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(86,541 )</w:t>
            </w:r>
          </w:p>
        </w:tc>
        <w:tc>
          <w:tcPr>
            <w:tcW w:w="0" w:type="dxa"/>
            <w:vAlign w:val="bottom"/>
          </w:tcPr>
          <w:p>
            <w:pPr>
              <w:spacing w:after="0"/>
              <w:rPr>
                <w:sz w:val="1"/>
                <w:szCs w:val="1"/>
                <w:color w:val="auto"/>
              </w:rPr>
            </w:pPr>
          </w:p>
        </w:tc>
      </w:tr>
      <w:tr>
        <w:trPr>
          <w:trHeight w:val="175"/>
        </w:trPr>
        <w:tc>
          <w:tcPr>
            <w:tcW w:w="4740" w:type="dxa"/>
            <w:vAlign w:val="bottom"/>
            <w:gridSpan w:val="4"/>
          </w:tcPr>
          <w:p>
            <w:pPr>
              <w:ind w:left="20"/>
              <w:spacing w:after="0" w:line="176" w:lineRule="exact"/>
              <w:rPr>
                <w:sz w:val="20"/>
                <w:szCs w:val="20"/>
                <w:color w:val="auto"/>
              </w:rPr>
            </w:pPr>
            <w:r>
              <w:rPr>
                <w:rFonts w:ascii="Times New Roman" w:cs="Times New Roman" w:eastAsia="Times New Roman" w:hAnsi="Times New Roman"/>
                <w:sz w:val="18"/>
                <w:szCs w:val="18"/>
                <w:i w:val="1"/>
                <w:iCs w:val="1"/>
                <w:color w:val="auto"/>
              </w:rPr>
              <w:t>Non-Controllable</w:t>
            </w:r>
          </w:p>
        </w:tc>
        <w:tc>
          <w:tcPr>
            <w:tcW w:w="88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148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50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50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920" w:type="dxa"/>
            <w:vAlign w:val="bottom"/>
            <w:tcBorders>
              <w:top w:val="single" w:sz="8" w:color="auto"/>
            </w:tcBorders>
          </w:tcPr>
          <w:p>
            <w:pPr>
              <w:spacing w:after="0" w:line="20" w:lineRule="exact"/>
              <w:rPr>
                <w:sz w:val="1"/>
                <w:szCs w:val="1"/>
                <w:color w:val="auto"/>
              </w:rPr>
            </w:pPr>
          </w:p>
        </w:tc>
        <w:tc>
          <w:tcPr>
            <w:tcW w:w="360" w:type="dxa"/>
            <w:vAlign w:val="bottom"/>
            <w:tcBorders>
              <w:top w:val="single" w:sz="8" w:color="auto"/>
            </w:tcBorders>
          </w:tcPr>
          <w:p>
            <w:pPr>
              <w:spacing w:after="0" w:line="20" w:lineRule="exact"/>
              <w:rPr>
                <w:sz w:val="1"/>
                <w:szCs w:val="1"/>
                <w:color w:val="auto"/>
              </w:rPr>
            </w:pPr>
          </w:p>
        </w:tc>
        <w:tc>
          <w:tcPr>
            <w:tcW w:w="3440" w:type="dxa"/>
            <w:vAlign w:val="bottom"/>
          </w:tcPr>
          <w:p>
            <w:pPr>
              <w:spacing w:after="0" w:line="20" w:lineRule="exact"/>
              <w:rPr>
                <w:sz w:val="1"/>
                <w:szCs w:val="1"/>
                <w:color w:val="auto"/>
              </w:rPr>
            </w:pPr>
          </w:p>
        </w:tc>
        <w:tc>
          <w:tcPr>
            <w:tcW w:w="880" w:type="dxa"/>
            <w:vAlign w:val="bottom"/>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48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50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50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Digital asset impairment losses (gains on sale), net</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spacing w:after="0"/>
              <w:rPr>
                <w:sz w:val="18"/>
                <w:szCs w:val="18"/>
                <w:color w:val="auto"/>
              </w:rPr>
            </w:pP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(1,286,286 )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(1,286,286 )</w:t>
            </w:r>
          </w:p>
        </w:tc>
        <w:tc>
          <w:tcPr>
            <w:tcW w:w="0" w:type="dxa"/>
            <w:vAlign w:val="bottom"/>
          </w:tcPr>
          <w:p>
            <w:pPr>
              <w:spacing w:after="0"/>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Digital asset custody fees</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(1,870 )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(1,870 )</w:t>
            </w:r>
          </w:p>
        </w:tc>
        <w:tc>
          <w:tcPr>
            <w:tcW w:w="0" w:type="dxa"/>
            <w:vAlign w:val="bottom"/>
          </w:tcPr>
          <w:p>
            <w:pPr>
              <w:spacing w:after="0"/>
              <w:rPr>
                <w:sz w:val="1"/>
                <w:szCs w:val="1"/>
                <w:color w:val="auto"/>
              </w:rPr>
            </w:pPr>
          </w:p>
        </w:tc>
      </w:tr>
      <w:tr>
        <w:trPr>
          <w:trHeight w:val="216"/>
        </w:trPr>
        <w:tc>
          <w:tcPr>
            <w:tcW w:w="20" w:type="dxa"/>
            <w:vAlign w:val="bottom"/>
            <w:shd w:val="clear" w:color="auto" w:fill="CFF0FC"/>
          </w:tcPr>
          <w:p>
            <w:pPr>
              <w:spacing w:after="0"/>
              <w:rPr>
                <w:sz w:val="18"/>
                <w:szCs w:val="18"/>
                <w:color w:val="auto"/>
              </w:rPr>
            </w:pPr>
          </w:p>
        </w:tc>
        <w:tc>
          <w:tcPr>
            <w:tcW w:w="472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(63,619 )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(63,619 )</w:t>
            </w:r>
          </w:p>
        </w:tc>
        <w:tc>
          <w:tcPr>
            <w:tcW w:w="0" w:type="dxa"/>
            <w:vAlign w:val="bottom"/>
          </w:tcPr>
          <w:p>
            <w:pPr>
              <w:spacing w:after="0"/>
              <w:rPr>
                <w:sz w:val="1"/>
                <w:szCs w:val="1"/>
                <w:color w:val="auto"/>
              </w:rPr>
            </w:pPr>
          </w:p>
        </w:tc>
      </w:tr>
      <w:tr>
        <w:trPr>
          <w:trHeight w:val="216"/>
        </w:trPr>
        <w:tc>
          <w:tcPr>
            <w:tcW w:w="20" w:type="dxa"/>
            <w:vAlign w:val="bottom"/>
          </w:tcPr>
          <w:p>
            <w:pPr>
              <w:spacing w:after="0"/>
              <w:rPr>
                <w:sz w:val="18"/>
                <w:szCs w:val="18"/>
                <w:color w:val="auto"/>
              </w:rPr>
            </w:pPr>
          </w:p>
        </w:tc>
        <w:tc>
          <w:tcPr>
            <w:tcW w:w="4720" w:type="dxa"/>
            <w:vAlign w:val="bottom"/>
            <w:gridSpan w:val="3"/>
          </w:tcPr>
          <w:p>
            <w:pPr>
              <w:ind w:left="180"/>
              <w:spacing w:after="0"/>
              <w:rPr>
                <w:sz w:val="20"/>
                <w:szCs w:val="20"/>
                <w:color w:val="auto"/>
              </w:rPr>
            </w:pPr>
            <w:r>
              <w:rPr>
                <w:rFonts w:ascii="Times New Roman" w:cs="Times New Roman" w:eastAsia="Times New Roman" w:hAnsi="Times New Roman"/>
                <w:sz w:val="18"/>
                <w:szCs w:val="18"/>
                <w:color w:val="auto"/>
              </w:rPr>
              <w:t>Payroll taxes on equity award exercises and vestings</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(238 )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(238 )</w:t>
            </w:r>
          </w:p>
        </w:tc>
        <w:tc>
          <w:tcPr>
            <w:tcW w:w="0" w:type="dxa"/>
            <w:vAlign w:val="bottom"/>
          </w:tcPr>
          <w:p>
            <w:pPr>
              <w:spacing w:after="0"/>
              <w:rPr>
                <w:sz w:val="1"/>
                <w:szCs w:val="1"/>
                <w:color w:val="auto"/>
              </w:rPr>
            </w:pPr>
          </w:p>
        </w:tc>
      </w:tr>
      <w:tr>
        <w:trPr>
          <w:trHeight w:val="216"/>
        </w:trPr>
        <w:tc>
          <w:tcPr>
            <w:tcW w:w="4740" w:type="dxa"/>
            <w:vAlign w:val="bottom"/>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segment items (2)</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1,058</w:t>
            </w: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(982 )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76</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4740" w:type="dxa"/>
            <w:vAlign w:val="bottom"/>
            <w:gridSpan w:val="4"/>
          </w:tcPr>
          <w:p>
            <w:pPr>
              <w:ind w:left="20"/>
              <w:spacing w:after="0"/>
              <w:rPr>
                <w:sz w:val="20"/>
                <w:szCs w:val="20"/>
                <w:color w:val="auto"/>
              </w:rPr>
            </w:pPr>
            <w:r>
              <w:rPr>
                <w:rFonts w:ascii="Times New Roman" w:cs="Times New Roman" w:eastAsia="Times New Roman" w:hAnsi="Times New Roman"/>
                <w:sz w:val="18"/>
                <w:szCs w:val="18"/>
                <w:color w:val="auto"/>
              </w:rPr>
              <w:t>Interest expense, net (3)</w:t>
            </w:r>
          </w:p>
        </w:tc>
        <w:tc>
          <w:tcPr>
            <w:tcW w:w="8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(53,136 )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(53,136 )</w:t>
            </w:r>
          </w:p>
        </w:tc>
        <w:tc>
          <w:tcPr>
            <w:tcW w:w="0" w:type="dxa"/>
            <w:vAlign w:val="bottom"/>
          </w:tcPr>
          <w:p>
            <w:pPr>
              <w:spacing w:after="0"/>
              <w:rPr>
                <w:sz w:val="1"/>
                <w:szCs w:val="1"/>
                <w:color w:val="auto"/>
              </w:rPr>
            </w:pPr>
          </w:p>
        </w:tc>
      </w:tr>
      <w:tr>
        <w:trPr>
          <w:trHeight w:val="216"/>
        </w:trPr>
        <w:tc>
          <w:tcPr>
            <w:tcW w:w="4740" w:type="dxa"/>
            <w:vAlign w:val="bottom"/>
            <w:gridSpan w:val="4"/>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Income tax provision (4)</w:t>
            </w:r>
          </w:p>
        </w:tc>
        <w:tc>
          <w:tcPr>
            <w:tcW w:w="88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(14,798 )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(132,534 )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(147,332 )</w:t>
            </w:r>
          </w:p>
        </w:tc>
        <w:tc>
          <w:tcPr>
            <w:tcW w:w="0" w:type="dxa"/>
            <w:vAlign w:val="bottom"/>
          </w:tcPr>
          <w:p>
            <w:pPr>
              <w:spacing w:after="0"/>
              <w:rPr>
                <w:sz w:val="1"/>
                <w:szCs w:val="1"/>
                <w:color w:val="auto"/>
              </w:rPr>
            </w:pPr>
          </w:p>
        </w:tc>
      </w:tr>
      <w:tr>
        <w:trPr>
          <w:trHeight w:val="20"/>
        </w:trPr>
        <w:tc>
          <w:tcPr>
            <w:tcW w:w="20" w:type="dxa"/>
            <w:vAlign w:val="bottom"/>
            <w:shd w:val="clear" w:color="auto" w:fill="CFF0FC"/>
          </w:tcPr>
          <w:p>
            <w:pPr>
              <w:spacing w:after="0" w:line="20" w:lineRule="exact"/>
              <w:rPr>
                <w:sz w:val="1"/>
                <w:szCs w:val="1"/>
                <w:color w:val="auto"/>
              </w:rPr>
            </w:pPr>
          </w:p>
        </w:tc>
        <w:tc>
          <w:tcPr>
            <w:tcW w:w="920" w:type="dxa"/>
            <w:vAlign w:val="bottom"/>
            <w:shd w:val="clear" w:color="auto" w:fill="CFF0FC"/>
          </w:tcPr>
          <w:p>
            <w:pPr>
              <w:spacing w:after="0" w:line="20" w:lineRule="exact"/>
              <w:rPr>
                <w:sz w:val="1"/>
                <w:szCs w:val="1"/>
                <w:color w:val="auto"/>
              </w:rPr>
            </w:pPr>
          </w:p>
        </w:tc>
        <w:tc>
          <w:tcPr>
            <w:tcW w:w="360" w:type="dxa"/>
            <w:vAlign w:val="bottom"/>
            <w:shd w:val="clear" w:color="auto" w:fill="CFF0FC"/>
          </w:tcPr>
          <w:p>
            <w:pPr>
              <w:spacing w:after="0" w:line="20" w:lineRule="exact"/>
              <w:rPr>
                <w:sz w:val="1"/>
                <w:szCs w:val="1"/>
                <w:color w:val="auto"/>
              </w:rPr>
            </w:pPr>
          </w:p>
        </w:tc>
        <w:tc>
          <w:tcPr>
            <w:tcW w:w="3440" w:type="dxa"/>
            <w:vAlign w:val="bottom"/>
            <w:shd w:val="clear" w:color="auto" w:fill="CFF0FC"/>
          </w:tcPr>
          <w:p>
            <w:pPr>
              <w:spacing w:after="0" w:line="20" w:lineRule="exact"/>
              <w:rPr>
                <w:sz w:val="1"/>
                <w:szCs w:val="1"/>
                <w:color w:val="auto"/>
              </w:rPr>
            </w:pPr>
          </w:p>
        </w:tc>
        <w:tc>
          <w:tcPr>
            <w:tcW w:w="880" w:type="dxa"/>
            <w:vAlign w:val="bottom"/>
            <w:shd w:val="clear" w:color="auto" w:fill="CFF0FC"/>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480" w:type="dxa"/>
            <w:vAlign w:val="bottom"/>
            <w:shd w:val="clear" w:color="auto" w:fill="000000"/>
          </w:tcPr>
          <w:p>
            <w:pPr>
              <w:spacing w:after="0" w:line="20" w:lineRule="exact"/>
              <w:rPr>
                <w:sz w:val="1"/>
                <w:szCs w:val="1"/>
                <w:color w:val="auto"/>
              </w:rPr>
            </w:pPr>
          </w:p>
        </w:tc>
        <w:tc>
          <w:tcPr>
            <w:tcW w:w="100" w:type="dxa"/>
            <w:vAlign w:val="bottom"/>
            <w:tcBorders>
              <w:right w:val="single" w:sz="8" w:color="CFF0FC"/>
            </w:tcBorders>
            <w:shd w:val="clear" w:color="auto" w:fill="CFF0FC"/>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50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50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09"/>
        </w:trPr>
        <w:tc>
          <w:tcPr>
            <w:tcW w:w="4740" w:type="dxa"/>
            <w:vAlign w:val="bottom"/>
            <w:gridSpan w:val="4"/>
          </w:tcPr>
          <w:p>
            <w:pPr>
              <w:ind w:left="20"/>
              <w:spacing w:after="0"/>
              <w:rPr>
                <w:sz w:val="20"/>
                <w:szCs w:val="20"/>
                <w:color w:val="auto"/>
              </w:rPr>
            </w:pPr>
            <w:r>
              <w:rPr>
                <w:rFonts w:ascii="Times New Roman" w:cs="Times New Roman" w:eastAsia="Times New Roman" w:hAnsi="Times New Roman"/>
                <w:sz w:val="18"/>
                <w:szCs w:val="18"/>
                <w:color w:val="auto"/>
              </w:rPr>
              <w:t>Net income (loss)</w:t>
            </w:r>
          </w:p>
        </w:tc>
        <w:tc>
          <w:tcPr>
            <w:tcW w:w="880" w:type="dxa"/>
            <w:vAlign w:val="bottom"/>
          </w:tcPr>
          <w:p>
            <w:pPr>
              <w:spacing w:after="0"/>
              <w:rPr>
                <w:sz w:val="18"/>
                <w:szCs w:val="18"/>
                <w:color w:val="auto"/>
              </w:rPr>
            </w:pP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5,011</w:t>
            </w:r>
          </w:p>
        </w:tc>
        <w:tc>
          <w:tcPr>
            <w:tcW w:w="100" w:type="dxa"/>
            <w:vAlign w:val="bottom"/>
          </w:tcPr>
          <w:p>
            <w:pPr>
              <w:spacing w:after="0"/>
              <w:rPr>
                <w:sz w:val="18"/>
                <w:szCs w:val="18"/>
                <w:color w:val="auto"/>
              </w:rPr>
            </w:pPr>
          </w:p>
        </w:tc>
        <w:tc>
          <w:tcPr>
            <w:tcW w:w="3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(1,474,808 )</w:t>
            </w:r>
          </w:p>
        </w:tc>
        <w:tc>
          <w:tcPr>
            <w:tcW w:w="160" w:type="dxa"/>
            <w:vAlign w:val="bottom"/>
          </w:tcPr>
          <w:p>
            <w:pPr>
              <w:spacing w:after="0"/>
              <w:rPr>
                <w:sz w:val="18"/>
                <w:szCs w:val="18"/>
                <w:color w:val="auto"/>
              </w:rPr>
            </w:pP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(1,469,797 )</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920" w:type="dxa"/>
            <w:vAlign w:val="bottom"/>
          </w:tcPr>
          <w:p>
            <w:pPr>
              <w:spacing w:after="0" w:line="20" w:lineRule="exact"/>
              <w:rPr>
                <w:sz w:val="1"/>
                <w:szCs w:val="1"/>
                <w:color w:val="auto"/>
              </w:rPr>
            </w:pPr>
          </w:p>
        </w:tc>
        <w:tc>
          <w:tcPr>
            <w:tcW w:w="360" w:type="dxa"/>
            <w:vAlign w:val="bottom"/>
          </w:tcPr>
          <w:p>
            <w:pPr>
              <w:spacing w:after="0" w:line="20" w:lineRule="exact"/>
              <w:rPr>
                <w:sz w:val="1"/>
                <w:szCs w:val="1"/>
                <w:color w:val="auto"/>
              </w:rPr>
            </w:pPr>
          </w:p>
        </w:tc>
        <w:tc>
          <w:tcPr>
            <w:tcW w:w="3440" w:type="dxa"/>
            <w:vAlign w:val="bottom"/>
          </w:tcPr>
          <w:p>
            <w:pPr>
              <w:spacing w:after="0" w:line="20" w:lineRule="exact"/>
              <w:rPr>
                <w:sz w:val="1"/>
                <w:szCs w:val="1"/>
                <w:color w:val="auto"/>
              </w:rPr>
            </w:pPr>
          </w:p>
        </w:tc>
        <w:tc>
          <w:tcPr>
            <w:tcW w:w="88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4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50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50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629"/>
        </w:trPr>
        <w:tc>
          <w:tcPr>
            <w:tcW w:w="2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3440" w:type="dxa"/>
            <w:vAlign w:val="bottom"/>
          </w:tcPr>
          <w:p>
            <w:pPr>
              <w:spacing w:after="0"/>
              <w:rPr>
                <w:sz w:val="24"/>
                <w:szCs w:val="24"/>
                <w:color w:val="auto"/>
              </w:rPr>
            </w:pPr>
          </w:p>
        </w:tc>
        <w:tc>
          <w:tcPr>
            <w:tcW w:w="10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113</w:t>
            </w:r>
          </w:p>
        </w:tc>
        <w:tc>
          <w:tcPr>
            <w:tcW w:w="14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50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50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63"/>
        </w:trPr>
        <w:tc>
          <w:tcPr>
            <w:tcW w:w="20" w:type="dxa"/>
            <w:vAlign w:val="bottom"/>
            <w:tcBorders>
              <w:bottom w:val="single" w:sz="8" w:color="9A9A9A"/>
            </w:tcBorders>
          </w:tcPr>
          <w:p>
            <w:pPr>
              <w:spacing w:after="0"/>
              <w:rPr>
                <w:sz w:val="24"/>
                <w:szCs w:val="24"/>
                <w:color w:val="auto"/>
              </w:rPr>
            </w:pPr>
          </w:p>
        </w:tc>
        <w:tc>
          <w:tcPr>
            <w:tcW w:w="920" w:type="dxa"/>
            <w:vAlign w:val="bottom"/>
            <w:tcBorders>
              <w:bottom w:val="single" w:sz="8" w:color="9A9A9A"/>
            </w:tcBorders>
          </w:tcPr>
          <w:p>
            <w:pPr>
              <w:spacing w:after="0"/>
              <w:rPr>
                <w:sz w:val="24"/>
                <w:szCs w:val="24"/>
                <w:color w:val="auto"/>
              </w:rPr>
            </w:pPr>
          </w:p>
        </w:tc>
        <w:tc>
          <w:tcPr>
            <w:tcW w:w="360" w:type="dxa"/>
            <w:vAlign w:val="bottom"/>
            <w:tcBorders>
              <w:bottom w:val="single" w:sz="8" w:color="9A9A9A"/>
            </w:tcBorders>
          </w:tcPr>
          <w:p>
            <w:pPr>
              <w:spacing w:after="0"/>
              <w:rPr>
                <w:sz w:val="24"/>
                <w:szCs w:val="24"/>
                <w:color w:val="auto"/>
              </w:rPr>
            </w:pPr>
          </w:p>
        </w:tc>
        <w:tc>
          <w:tcPr>
            <w:tcW w:w="3440" w:type="dxa"/>
            <w:vAlign w:val="bottom"/>
            <w:tcBorders>
              <w:bottom w:val="single" w:sz="8" w:color="9A9A9A"/>
            </w:tcBorders>
          </w:tcPr>
          <w:p>
            <w:pPr>
              <w:spacing w:after="0"/>
              <w:rPr>
                <w:sz w:val="24"/>
                <w:szCs w:val="24"/>
                <w:color w:val="auto"/>
              </w:rPr>
            </w:pPr>
          </w:p>
        </w:tc>
        <w:tc>
          <w:tcPr>
            <w:tcW w:w="88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4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5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5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4634230</wp:posOffset>
            </wp:positionH>
            <wp:positionV relativeFrom="paragraph">
              <wp:posOffset>-4114165</wp:posOffset>
            </wp:positionV>
            <wp:extent cx="68580" cy="8255"/>
            <wp:wrapNone/>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48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-4114165</wp:posOffset>
            </wp:positionV>
            <wp:extent cx="68580" cy="8255"/>
            <wp:wrapNone/>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48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-4114165</wp:posOffset>
            </wp:positionV>
            <wp:extent cx="68580" cy="8255"/>
            <wp:wrapNone/>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48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-1079500</wp:posOffset>
            </wp:positionV>
            <wp:extent cx="68580" cy="8255"/>
            <wp:wrapNone/>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48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-1079500</wp:posOffset>
            </wp:positionV>
            <wp:extent cx="68580" cy="8255"/>
            <wp:wrapNone/>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49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-1079500</wp:posOffset>
            </wp:positionV>
            <wp:extent cx="68580" cy="8255"/>
            <wp:wrapNone/>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49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492">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493">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087" w:right="339" w:bottom="1440" w:gutter="0" w:footer="0" w:header="0"/>
        </w:sectPr>
      </w:pPr>
    </w:p>
    <w:bookmarkStart w:id="113" w:name="page114"/>
    <w:bookmarkEnd w:id="113"/>
    <w:p>
      <w:pPr>
        <w:jc w:val="both"/>
        <w:ind w:left="1020" w:hanging="503"/>
        <w:spacing w:after="0" w:line="256" w:lineRule="auto"/>
        <w:tabs>
          <w:tab w:leader="none" w:pos="1020" w:val="left"/>
        </w:tabs>
        <w:numPr>
          <w:ilvl w:val="0"/>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Significant expenses regularly provided to the CODM include both: (i) costs that the CODM considers to be “controllable”, for which the Company can manage future expense via the budgeting process (e.g. salaries, commissions, travel and entertainment expenses, third party-service provider fees, etc.), and that support each specific function of the Software Business (i.e. sales and marketing, maintenance, consulting, cloud, technology, and corporate resources) and (ii) costs that the CODM considers to be “non-controllable”, for which future expenses are primarily outside the Company’s control, such as digital asset impairment and custody fees, share-based compensation expense, and employer payroll taxes related to the exercise or vesting of certain awards under the Stock Incentive Plans.</w:t>
      </w:r>
    </w:p>
    <w:p>
      <w:pPr>
        <w:spacing w:after="0" w:line="79" w:lineRule="exact"/>
        <w:rPr>
          <w:rFonts w:ascii="Times New Roman" w:cs="Times New Roman" w:eastAsia="Times New Roman" w:hAnsi="Times New Roman"/>
          <w:sz w:val="18"/>
          <w:szCs w:val="18"/>
          <w:color w:val="auto"/>
        </w:rPr>
      </w:pPr>
    </w:p>
    <w:p>
      <w:pPr>
        <w:jc w:val="both"/>
        <w:ind w:left="1020" w:hanging="503"/>
        <w:spacing w:after="0" w:line="266" w:lineRule="auto"/>
        <w:tabs>
          <w:tab w:leader="none" w:pos="1020" w:val="left"/>
        </w:tabs>
        <w:numPr>
          <w:ilvl w:val="0"/>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Other segment items for the Software Business are primarily related to foreign currency transaction gains and losses, costs supporting the Company’s education function, one-time corporate initiatives, and certain expenses that are not easily allocable to specific functions. Other segment items for the Corporate &amp; Other category are primarily related to third-party consulting and advisory fees.</w:t>
      </w:r>
    </w:p>
    <w:p>
      <w:pPr>
        <w:spacing w:after="0" w:line="67"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Interest expense, net is substantially related to interest expense on the Company’s long-term debt arrangements, the proceeds from which were primarily used to purchase bitcoin. All of the Company’s interest income and expense are presented in the Corporate &amp; Other category.</w:t>
      </w:r>
    </w:p>
    <w:p>
      <w:pPr>
        <w:spacing w:after="0" w:line="53" w:lineRule="exact"/>
        <w:rPr>
          <w:rFonts w:ascii="Times New Roman" w:cs="Times New Roman" w:eastAsia="Times New Roman" w:hAnsi="Times New Roman"/>
          <w:sz w:val="18"/>
          <w:szCs w:val="18"/>
          <w:color w:val="auto"/>
        </w:rPr>
      </w:pPr>
    </w:p>
    <w:p>
      <w:pPr>
        <w:ind w:left="1020" w:right="20" w:hanging="503"/>
        <w:spacing w:after="0" w:line="282" w:lineRule="auto"/>
        <w:tabs>
          <w:tab w:leader="none" w:pos="1020" w:val="left"/>
        </w:tabs>
        <w:numPr>
          <w:ilvl w:val="0"/>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Income tax effects allocated to the Corporate &amp; Other category are related solely to transactions involving the Company’s bitcoin or debt, including digital asset impairment, interest expense, gains and losses on debt extinguishments, and other third-party expenses.</w:t>
      </w:r>
    </w:p>
    <w:p>
      <w:pPr>
        <w:spacing w:after="0" w:line="53"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Segment assets allocated to the Corporate &amp; Other category are the Company’s digital assets and deferred tax assets related primarily to digital asset impairment losses and interest expense.</w:t>
      </w:r>
    </w:p>
    <w:p>
      <w:pPr>
        <w:spacing w:after="0" w:line="16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Depreciation and amortization are included in net income (loss), but are not regularly reported to the CODM, except for the amortization of debt issuance costs, which is included as interest expense under the Corporate &amp; Other category. All remaining depreciation and amortization is related to the Software Business, and separately presented in the Company’s Consolidated Statements of Cash Flows. Significant non-cash items include digital asset impairment, share-based compensation, and gains and losses on debt extinguishments and are presented in the table above and in the Company’s Consolidated Statements of Operations and/or Statements of Cash Flows. The Company does not regularly report capital expenditures on long-lived assets to the CODM.</w:t>
      </w:r>
    </w:p>
    <w:p>
      <w:pPr>
        <w:spacing w:after="0" w:line="7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following table presents total revenues and long-lived assets (in thousands) according to geographic region. Long-lived assets are comprised of right-of-use assets and property and equipment, net.</w:t>
      </w:r>
    </w:p>
    <w:p>
      <w:pPr>
        <w:spacing w:after="0" w:line="263"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580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Geographic regions:</w:t>
            </w:r>
          </w:p>
        </w:tc>
        <w:tc>
          <w:tcPr>
            <w:tcW w:w="280" w:type="dxa"/>
            <w:vAlign w:val="bottom"/>
          </w:tcPr>
          <w:p>
            <w:pPr>
              <w:spacing w:after="0"/>
              <w:rPr>
                <w:sz w:val="15"/>
                <w:szCs w:val="15"/>
                <w:color w:val="auto"/>
              </w:rPr>
            </w:pPr>
          </w:p>
        </w:tc>
        <w:tc>
          <w:tcPr>
            <w:tcW w:w="860" w:type="dxa"/>
            <w:vAlign w:val="bottom"/>
          </w:tcPr>
          <w:p>
            <w:pPr>
              <w:jc w:val="right"/>
              <w:ind w:right="353"/>
              <w:spacing w:after="0"/>
              <w:rPr>
                <w:sz w:val="20"/>
                <w:szCs w:val="20"/>
                <w:color w:val="auto"/>
              </w:rPr>
            </w:pPr>
            <w:r>
              <w:rPr>
                <w:rFonts w:ascii="Times New Roman" w:cs="Times New Roman" w:eastAsia="Times New Roman" w:hAnsi="Times New Roman"/>
                <w:sz w:val="14"/>
                <w:szCs w:val="14"/>
                <w:b w:val="1"/>
                <w:bCs w:val="1"/>
                <w:color w:val="auto"/>
              </w:rPr>
              <w:t>U.S.</w:t>
            </w:r>
          </w:p>
        </w:tc>
        <w:tc>
          <w:tcPr>
            <w:tcW w:w="240" w:type="dxa"/>
            <w:vAlign w:val="bottom"/>
          </w:tcPr>
          <w:p>
            <w:pPr>
              <w:spacing w:after="0"/>
              <w:rPr>
                <w:sz w:val="15"/>
                <w:szCs w:val="15"/>
                <w:color w:val="auto"/>
              </w:rPr>
            </w:pPr>
          </w:p>
        </w:tc>
        <w:tc>
          <w:tcPr>
            <w:tcW w:w="240" w:type="dxa"/>
            <w:vAlign w:val="bottom"/>
          </w:tcPr>
          <w:p>
            <w:pPr>
              <w:spacing w:after="0"/>
              <w:rPr>
                <w:sz w:val="15"/>
                <w:szCs w:val="15"/>
                <w:color w:val="auto"/>
              </w:rPr>
            </w:pPr>
          </w:p>
        </w:tc>
        <w:tc>
          <w:tcPr>
            <w:tcW w:w="920" w:type="dxa"/>
            <w:vAlign w:val="bottom"/>
          </w:tcPr>
          <w:p>
            <w:pPr>
              <w:jc w:val="right"/>
              <w:ind w:right="273"/>
              <w:spacing w:after="0"/>
              <w:rPr>
                <w:sz w:val="20"/>
                <w:szCs w:val="20"/>
                <w:color w:val="auto"/>
              </w:rPr>
            </w:pPr>
            <w:r>
              <w:rPr>
                <w:rFonts w:ascii="Times New Roman" w:cs="Times New Roman" w:eastAsia="Times New Roman" w:hAnsi="Times New Roman"/>
                <w:sz w:val="14"/>
                <w:szCs w:val="14"/>
                <w:b w:val="1"/>
                <w:bCs w:val="1"/>
                <w:color w:val="auto"/>
              </w:rPr>
              <w:t>EMEA</w:t>
            </w:r>
          </w:p>
        </w:tc>
        <w:tc>
          <w:tcPr>
            <w:tcW w:w="24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1020" w:type="dxa"/>
            <w:vAlign w:val="bottom"/>
          </w:tcPr>
          <w:p>
            <w:pPr>
              <w:jc w:val="right"/>
              <w:ind w:right="33"/>
              <w:spacing w:after="0"/>
              <w:rPr>
                <w:sz w:val="20"/>
                <w:szCs w:val="20"/>
                <w:color w:val="auto"/>
              </w:rPr>
            </w:pPr>
            <w:r>
              <w:rPr>
                <w:rFonts w:ascii="Times New Roman" w:cs="Times New Roman" w:eastAsia="Times New Roman" w:hAnsi="Times New Roman"/>
                <w:sz w:val="14"/>
                <w:szCs w:val="14"/>
                <w:b w:val="1"/>
                <w:bCs w:val="1"/>
                <w:color w:val="auto"/>
              </w:rPr>
              <w:t>Other Regions</w:t>
            </w:r>
          </w:p>
        </w:tc>
        <w:tc>
          <w:tcPr>
            <w:tcW w:w="26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1140" w:type="dxa"/>
            <w:vAlign w:val="bottom"/>
            <w:gridSpan w:val="2"/>
          </w:tcPr>
          <w:p>
            <w:pPr>
              <w:ind w:left="40"/>
              <w:spacing w:after="0"/>
              <w:rPr>
                <w:sz w:val="20"/>
                <w:szCs w:val="20"/>
                <w:color w:val="auto"/>
              </w:rPr>
            </w:pPr>
            <w:r>
              <w:rPr>
                <w:rFonts w:ascii="Times New Roman" w:cs="Times New Roman" w:eastAsia="Times New Roman" w:hAnsi="Times New Roman"/>
                <w:sz w:val="14"/>
                <w:szCs w:val="14"/>
                <w:b w:val="1"/>
                <w:bCs w:val="1"/>
                <w:color w:val="auto"/>
              </w:rPr>
              <w:t>Consolidated</w:t>
            </w:r>
          </w:p>
        </w:tc>
      </w:tr>
      <w:tr>
        <w:trPr>
          <w:trHeight w:val="210"/>
        </w:trPr>
        <w:tc>
          <w:tcPr>
            <w:tcW w:w="58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280" w:type="dxa"/>
            <w:vAlign w:val="bottom"/>
            <w:tcBorders>
              <w:top w:val="single" w:sz="8" w:color="auto"/>
            </w:tcBorders>
            <w:shd w:val="clear" w:color="auto" w:fill="CFF0FC"/>
          </w:tcPr>
          <w:p>
            <w:pPr>
              <w:spacing w:after="0"/>
              <w:rPr>
                <w:sz w:val="18"/>
                <w:szCs w:val="18"/>
                <w:color w:val="auto"/>
              </w:rPr>
            </w:pPr>
          </w:p>
        </w:tc>
        <w:tc>
          <w:tcPr>
            <w:tcW w:w="860" w:type="dxa"/>
            <w:vAlign w:val="bottom"/>
            <w:tcBorders>
              <w:top w:val="single" w:sz="8" w:color="auto"/>
            </w:tcBorders>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240" w:type="dxa"/>
            <w:vAlign w:val="bottom"/>
            <w:tcBorders>
              <w:top w:val="single" w:sz="8" w:color="auto"/>
            </w:tcBorders>
            <w:shd w:val="clear" w:color="auto" w:fill="CFF0FC"/>
          </w:tcPr>
          <w:p>
            <w:pPr>
              <w:spacing w:after="0"/>
              <w:rPr>
                <w:sz w:val="18"/>
                <w:szCs w:val="18"/>
                <w:color w:val="auto"/>
              </w:rPr>
            </w:pPr>
          </w:p>
        </w:tc>
        <w:tc>
          <w:tcPr>
            <w:tcW w:w="920" w:type="dxa"/>
            <w:vAlign w:val="bottom"/>
            <w:tcBorders>
              <w:top w:val="single" w:sz="8" w:color="auto"/>
            </w:tcBorders>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20" w:type="dxa"/>
            <w:vAlign w:val="bottom"/>
            <w:tcBorders>
              <w:top w:val="single" w:sz="8" w:color="auto"/>
            </w:tcBorders>
            <w:shd w:val="clear" w:color="auto" w:fill="CFF0FC"/>
          </w:tcPr>
          <w:p>
            <w:pPr>
              <w:spacing w:after="0"/>
              <w:rPr>
                <w:sz w:val="18"/>
                <w:szCs w:val="18"/>
                <w:color w:val="auto"/>
              </w:rPr>
            </w:pPr>
          </w:p>
        </w:tc>
        <w:tc>
          <w:tcPr>
            <w:tcW w:w="1020" w:type="dxa"/>
            <w:vAlign w:val="bottom"/>
            <w:tcBorders>
              <w:top w:val="single" w:sz="8" w:color="auto"/>
            </w:tcBorders>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r>
      <w:tr>
        <w:trPr>
          <w:trHeight w:val="216"/>
        </w:trPr>
        <w:tc>
          <w:tcPr>
            <w:tcW w:w="58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Year ended December 31, 2024</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259,582</w:t>
            </w:r>
          </w:p>
        </w:tc>
        <w:tc>
          <w:tcPr>
            <w:tcW w:w="48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155,923</w:t>
            </w:r>
          </w:p>
        </w:tc>
        <w:tc>
          <w:tcPr>
            <w:tcW w:w="3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47,951</w:t>
            </w:r>
          </w:p>
        </w:tc>
        <w:tc>
          <w:tcPr>
            <w:tcW w:w="3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463,456</w:t>
            </w:r>
          </w:p>
        </w:tc>
        <w:tc>
          <w:tcPr>
            <w:tcW w:w="120" w:type="dxa"/>
            <w:vAlign w:val="bottom"/>
          </w:tcPr>
          <w:p>
            <w:pPr>
              <w:spacing w:after="0"/>
              <w:rPr>
                <w:sz w:val="18"/>
                <w:szCs w:val="18"/>
                <w:color w:val="auto"/>
              </w:rPr>
            </w:pPr>
          </w:p>
        </w:tc>
      </w:tr>
      <w:tr>
        <w:trPr>
          <w:trHeight w:val="216"/>
        </w:trPr>
        <w:tc>
          <w:tcPr>
            <w:tcW w:w="58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Year ended December 31, 2023</w:t>
            </w: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284,174</w:t>
            </w:r>
          </w:p>
        </w:tc>
        <w:tc>
          <w:tcPr>
            <w:tcW w:w="48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155,914</w:t>
            </w:r>
          </w:p>
        </w:tc>
        <w:tc>
          <w:tcPr>
            <w:tcW w:w="3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56,173</w:t>
            </w:r>
          </w:p>
        </w:tc>
        <w:tc>
          <w:tcPr>
            <w:tcW w:w="38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496,261</w:t>
            </w:r>
          </w:p>
        </w:tc>
        <w:tc>
          <w:tcPr>
            <w:tcW w:w="120" w:type="dxa"/>
            <w:vAlign w:val="bottom"/>
            <w:shd w:val="clear" w:color="auto" w:fill="CFF0FC"/>
          </w:tcPr>
          <w:p>
            <w:pPr>
              <w:spacing w:after="0"/>
              <w:rPr>
                <w:sz w:val="18"/>
                <w:szCs w:val="18"/>
                <w:color w:val="auto"/>
              </w:rPr>
            </w:pPr>
          </w:p>
        </w:tc>
      </w:tr>
      <w:tr>
        <w:trPr>
          <w:trHeight w:val="216"/>
        </w:trPr>
        <w:tc>
          <w:tcPr>
            <w:tcW w:w="58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Year ended December 31, 2022</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294,697</w:t>
            </w:r>
          </w:p>
        </w:tc>
        <w:tc>
          <w:tcPr>
            <w:tcW w:w="48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152,614</w:t>
            </w:r>
          </w:p>
        </w:tc>
        <w:tc>
          <w:tcPr>
            <w:tcW w:w="3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51,953</w:t>
            </w:r>
          </w:p>
        </w:tc>
        <w:tc>
          <w:tcPr>
            <w:tcW w:w="3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499,264</w:t>
            </w:r>
          </w:p>
        </w:tc>
        <w:tc>
          <w:tcPr>
            <w:tcW w:w="120" w:type="dxa"/>
            <w:vAlign w:val="bottom"/>
          </w:tcPr>
          <w:p>
            <w:pPr>
              <w:spacing w:after="0"/>
              <w:rPr>
                <w:sz w:val="18"/>
                <w:szCs w:val="18"/>
                <w:color w:val="auto"/>
              </w:rPr>
            </w:pPr>
          </w:p>
        </w:tc>
      </w:tr>
      <w:tr>
        <w:trPr>
          <w:trHeight w:val="216"/>
        </w:trPr>
        <w:tc>
          <w:tcPr>
            <w:tcW w:w="58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Long-lived assets</w:t>
            </w:r>
          </w:p>
        </w:tc>
        <w:tc>
          <w:tcPr>
            <w:tcW w:w="280" w:type="dxa"/>
            <w:vAlign w:val="bottom"/>
            <w:shd w:val="clear" w:color="auto" w:fill="CFF0FC"/>
          </w:tcPr>
          <w:p>
            <w:pPr>
              <w:spacing w:after="0"/>
              <w:rPr>
                <w:sz w:val="18"/>
                <w:szCs w:val="18"/>
                <w:color w:val="auto"/>
              </w:rPr>
            </w:pPr>
          </w:p>
        </w:tc>
        <w:tc>
          <w:tcPr>
            <w:tcW w:w="86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92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c>
          <w:tcPr>
            <w:tcW w:w="102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r>
      <w:tr>
        <w:trPr>
          <w:trHeight w:val="216"/>
        </w:trPr>
        <w:tc>
          <w:tcPr>
            <w:tcW w:w="58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As of December 31, 2024</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69,767</w:t>
            </w:r>
          </w:p>
        </w:tc>
        <w:tc>
          <w:tcPr>
            <w:tcW w:w="48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3,556</w:t>
            </w:r>
          </w:p>
        </w:tc>
        <w:tc>
          <w:tcPr>
            <w:tcW w:w="3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7,564</w:t>
            </w:r>
          </w:p>
        </w:tc>
        <w:tc>
          <w:tcPr>
            <w:tcW w:w="3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80,887</w:t>
            </w:r>
          </w:p>
        </w:tc>
        <w:tc>
          <w:tcPr>
            <w:tcW w:w="120" w:type="dxa"/>
            <w:vAlign w:val="bottom"/>
          </w:tcPr>
          <w:p>
            <w:pPr>
              <w:spacing w:after="0"/>
              <w:rPr>
                <w:sz w:val="18"/>
                <w:szCs w:val="18"/>
                <w:color w:val="auto"/>
              </w:rPr>
            </w:pPr>
          </w:p>
        </w:tc>
      </w:tr>
      <w:tr>
        <w:trPr>
          <w:trHeight w:val="216"/>
        </w:trPr>
        <w:tc>
          <w:tcPr>
            <w:tcW w:w="58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As of December 31, 2023</w:t>
            </w: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75,004</w:t>
            </w:r>
          </w:p>
        </w:tc>
        <w:tc>
          <w:tcPr>
            <w:tcW w:w="48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3,937</w:t>
            </w:r>
          </w:p>
        </w:tc>
        <w:tc>
          <w:tcPr>
            <w:tcW w:w="3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7,343</w:t>
            </w:r>
          </w:p>
        </w:tc>
        <w:tc>
          <w:tcPr>
            <w:tcW w:w="38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86,284</w:t>
            </w:r>
          </w:p>
        </w:tc>
        <w:tc>
          <w:tcPr>
            <w:tcW w:w="120" w:type="dxa"/>
            <w:vAlign w:val="bottom"/>
            <w:shd w:val="clear" w:color="auto" w:fill="CFF0FC"/>
          </w:tcPr>
          <w:p>
            <w:pPr>
              <w:spacing w:after="0"/>
              <w:rPr>
                <w:sz w:val="18"/>
                <w:szCs w:val="18"/>
                <w:color w:val="auto"/>
              </w:rPr>
            </w:pPr>
          </w:p>
        </w:tc>
      </w:tr>
    </w:tbl>
    <w:p>
      <w:pPr>
        <w:spacing w:after="0" w:line="23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EMEA region includes operations in Europe, the Middle East, and Africa. The other regions include all other foreign countries, generally comprising Latin America, the Asia Pacific region, and Canada. For the years ended December 31, 2024, 2023, and 2022, no individual foreign country accounted for 10% or more of total consolidated revenues.</w:t>
      </w:r>
    </w:p>
    <w:p>
      <w:pPr>
        <w:spacing w:after="0" w:line="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the years ended December 31, 2024, 2023, and 2022, no individual customer accounted for 10% or more of total consolidated revenues.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 of December 31, 2024 and 2023, no individual foreign country accounted for 10% or more of total consolidated assets.</w:t>
      </w:r>
    </w:p>
    <w:p>
      <w:pPr>
        <w:spacing w:after="0" w:line="200" w:lineRule="exact"/>
        <w:rPr>
          <w:sz w:val="20"/>
          <w:szCs w:val="20"/>
          <w:color w:val="auto"/>
        </w:rPr>
      </w:pPr>
    </w:p>
    <w:p>
      <w:pPr>
        <w:spacing w:after="0" w:line="224" w:lineRule="exact"/>
        <w:rPr>
          <w:sz w:val="20"/>
          <w:szCs w:val="20"/>
          <w:color w:val="auto"/>
        </w:rPr>
      </w:pPr>
    </w:p>
    <w:p>
      <w:pPr>
        <w:ind w:right="8500" w:firstLine="8"/>
        <w:spacing w:after="0" w:line="532" w:lineRule="auto"/>
        <w:tabs>
          <w:tab w:leader="none" w:pos="345" w:val="left"/>
        </w:tabs>
        <w:numPr>
          <w:ilvl w:val="0"/>
          <w:numId w:val="51"/>
        </w:numPr>
        <w:rPr>
          <w:rFonts w:ascii="Times New Roman" w:cs="Times New Roman" w:eastAsia="Times New Roman" w:hAnsi="Times New Roman"/>
          <w:sz w:val="17"/>
          <w:szCs w:val="17"/>
          <w:b w:val="1"/>
          <w:bCs w:val="1"/>
          <w:color w:val="auto"/>
        </w:rPr>
      </w:pPr>
      <w:r>
        <w:rPr>
          <w:rFonts w:ascii="Times New Roman" w:cs="Times New Roman" w:eastAsia="Times New Roman" w:hAnsi="Times New Roman"/>
          <w:sz w:val="17"/>
          <w:szCs w:val="17"/>
          <w:b w:val="1"/>
          <w:bCs w:val="1"/>
          <w:color w:val="auto"/>
        </w:rPr>
        <w:t>Related Party Transactions Saylor Indemnification Agreements</w:t>
      </w:r>
    </w:p>
    <w:p>
      <w:pPr>
        <w:spacing w:after="0" w:line="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114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49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114" w:name="page115"/>
    <w:bookmarkEnd w:id="114"/>
    <w:p>
      <w:pPr>
        <w:jc w:val="both"/>
        <w:spacing w:after="0" w:line="256" w:lineRule="auto"/>
        <w:rPr>
          <w:sz w:val="20"/>
          <w:szCs w:val="20"/>
          <w:color w:val="auto"/>
        </w:rPr>
      </w:pPr>
      <w:r>
        <w:rPr>
          <w:rFonts w:ascii="Times New Roman" w:cs="Times New Roman" w:eastAsia="Times New Roman" w:hAnsi="Times New Roman"/>
          <w:sz w:val="18"/>
          <w:szCs w:val="18"/>
          <w:color w:val="auto"/>
        </w:rPr>
        <w:t>In June 2021, Michael J. Saylor, the Company’s Chairman of the Board of Directors and Executive Chairman and, at that time, the Company’s Chief Executive Officer, entered into an indemnification agreement (the “Original Agreement”) with the Company for an initial term of 90 days and subject to successive 90-day term extensions at the election of the Company, all of such term extensions were exercised. Pursuant to the Original Agreement, Mr. Saylor provided during the term of the agreement, from his personal funds, indemnity coverage to the Company for the benefit of the directors and officers (“D&amp;Os”) of the Company and its subsidiaries in the event such coverage was not indemnifiable by the Company, up to a total of $40 million. In return, the Company paid Mr. Saylor $388,945 for each of the initial and successive 90-day terms.</w:t>
      </w:r>
    </w:p>
    <w:p>
      <w:pPr>
        <w:spacing w:after="0" w:line="7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On June 12, 2022, Mr. Saylor and the Company entered into a renewed indemnification agreement (the “Renewed Agreement”) for an initial term of 90 days, which became effective upon the expiration of the final 90-day extension of the Original Agreement. In return, the Company paid Mr. Saylor a one-time fee of $388,945 for the initial 90-day term (the “Renewal Payment”).</w:t>
      </w:r>
    </w:p>
    <w:p>
      <w:pPr>
        <w:spacing w:after="0" w:line="68"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On June 24, 2022, the Company bound D&amp;O liability insurance policies (the “Initial Commercial Policies”) with several third-party carriers for $30 million in coverage. Concurrently, Mr. Saylor and the Company also entered into (i) an indemnification agreement (the “Excess Agreement”) for Mr. Saylor to provide $10 million in excess indemnity coverage payable only after the exhaustion of the Initial Commercial Policies, and (ii) an indemnification agreement (the “2022 Tail Agreement”) for Mr. Saylor to provide $40 million in indemnity coverage for claims made at any time based on actions or omissions occurring prior to the inception date of the Initial Commercial Policies. The Company paid Mr. Saylor $600,000 for a one-year term under the Excess Agreement, and $150,000 for a 90-day term under the 2022 Tail Agreement. At the option of the Company, the Company was permitted to extend the term under the 2022 Tail Agreement for up to a total of twenty-three additional 90-day periods, for $150,000 per additional 90-day term. In connection with the execution of the Initial Commercial Policies and the release of his obligations under the Renewed Agreement, Mr. Saylor refunded the Company $337,086, which was the pro rata portion of the Renewal Payment attributable to the period from the date of the Initial Commercial Policies through the end of the original term of the Renewed Agreement.</w:t>
      </w:r>
    </w:p>
    <w:p>
      <w:pPr>
        <w:spacing w:after="0" w:line="86"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On August 30, 2022, the Company bound additional D&amp;O liability insurance policies (the “Excess Commercial Policies”) with third-party carriers for $10 million in excess coverage payable only after the exhaustion of the Initial Commercial Policies. Effective as of the same date, the Company and Mr. Saylor executed an amendment (the “Amendment”) to the Excess Agreement to limit Mr. Saylor’s obligation to provide indemnification under the Excess Agreement to claims made during the term of the Excess Agreement which arise from wrongful acts occurring upon or after the commencement of the Excess Agreement but prior to the effective date of the Amendment. In connection with the Amendment, Mr. Saylor refunded $489,863 to the Company, representing the pro rata portion of the $600,000 originally paid by the Company to Mr. Saylor under the Excess Agreement attributable to the period from the date of the Amendment through the end of the original term of the Excess Agreement. During the third and fourth quarters of 2022 and the first quarter of 2023, pursuant to the terms of the 2022 Tail Agreement, the Company elected to extend the term of the 2022 Tail Agreement for additional 90-day periods and paid Mr. Saylor $150,000 for each such extension.</w:t>
      </w:r>
    </w:p>
    <w:p>
      <w:pPr>
        <w:spacing w:after="0" w:line="80"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On June 12, 2023, the Company bound new D&amp;O liability insurance policies (the “2023 Commercial Policies”) with third-party carriers that provide coverage substantially equivalent to the aggregate coverage provided under the Initial Commercial Policies and the Excess Commercial Policies for a policy period running from June 12, 2023 through June 12, 2024 except that the 2023 Commercial Policies also provide coverage for claims made with respect to wrongful acts or omissions occurring prior to the binding of the Initial Commercial Policies subject to exclusions with respect to claims previously noticed to and accepted by an earlier D&amp;O insurer, claims related to acts or omissions giving rise to such claims, and demands, investigations, suits or other proceedings entered against an insured prior to June 24, 2022, as well as future interrelated wrongful acts (collectively, the “Excluded Claims”).</w:t>
      </w:r>
    </w:p>
    <w:p>
      <w:pPr>
        <w:spacing w:after="0" w:line="8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On June 12, 2023, the Company entered into a new indemnification agreement with Mr. Saylor (the “2023 Tail Agreement”) pursuant to which Mr. Saylor agreed to provide coverage that is similar to the coverage provided under the 2022 Tail Agreement, but only to cover the Excluded Claims for an initial one-year term and for a payment of $157,000. Pursuant to the terms of the 2023 Tail Agreement, the Company has elected to extend the term of the 2023 Tail Agreement for a period of one-year commencing on June 12, 2024, and paid Mr. Saylor $157,000 during the three months ended June 30, 2024. The Company may elect, at its option, to extend the term under the 2023 Tail Agreement for up to a total of three additional one-year periods, for $157,000 per additional one-year term.</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Prior to entering into the Original Agreement, Renewed Agreement, Excess Agreement, 2022 Tail Agreement, and 2023 Tail Agreement with Mr. Saylor, the Company obtained and considered market quotes for D&amp;O liability insurance policies. The Company determined that the policies considered at such times would have provided insufficient coverage and would have required substantial premiums to the extent coverage were available, and that obtaining indemnification coverage provided by Mr. Saylor was appropriate and in the best interests of the Company.</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Allocation Agreements</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In connection with the Consent Order disclosed in Note 9, Commitments and Contingencies, to the Consolidated Financial Statements, on May 31, 2024, the Company and Mr. Saylor entered into an agreement pursuant to which Mr. Saylor and the Company agreed that Mr. Saylor would pay $40,000,000 due to the District to settle the case and resolve the litigation with the District. Pursuant to a separate agreement between Mr. Saylor and the Company, Mr. Saylor paid this settlement amount to the District in full and the Company is not obligated to make any contribution to the settlement payment. On July 15, 2024, Mr. Saylor and the Company entered into a separate</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115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49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115" w:name="page116"/>
    <w:bookmarkEnd w:id="115"/>
    <w:p>
      <w:pPr>
        <w:jc w:val="both"/>
        <w:spacing w:after="0" w:line="266" w:lineRule="auto"/>
        <w:rPr>
          <w:sz w:val="20"/>
          <w:szCs w:val="20"/>
          <w:color w:val="auto"/>
        </w:rPr>
      </w:pPr>
      <w:r>
        <w:rPr>
          <w:rFonts w:ascii="Times New Roman" w:cs="Times New Roman" w:eastAsia="Times New Roman" w:hAnsi="Times New Roman"/>
          <w:sz w:val="18"/>
          <w:szCs w:val="18"/>
          <w:color w:val="auto"/>
        </w:rPr>
        <w:t>agreement with counsel to the Relator to resolve the amount due to such counsel in satisfaction of Relator’s claims for statutory expenses, attorneys’ fees and costs. Pursuant to the separate agreement between Mr. Saylor and the Company, Mr. Saylor paid this settlement amount in full and the Company is not obligated to make any contribution to this settlement payment.</w:t>
      </w:r>
    </w:p>
    <w:p>
      <w:pPr>
        <w:spacing w:after="0" w:line="39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116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49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116" w:name="page117"/>
    <w:bookmarkEnd w:id="116"/>
    <w:p>
      <w:pPr>
        <w:spacing w:after="0" w:line="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(18) Subsequent Events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Digital asset purchases</w:t>
      </w:r>
    </w:p>
    <w:p>
      <w:pPr>
        <w:spacing w:after="0" w:line="17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During the period between January 1, 2025 and February 14, 2025, the Company has purchased approximately 31,270 bitcoins for $3.165 million, or approximately $101,225 per bitcoin.</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Under ASU 2023-08, which the Company will adopt on January 1, 2025, the Company will account for its bitcoin under a fair value accounting model (in which both realized and unrealized gains and losses will be reflected in net income in the period incurred) instead of a cost-less-impairment accounting model. See Note 2(g), Summary of Significant Accounting Policies – Digital Assets, and Note 4, Digital Assets, to the Consolidated Financial Statements, for further detail on accounting for digital assets under the current accounting model and Note 3, Recent Accounting Standards, to the Consolidated Financial Statements, for further detail on accounting under ASU 2023-08.</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At-the-market equity offering</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During the period between January 1, 2025 and February 14, 2025, the Company sold an aggregate of 7,004,067 shares of its class A common stock under the October 2024 Sales Agreement for aggregate net proceeds to the Company (less sales commissions) of approximately $2.602 billion. As of February 14, 2025, approximately $4.168 billion shares of its class A common stock remained available for issuance and sale pursuant to the October 2024 Sales Agreement.</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Amendment of 2023 Equity Plan</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On January 21, 2025, the Company’s stockholders approved an amendment (the “2024 Plan Amendment”) to the Company’s 2023 Equity Plan at the Company’s 2025 Special Meeting of Stockholders. The 2024 Plan Amendment had been previously adopted by the Company’s Board of Directors (the “Board”), subject to stockholder approval, on December 20, 2024. The 2024 Plan Amendment amended the 2023 Equity Plan to provide that, beginning on December 20, 2024, each non-employee director who is newly appointed to the Board shall automatically receive, upon the date of such director’s initial appointment to the Board, equity awards having an aggregate fair value equal to $2,000,000, one-half of which ($1,000,000) will consist of a non-statutory stock option and one-half of which ($1,000,000) will consist of restricted stock units, with each award vesting annually in equal installments over four years. No other amendments were made to the 2023 Equity Plan.</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Increase in authorized shares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On January 22, 2025, the Company filed with the Secretary of State of the State of Delaware an amendment (the “Certificate of Amendment”) to the Company’s Second Restated Certificate of Incorporation to (i) increase the number of authorized shares of Class A common stock from 330,000,000 to 10,330,000,000; (ii) increase the number of authorized shares of preferred stock from 5,000,000 to 1,005,000,000; and (iii) correspondingly increase the total number of authorized shares of capital stock (which is the sum of the authorized number of class A common stock, class B common stock, and preferred stock) from 500,000,000 to 11,500,000,000 shares of capital stock. The Certificate of Amendment became effective on January 22, 2025 upon filing with the Secretary of State of the State of Delaware.</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Redemption of 2027 Convertible Notes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On January 24, 2025, the Company delivered a notice of full redemption (the “2027 Notice”) to the trustee of the Company’s 2027 Convertible Notes. The 2027 Notice calls for the redemption of all of the outstanding 2027 Convertible Notes on February 24, 2025 (the “2027 Redemption Date”), at a redemption price equal to 100% of the principal amount of the 2027 Convertible Notes to be redeemed, plus accrued and unpaid special interest, if any, to but excluding the 2027 Redemption Date, unless earlier converted.</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Series A perpetual strike preferred stock offering</w:t>
      </w:r>
    </w:p>
    <w:p>
      <w:pPr>
        <w:spacing w:after="0" w:line="12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On February 5, 2025, the Company completed a registered public offering of 7,300,000 shares of the Company’s 8.00% Series A Perpetual Strike Preferred Stock (“Series A Strike Preferred”), at a price to the public of $80.00 per share, for net proceeds of $563.4 million, after deducting the underwriting discounts and commissions and the Company’s estimated offering expenses. The Company filed a Certificate of Designations (the “Certificate of Designations”) with the Secretary of State of the State of Delaware designating and establishing the terms of the Series A Strike Preferred. The Series A Strike Preferred was listed for trading on the Nasdaq Global Select Market under the symbol “STRK.” The outstanding shares of Series A Strike Preferred have an aggregate liquidation preference of $730 million and accumulate cumulative dividends (“Regular Dividends”) at a rate per annum equal to 8.00% on the liquidation preference thereof, regardless of whether or not declared or funds are legally available for their payment. Declared Regular Dividends on the Series A Strike Preferred are payable, at the Company’s election, in cash, shares of class A common stock or a combination of cash and shares of class A common stock, in the manner, and subject to the terms, set forth in the Certificate of Designations. Subject to certain limitations, holders of Series A Strike Preferred have the right to convert some or all of their shares into shares of class A</w:t>
      </w:r>
    </w:p>
    <w:p>
      <w:pPr>
        <w:spacing w:after="0" w:line="1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117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49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17" w:name="page118"/>
    <w:bookmarkEnd w:id="117"/>
    <w:p>
      <w:pPr>
        <w:jc w:val="both"/>
        <w:spacing w:after="0" w:line="266" w:lineRule="auto"/>
        <w:rPr>
          <w:sz w:val="20"/>
          <w:szCs w:val="20"/>
          <w:color w:val="auto"/>
        </w:rPr>
      </w:pPr>
      <w:r>
        <w:rPr>
          <w:rFonts w:ascii="Times New Roman" w:cs="Times New Roman" w:eastAsia="Times New Roman" w:hAnsi="Times New Roman"/>
          <w:sz w:val="18"/>
          <w:szCs w:val="18"/>
          <w:color w:val="auto"/>
        </w:rPr>
        <w:t>common stock at the then-applicable conversion rate. The initial conversion rate is 0.1000 shares of class A common stock per share of Series A Strike Preferred, which represents an initial conversion price of $1,000.00 per share of class A common stock, and is subject to adjustment as provided in the Certificate of Designations.</w:t>
      </w:r>
    </w:p>
    <w:p>
      <w:pPr>
        <w:spacing w:after="0" w:line="39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118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49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20" w:right="339" w:bottom="1440" w:gutter="0" w:footer="0" w:header="0"/>
        </w:sectPr>
      </w:pPr>
    </w:p>
    <w:bookmarkStart w:id="118" w:name="page119"/>
    <w:bookmarkEnd w:id="118"/>
    <w:tbl>
      <w:tblPr>
        <w:tblLayout w:type="fixed"/>
        <w:tblInd w:w="0" w:type="dxa"/>
        <w:tblCellMar>
          <w:top w:w="0" w:type="dxa"/>
          <w:left w:w="0" w:type="dxa"/>
          <w:bottom w:w="0" w:type="dxa"/>
          <w:right w:w="0" w:type="dxa"/>
        </w:tblCellMar>
      </w:tblPr>
      <w:tr>
        <w:trPr>
          <w:trHeight w:val="238"/>
        </w:trPr>
        <w:tc>
          <w:tcPr>
            <w:tcW w:w="8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240" w:type="dxa"/>
            <w:vAlign w:val="bottom"/>
          </w:tcPr>
          <w:p>
            <w:pPr>
              <w:spacing w:after="0"/>
              <w:rPr>
                <w:sz w:val="20"/>
                <w:szCs w:val="20"/>
                <w:color w:val="auto"/>
              </w:rPr>
            </w:pPr>
          </w:p>
        </w:tc>
        <w:tc>
          <w:tcPr>
            <w:tcW w:w="400" w:type="dxa"/>
            <w:vAlign w:val="bottom"/>
          </w:tcPr>
          <w:p>
            <w:pPr>
              <w:spacing w:after="0"/>
              <w:rPr>
                <w:sz w:val="20"/>
                <w:szCs w:val="20"/>
                <w:color w:val="auto"/>
              </w:rPr>
            </w:pPr>
          </w:p>
        </w:tc>
        <w:tc>
          <w:tcPr>
            <w:tcW w:w="2060" w:type="dxa"/>
            <w:vAlign w:val="bottom"/>
          </w:tcPr>
          <w:p>
            <w:pPr>
              <w:spacing w:after="0"/>
              <w:rPr>
                <w:sz w:val="20"/>
                <w:szCs w:val="20"/>
                <w:color w:val="auto"/>
              </w:rPr>
            </w:pPr>
          </w:p>
        </w:tc>
        <w:tc>
          <w:tcPr>
            <w:tcW w:w="6640" w:type="dxa"/>
            <w:vAlign w:val="bottom"/>
            <w:gridSpan w:val="18"/>
          </w:tcPr>
          <w:p>
            <w:pPr>
              <w:jc w:val="center"/>
              <w:ind w:right="4680"/>
              <w:spacing w:after="0"/>
              <w:rPr>
                <w:sz w:val="20"/>
                <w:szCs w:val="20"/>
                <w:color w:val="auto"/>
              </w:rPr>
            </w:pPr>
            <w:r>
              <w:rPr>
                <w:rFonts w:ascii="Times New Roman" w:cs="Times New Roman" w:eastAsia="Times New Roman" w:hAnsi="Times New Roman"/>
                <w:sz w:val="18"/>
                <w:szCs w:val="18"/>
                <w:b w:val="1"/>
                <w:bCs w:val="1"/>
                <w:color w:val="auto"/>
                <w:w w:val="99"/>
              </w:rPr>
              <w:t>INDEX TO EXHIBITS</w:t>
            </w:r>
          </w:p>
        </w:tc>
        <w:tc>
          <w:tcPr>
            <w:tcW w:w="0" w:type="dxa"/>
            <w:vAlign w:val="bottom"/>
          </w:tcPr>
          <w:p>
            <w:pPr>
              <w:spacing w:after="0"/>
              <w:rPr>
                <w:sz w:val="1"/>
                <w:szCs w:val="1"/>
                <w:color w:val="auto"/>
              </w:rPr>
            </w:pPr>
          </w:p>
        </w:tc>
      </w:tr>
      <w:tr>
        <w:trPr>
          <w:trHeight w:val="340"/>
        </w:trPr>
        <w:tc>
          <w:tcPr>
            <w:tcW w:w="80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Exhibit</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40" w:type="dxa"/>
            <w:vAlign w:val="bottom"/>
            <w:gridSpan w:val="21"/>
            <w:vMerge w:val="restart"/>
          </w:tcPr>
          <w:p>
            <w:pPr>
              <w:spacing w:after="0"/>
              <w:rPr>
                <w:sz w:val="20"/>
                <w:szCs w:val="20"/>
                <w:color w:val="auto"/>
              </w:rPr>
            </w:pPr>
            <w:r>
              <w:rPr>
                <w:rFonts w:ascii="Times New Roman" w:cs="Times New Roman" w:eastAsia="Times New Roman" w:hAnsi="Times New Roman"/>
                <w:sz w:val="14"/>
                <w:szCs w:val="14"/>
                <w:b w:val="1"/>
                <w:bCs w:val="1"/>
                <w:color w:val="auto"/>
              </w:rPr>
              <w:t>Description</w:t>
            </w:r>
          </w:p>
        </w:tc>
        <w:tc>
          <w:tcPr>
            <w:tcW w:w="0" w:type="dxa"/>
            <w:vAlign w:val="bottom"/>
          </w:tcPr>
          <w:p>
            <w:pPr>
              <w:spacing w:after="0"/>
              <w:rPr>
                <w:sz w:val="1"/>
                <w:szCs w:val="1"/>
                <w:color w:val="auto"/>
              </w:rPr>
            </w:pPr>
          </w:p>
        </w:tc>
      </w:tr>
      <w:tr>
        <w:trPr>
          <w:trHeight w:val="173"/>
        </w:trPr>
        <w:tc>
          <w:tcPr>
            <w:tcW w:w="800" w:type="dxa"/>
            <w:vAlign w:val="bottom"/>
            <w:tcBorders>
              <w:bottom w:val="single" w:sz="8" w:color="auto"/>
            </w:tcBorders>
          </w:tcPr>
          <w:p>
            <w:pPr>
              <w:ind w:left="20"/>
              <w:spacing w:after="0"/>
              <w:rPr>
                <w:sz w:val="20"/>
                <w:szCs w:val="20"/>
                <w:color w:val="auto"/>
              </w:rPr>
            </w:pPr>
            <w:r>
              <w:rPr>
                <w:rFonts w:ascii="Times New Roman" w:cs="Times New Roman" w:eastAsia="Times New Roman" w:hAnsi="Times New Roman"/>
                <w:sz w:val="14"/>
                <w:szCs w:val="14"/>
                <w:b w:val="1"/>
                <w:bCs w:val="1"/>
                <w:color w:val="auto"/>
              </w:rPr>
              <w:t>Number</w:t>
            </w:r>
          </w:p>
        </w:tc>
        <w:tc>
          <w:tcPr>
            <w:tcW w:w="120" w:type="dxa"/>
            <w:vAlign w:val="bottom"/>
          </w:tcPr>
          <w:p>
            <w:pPr>
              <w:spacing w:after="0"/>
              <w:rPr>
                <w:sz w:val="15"/>
                <w:szCs w:val="15"/>
                <w:color w:val="auto"/>
              </w:rPr>
            </w:pPr>
          </w:p>
        </w:tc>
        <w:tc>
          <w:tcPr>
            <w:tcW w:w="20" w:type="dxa"/>
            <w:vAlign w:val="bottom"/>
            <w:tcBorders>
              <w:bottom w:val="single" w:sz="8" w:color="auto"/>
            </w:tcBorders>
          </w:tcPr>
          <w:p>
            <w:pPr>
              <w:spacing w:after="0"/>
              <w:rPr>
                <w:sz w:val="15"/>
                <w:szCs w:val="15"/>
                <w:color w:val="auto"/>
              </w:rPr>
            </w:pPr>
          </w:p>
        </w:tc>
        <w:tc>
          <w:tcPr>
            <w:tcW w:w="10340" w:type="dxa"/>
            <w:vAlign w:val="bottom"/>
            <w:tcBorders>
              <w:bottom w:val="single" w:sz="8" w:color="auto"/>
            </w:tcBorders>
            <w:gridSpan w:val="21"/>
            <w:vMerge w:val="continue"/>
          </w:tcPr>
          <w:p>
            <w:pPr>
              <w:spacing w:after="0"/>
              <w:rPr>
                <w:sz w:val="15"/>
                <w:szCs w:val="15"/>
                <w:color w:val="auto"/>
              </w:rPr>
            </w:pPr>
          </w:p>
        </w:tc>
        <w:tc>
          <w:tcPr>
            <w:tcW w:w="0" w:type="dxa"/>
            <w:vAlign w:val="bottom"/>
          </w:tcPr>
          <w:p>
            <w:pPr>
              <w:spacing w:after="0"/>
              <w:rPr>
                <w:sz w:val="1"/>
                <w:szCs w:val="1"/>
                <w:color w:val="auto"/>
              </w:rPr>
            </w:pPr>
          </w:p>
        </w:tc>
      </w:tr>
      <w:tr>
        <w:trPr>
          <w:trHeight w:val="291"/>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3.1</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20" w:type="dxa"/>
            <w:vAlign w:val="bottom"/>
            <w:tcBorders>
              <w:bottom w:val="single" w:sz="8" w:color="0000FF"/>
            </w:tcBorders>
            <w:gridSpan w:val="20"/>
          </w:tcPr>
          <w:p>
            <w:pPr>
              <w:spacing w:after="0"/>
              <w:rPr>
                <w:rFonts w:ascii="Times New Roman" w:cs="Times New Roman" w:eastAsia="Times New Roman" w:hAnsi="Times New Roman"/>
                <w:sz w:val="18"/>
                <w:szCs w:val="18"/>
                <w:color w:val="0000FF"/>
              </w:rPr>
            </w:pPr>
            <w:hyperlink r:id="rId499">
              <w:r>
                <w:rPr>
                  <w:rFonts w:ascii="Times New Roman" w:cs="Times New Roman" w:eastAsia="Times New Roman" w:hAnsi="Times New Roman"/>
                  <w:sz w:val="18"/>
                  <w:szCs w:val="18"/>
                  <w:color w:val="0000FF"/>
                </w:rPr>
                <w:t>Second Restated Certificate of Incorporation of the registrant (incorporated herein by reference to Exhibit 3.1 to the registrant’s Quarterly</w:t>
              </w:r>
            </w:hyperlink>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499">
              <w:r>
                <w:rPr>
                  <w:rFonts w:ascii="Times New Roman" w:cs="Times New Roman" w:eastAsia="Times New Roman" w:hAnsi="Times New Roman"/>
                  <w:sz w:val="18"/>
                  <w:szCs w:val="18"/>
                  <w:color w:val="0000FF"/>
                </w:rPr>
                <w:t>Report on Form 10-Q for the fiscal quarter ended March 31, 2003 (File 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240" w:type="dxa"/>
            <w:vAlign w:val="bottom"/>
            <w:shd w:val="clear" w:color="auto" w:fill="0000FF"/>
          </w:tcPr>
          <w:p>
            <w:pPr>
              <w:spacing w:after="0" w:line="20" w:lineRule="exact"/>
              <w:rPr>
                <w:sz w:val="1"/>
                <w:szCs w:val="1"/>
                <w:color w:val="auto"/>
              </w:rPr>
            </w:pPr>
          </w:p>
        </w:tc>
        <w:tc>
          <w:tcPr>
            <w:tcW w:w="400" w:type="dxa"/>
            <w:vAlign w:val="bottom"/>
            <w:tcBorders>
              <w:right w:val="single" w:sz="8" w:color="0000FF"/>
            </w:tcBorders>
            <w:shd w:val="clear" w:color="auto" w:fill="0000FF"/>
          </w:tcPr>
          <w:p>
            <w:pPr>
              <w:spacing w:after="0" w:line="20" w:lineRule="exact"/>
              <w:rPr>
                <w:sz w:val="1"/>
                <w:szCs w:val="1"/>
                <w:color w:val="auto"/>
              </w:rPr>
            </w:pPr>
          </w:p>
        </w:tc>
        <w:tc>
          <w:tcPr>
            <w:tcW w:w="2060" w:type="dxa"/>
            <w:vAlign w:val="bottom"/>
            <w:shd w:val="clear" w:color="auto" w:fill="0000FF"/>
          </w:tcPr>
          <w:p>
            <w:pPr>
              <w:spacing w:after="0" w:line="20" w:lineRule="exact"/>
              <w:rPr>
                <w:sz w:val="1"/>
                <w:szCs w:val="1"/>
                <w:color w:val="auto"/>
              </w:rPr>
            </w:pPr>
          </w:p>
        </w:tc>
        <w:tc>
          <w:tcPr>
            <w:tcW w:w="1140" w:type="dxa"/>
            <w:vAlign w:val="bottom"/>
            <w:shd w:val="clear" w:color="auto" w:fill="0000FF"/>
          </w:tcPr>
          <w:p>
            <w:pPr>
              <w:spacing w:after="0" w:line="20" w:lineRule="exact"/>
              <w:rPr>
                <w:sz w:val="1"/>
                <w:szCs w:val="1"/>
                <w:color w:val="auto"/>
              </w:rPr>
            </w:pPr>
          </w:p>
        </w:tc>
        <w:tc>
          <w:tcPr>
            <w:tcW w:w="1580" w:type="dxa"/>
            <w:vAlign w:val="bottom"/>
            <w:tcBorders>
              <w:right w:val="single" w:sz="8" w:color="0000EE"/>
            </w:tcBorders>
            <w:shd w:val="clear" w:color="auto" w:fill="0000FF"/>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0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96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3.2</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20" w:type="dxa"/>
            <w:vAlign w:val="bottom"/>
            <w:tcBorders>
              <w:bottom w:val="single" w:sz="8" w:color="0000FF"/>
            </w:tcBorders>
            <w:gridSpan w:val="20"/>
          </w:tcPr>
          <w:p>
            <w:pPr>
              <w:spacing w:after="0"/>
              <w:rPr>
                <w:rFonts w:ascii="Times New Roman" w:cs="Times New Roman" w:eastAsia="Times New Roman" w:hAnsi="Times New Roman"/>
                <w:sz w:val="18"/>
                <w:szCs w:val="18"/>
                <w:color w:val="0000FF"/>
              </w:rPr>
            </w:pPr>
            <w:hyperlink r:id="rId500">
              <w:r>
                <w:rPr>
                  <w:rFonts w:ascii="Times New Roman" w:cs="Times New Roman" w:eastAsia="Times New Roman" w:hAnsi="Times New Roman"/>
                  <w:sz w:val="18"/>
                  <w:szCs w:val="18"/>
                  <w:color w:val="0000FF"/>
                </w:rPr>
                <w:t>Certificate of Amendment to the MicroStrategy Incorporated Second Restated Certificate of Incorporation (incorporated herein by reference to</w:t>
              </w:r>
            </w:hyperlink>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8780" w:type="dxa"/>
            <w:vAlign w:val="bottom"/>
            <w:tcBorders>
              <w:bottom w:val="single" w:sz="8" w:color="0000FF"/>
            </w:tcBorders>
            <w:gridSpan w:val="15"/>
          </w:tcPr>
          <w:p>
            <w:pPr>
              <w:spacing w:after="0" w:line="196" w:lineRule="exact"/>
              <w:rPr>
                <w:rFonts w:ascii="Times New Roman" w:cs="Times New Roman" w:eastAsia="Times New Roman" w:hAnsi="Times New Roman"/>
                <w:sz w:val="18"/>
                <w:szCs w:val="18"/>
                <w:color w:val="0000FF"/>
                <w:w w:val="99"/>
              </w:rPr>
            </w:pPr>
            <w:hyperlink r:id="rId500">
              <w:r>
                <w:rPr>
                  <w:rFonts w:ascii="Times New Roman" w:cs="Times New Roman" w:eastAsia="Times New Roman" w:hAnsi="Times New Roman"/>
                  <w:sz w:val="18"/>
                  <w:szCs w:val="18"/>
                  <w:color w:val="0000FF"/>
                  <w:w w:val="99"/>
                </w:rPr>
                <w:t>Exhibit 3.1 to the registrant’s Current Report on Form 8-K filed with the SEC on January 23, 2025 (File No. 000-24435)).</w:t>
              </w:r>
            </w:hyperlink>
          </w:p>
        </w:tc>
        <w:tc>
          <w:tcPr>
            <w:tcW w:w="20" w:type="dxa"/>
            <w:vAlign w:val="bottom"/>
            <w:tcBorders>
              <w:bottom w:val="single" w:sz="8" w:color="0000EE"/>
            </w:tcBorders>
          </w:tcPr>
          <w:p>
            <w:pPr>
              <w:spacing w:after="0"/>
              <w:rPr>
                <w:sz w:val="17"/>
                <w:szCs w:val="17"/>
                <w:color w:val="auto"/>
              </w:rPr>
            </w:pPr>
          </w:p>
        </w:tc>
        <w:tc>
          <w:tcPr>
            <w:tcW w:w="1540" w:type="dxa"/>
            <w:vAlign w:val="bottom"/>
            <w:gridSpan w:val="5"/>
          </w:tcPr>
          <w:p>
            <w:pPr>
              <w:spacing w:after="0"/>
              <w:rPr>
                <w:sz w:val="17"/>
                <w:szCs w:val="17"/>
                <w:color w:val="auto"/>
              </w:rPr>
            </w:pPr>
          </w:p>
        </w:tc>
        <w:tc>
          <w:tcPr>
            <w:tcW w:w="0" w:type="dxa"/>
            <w:vAlign w:val="bottom"/>
          </w:tcPr>
          <w:p>
            <w:pPr>
              <w:spacing w:after="0"/>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3.3</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280" w:type="dxa"/>
            <w:vAlign w:val="bottom"/>
            <w:tcBorders>
              <w:bottom w:val="single" w:sz="8" w:color="0000FF"/>
            </w:tcBorders>
            <w:gridSpan w:val="18"/>
          </w:tcPr>
          <w:p>
            <w:pPr>
              <w:spacing w:after="0"/>
              <w:rPr>
                <w:rFonts w:ascii="Times New Roman" w:cs="Times New Roman" w:eastAsia="Times New Roman" w:hAnsi="Times New Roman"/>
                <w:sz w:val="18"/>
                <w:szCs w:val="18"/>
                <w:color w:val="0000FF"/>
              </w:rPr>
            </w:pPr>
            <w:hyperlink r:id="rId501">
              <w:r>
                <w:rPr>
                  <w:rFonts w:ascii="Times New Roman" w:cs="Times New Roman" w:eastAsia="Times New Roman" w:hAnsi="Times New Roman"/>
                  <w:sz w:val="18"/>
                  <w:szCs w:val="18"/>
                  <w:color w:val="0000FF"/>
                </w:rPr>
                <w:t>Amended and Restated By-Laws of the registrant (incorporated herein by reference to Exhibit 3.1 to the registrant’s Current Report on Form</w:t>
              </w:r>
            </w:hyperlink>
          </w:p>
        </w:tc>
        <w:tc>
          <w:tcPr>
            <w:tcW w:w="60" w:type="dxa"/>
            <w:vAlign w:val="bottom"/>
            <w:gridSpan w:val="3"/>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4840" w:type="dxa"/>
            <w:vAlign w:val="bottom"/>
            <w:tcBorders>
              <w:bottom w:val="single" w:sz="8" w:color="0000FF"/>
            </w:tcBorders>
            <w:gridSpan w:val="4"/>
          </w:tcPr>
          <w:p>
            <w:pPr>
              <w:spacing w:after="0" w:line="196" w:lineRule="exact"/>
              <w:rPr>
                <w:rFonts w:ascii="Times New Roman" w:cs="Times New Roman" w:eastAsia="Times New Roman" w:hAnsi="Times New Roman"/>
                <w:sz w:val="18"/>
                <w:szCs w:val="18"/>
                <w:color w:val="0000FF"/>
                <w:w w:val="99"/>
              </w:rPr>
            </w:pPr>
            <w:hyperlink r:id="rId501">
              <w:r>
                <w:rPr>
                  <w:rFonts w:ascii="Times New Roman" w:cs="Times New Roman" w:eastAsia="Times New Roman" w:hAnsi="Times New Roman"/>
                  <w:sz w:val="18"/>
                  <w:szCs w:val="18"/>
                  <w:color w:val="0000FF"/>
                  <w:w w:val="99"/>
                </w:rPr>
                <w:t>8-K filed with the SEC on January 30, 2015 (File No. 000-24435)).</w:t>
              </w:r>
            </w:hyperlink>
          </w:p>
        </w:tc>
        <w:tc>
          <w:tcPr>
            <w:tcW w:w="5500" w:type="dxa"/>
            <w:vAlign w:val="bottom"/>
            <w:gridSpan w:val="17"/>
          </w:tcPr>
          <w:p>
            <w:pPr>
              <w:spacing w:after="0"/>
              <w:rPr>
                <w:sz w:val="17"/>
                <w:szCs w:val="17"/>
                <w:color w:val="auto"/>
              </w:rPr>
            </w:pPr>
          </w:p>
        </w:tc>
        <w:tc>
          <w:tcPr>
            <w:tcW w:w="0" w:type="dxa"/>
            <w:vAlign w:val="bottom"/>
          </w:tcPr>
          <w:p>
            <w:pPr>
              <w:spacing w:after="0"/>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3.4</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40" w:type="dxa"/>
            <w:vAlign w:val="bottom"/>
            <w:tcBorders>
              <w:bottom w:val="single" w:sz="8" w:color="0000FF"/>
            </w:tcBorders>
            <w:gridSpan w:val="21"/>
          </w:tcPr>
          <w:p>
            <w:pPr>
              <w:spacing w:after="0"/>
              <w:rPr>
                <w:rFonts w:ascii="Times New Roman" w:cs="Times New Roman" w:eastAsia="Times New Roman" w:hAnsi="Times New Roman"/>
                <w:sz w:val="18"/>
                <w:szCs w:val="18"/>
                <w:color w:val="0000FF"/>
              </w:rPr>
            </w:pPr>
            <w:hyperlink r:id="rId502">
              <w:r>
                <w:rPr>
                  <w:rFonts w:ascii="Times New Roman" w:cs="Times New Roman" w:eastAsia="Times New Roman" w:hAnsi="Times New Roman"/>
                  <w:sz w:val="18"/>
                  <w:szCs w:val="18"/>
                  <w:color w:val="0000FF"/>
                </w:rPr>
                <w:t>Certificate of Designations of 8.00% Series A Perpetual Strike Preferred Stock (incorporated herein by reference to Exhibit 3.1 to the</w:t>
              </w:r>
            </w:hyperlink>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7480" w:type="dxa"/>
            <w:vAlign w:val="bottom"/>
            <w:tcBorders>
              <w:bottom w:val="single" w:sz="8" w:color="0000FF"/>
            </w:tcBorders>
            <w:gridSpan w:val="12"/>
          </w:tcPr>
          <w:p>
            <w:pPr>
              <w:spacing w:after="0" w:line="196" w:lineRule="exact"/>
              <w:rPr>
                <w:rFonts w:ascii="Times New Roman" w:cs="Times New Roman" w:eastAsia="Times New Roman" w:hAnsi="Times New Roman"/>
                <w:sz w:val="18"/>
                <w:szCs w:val="18"/>
                <w:color w:val="0000FF"/>
                <w:w w:val="99"/>
              </w:rPr>
            </w:pPr>
            <w:hyperlink r:id="rId502">
              <w:r>
                <w:rPr>
                  <w:rFonts w:ascii="Times New Roman" w:cs="Times New Roman" w:eastAsia="Times New Roman" w:hAnsi="Times New Roman"/>
                  <w:sz w:val="18"/>
                  <w:szCs w:val="18"/>
                  <w:color w:val="0000FF"/>
                  <w:w w:val="99"/>
                </w:rPr>
                <w:t>registrant’s Current Report on Form 8-K filed with the SEC on February 5, 2025 (File No. 000-24435)).</w:t>
              </w:r>
            </w:hyperlink>
          </w:p>
        </w:tc>
        <w:tc>
          <w:tcPr>
            <w:tcW w:w="20" w:type="dxa"/>
            <w:vAlign w:val="bottom"/>
            <w:tcBorders>
              <w:bottom w:val="single" w:sz="8" w:color="0000EE"/>
            </w:tcBorders>
          </w:tcPr>
          <w:p>
            <w:pPr>
              <w:spacing w:after="0"/>
              <w:rPr>
                <w:sz w:val="17"/>
                <w:szCs w:val="17"/>
                <w:color w:val="auto"/>
              </w:rPr>
            </w:pPr>
          </w:p>
        </w:tc>
        <w:tc>
          <w:tcPr>
            <w:tcW w:w="2840" w:type="dxa"/>
            <w:vAlign w:val="bottom"/>
            <w:gridSpan w:val="8"/>
          </w:tcPr>
          <w:p>
            <w:pPr>
              <w:spacing w:after="0"/>
              <w:rPr>
                <w:sz w:val="17"/>
                <w:szCs w:val="17"/>
                <w:color w:val="auto"/>
              </w:rPr>
            </w:pPr>
          </w:p>
        </w:tc>
        <w:tc>
          <w:tcPr>
            <w:tcW w:w="0" w:type="dxa"/>
            <w:vAlign w:val="bottom"/>
          </w:tcPr>
          <w:p>
            <w:pPr>
              <w:spacing w:after="0"/>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4.1</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00" w:type="dxa"/>
            <w:vAlign w:val="bottom"/>
            <w:tcBorders>
              <w:bottom w:val="single" w:sz="8" w:color="0000FF"/>
            </w:tcBorders>
            <w:gridSpan w:val="19"/>
          </w:tcPr>
          <w:p>
            <w:pPr>
              <w:spacing w:after="0"/>
              <w:rPr>
                <w:rFonts w:ascii="Times New Roman" w:cs="Times New Roman" w:eastAsia="Times New Roman" w:hAnsi="Times New Roman"/>
                <w:sz w:val="18"/>
                <w:szCs w:val="18"/>
                <w:color w:val="0000FF"/>
              </w:rPr>
            </w:pPr>
            <w:hyperlink r:id="rId503">
              <w:r>
                <w:rPr>
                  <w:rFonts w:ascii="Times New Roman" w:cs="Times New Roman" w:eastAsia="Times New Roman" w:hAnsi="Times New Roman"/>
                  <w:sz w:val="18"/>
                  <w:szCs w:val="18"/>
                  <w:color w:val="0000FF"/>
                </w:rPr>
                <w:t>Form of Certificate of Class A Common Stock of the registrant (incorporated herein by reference to Exhibit 4.1 to the registrant’s Quarterly</w:t>
              </w:r>
            </w:hyperlink>
          </w:p>
        </w:tc>
        <w:tc>
          <w:tcPr>
            <w:tcW w:w="40" w:type="dxa"/>
            <w:vAlign w:val="bottom"/>
            <w:gridSpan w:val="2"/>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3">
              <w:r>
                <w:rPr>
                  <w:rFonts w:ascii="Times New Roman" w:cs="Times New Roman" w:eastAsia="Times New Roman" w:hAnsi="Times New Roman"/>
                  <w:sz w:val="18"/>
                  <w:szCs w:val="18"/>
                  <w:color w:val="0000FF"/>
                </w:rPr>
                <w:t>Report on Form 10-Q for the fiscal quarter ended September 30, 2024 (File No. 000-24435)).</w:t>
              </w:r>
            </w:hyperlink>
          </w:p>
        </w:tc>
        <w:tc>
          <w:tcPr>
            <w:tcW w:w="0" w:type="dxa"/>
            <w:vAlign w:val="bottom"/>
          </w:tcPr>
          <w:p>
            <w:pPr>
              <w:spacing w:after="0"/>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4.2</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3700" w:type="dxa"/>
            <w:vAlign w:val="bottom"/>
            <w:tcBorders>
              <w:top w:val="single" w:sz="8" w:color="0000FF"/>
              <w:bottom w:val="single" w:sz="8" w:color="0000EE"/>
            </w:tcBorders>
            <w:gridSpan w:val="3"/>
          </w:tcPr>
          <w:p>
            <w:pPr>
              <w:spacing w:after="0"/>
              <w:rPr>
                <w:sz w:val="20"/>
                <w:szCs w:val="20"/>
                <w:color w:val="auto"/>
              </w:rPr>
            </w:pPr>
            <w:r>
              <w:rPr>
                <w:rFonts w:ascii="Times New Roman" w:cs="Times New Roman" w:eastAsia="Times New Roman" w:hAnsi="Times New Roman"/>
                <w:sz w:val="18"/>
                <w:szCs w:val="18"/>
                <w:color w:val="0000FF"/>
              </w:rPr>
              <w:t>Description of the registrant’s registered securities.</w:t>
            </w:r>
          </w:p>
        </w:tc>
        <w:tc>
          <w:tcPr>
            <w:tcW w:w="3000" w:type="dxa"/>
            <w:vAlign w:val="bottom"/>
            <w:tcBorders>
              <w:top w:val="single" w:sz="8" w:color="0000FF"/>
            </w:tcBorders>
            <w:gridSpan w:val="3"/>
          </w:tcPr>
          <w:p>
            <w:pPr>
              <w:spacing w:after="0"/>
              <w:rPr>
                <w:sz w:val="24"/>
                <w:szCs w:val="24"/>
                <w:color w:val="auto"/>
              </w:rPr>
            </w:pPr>
          </w:p>
        </w:tc>
        <w:tc>
          <w:tcPr>
            <w:tcW w:w="3640" w:type="dxa"/>
            <w:vAlign w:val="bottom"/>
            <w:gridSpan w:val="15"/>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4.3</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280" w:type="dxa"/>
            <w:vAlign w:val="bottom"/>
            <w:tcBorders>
              <w:bottom w:val="single" w:sz="8" w:color="0000FF"/>
            </w:tcBorders>
            <w:gridSpan w:val="18"/>
          </w:tcPr>
          <w:p>
            <w:pPr>
              <w:spacing w:after="0"/>
              <w:rPr>
                <w:rFonts w:ascii="Times New Roman" w:cs="Times New Roman" w:eastAsia="Times New Roman" w:hAnsi="Times New Roman"/>
                <w:sz w:val="18"/>
                <w:szCs w:val="18"/>
                <w:color w:val="0000FF"/>
                <w:w w:val="99"/>
              </w:rPr>
            </w:pPr>
            <w:hyperlink r:id="rId504">
              <w:r>
                <w:rPr>
                  <w:rFonts w:ascii="Times New Roman" w:cs="Times New Roman" w:eastAsia="Times New Roman" w:hAnsi="Times New Roman"/>
                  <w:sz w:val="18"/>
                  <w:szCs w:val="18"/>
                  <w:color w:val="0000FF"/>
                  <w:w w:val="99"/>
                </w:rPr>
                <w:t>Indenture, dated as of February 19, 2021, by and between the registrant and U.S. Bank National Association, as trustee (incorporated herein by</w:t>
              </w:r>
            </w:hyperlink>
          </w:p>
        </w:tc>
        <w:tc>
          <w:tcPr>
            <w:tcW w:w="60" w:type="dxa"/>
            <w:vAlign w:val="bottom"/>
            <w:gridSpan w:val="3"/>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4">
              <w:r>
                <w:rPr>
                  <w:rFonts w:ascii="Times New Roman" w:cs="Times New Roman" w:eastAsia="Times New Roman" w:hAnsi="Times New Roman"/>
                  <w:sz w:val="18"/>
                  <w:szCs w:val="18"/>
                  <w:color w:val="0000FF"/>
                </w:rPr>
                <w:t>reference to Exhibit 4.1 to the registrant’s Current Report on Form 8-K filed with the SEC on February 19, 2021 (File 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240" w:type="dxa"/>
            <w:vAlign w:val="bottom"/>
            <w:shd w:val="clear" w:color="auto" w:fill="0000FF"/>
          </w:tcPr>
          <w:p>
            <w:pPr>
              <w:spacing w:after="0" w:line="20" w:lineRule="exact"/>
              <w:rPr>
                <w:sz w:val="1"/>
                <w:szCs w:val="1"/>
                <w:color w:val="auto"/>
              </w:rPr>
            </w:pPr>
          </w:p>
        </w:tc>
        <w:tc>
          <w:tcPr>
            <w:tcW w:w="400" w:type="dxa"/>
            <w:vAlign w:val="bottom"/>
            <w:tcBorders>
              <w:right w:val="single" w:sz="8" w:color="0000FF"/>
            </w:tcBorders>
            <w:shd w:val="clear" w:color="auto" w:fill="0000FF"/>
          </w:tcPr>
          <w:p>
            <w:pPr>
              <w:spacing w:after="0" w:line="20" w:lineRule="exact"/>
              <w:rPr>
                <w:sz w:val="1"/>
                <w:szCs w:val="1"/>
                <w:color w:val="auto"/>
              </w:rPr>
            </w:pPr>
          </w:p>
        </w:tc>
        <w:tc>
          <w:tcPr>
            <w:tcW w:w="5080" w:type="dxa"/>
            <w:vAlign w:val="bottom"/>
            <w:gridSpan w:val="5"/>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80" w:type="dxa"/>
            <w:vAlign w:val="bottom"/>
            <w:shd w:val="clear" w:color="auto" w:fill="0000FF"/>
          </w:tcPr>
          <w:p>
            <w:pPr>
              <w:spacing w:after="0" w:line="20" w:lineRule="exact"/>
              <w:rPr>
                <w:sz w:val="1"/>
                <w:szCs w:val="1"/>
                <w:color w:val="auto"/>
              </w:rPr>
            </w:pPr>
          </w:p>
        </w:tc>
        <w:tc>
          <w:tcPr>
            <w:tcW w:w="440" w:type="dxa"/>
            <w:vAlign w:val="bottom"/>
            <w:tcBorders>
              <w:right w:val="single" w:sz="8" w:color="0000FF"/>
            </w:tcBorders>
            <w:shd w:val="clear" w:color="auto" w:fill="0000FF"/>
          </w:tcPr>
          <w:p>
            <w:pPr>
              <w:spacing w:after="0" w:line="20" w:lineRule="exact"/>
              <w:rPr>
                <w:sz w:val="1"/>
                <w:szCs w:val="1"/>
                <w:color w:val="auto"/>
              </w:rPr>
            </w:pPr>
          </w:p>
        </w:tc>
        <w:tc>
          <w:tcPr>
            <w:tcW w:w="140" w:type="dxa"/>
            <w:vAlign w:val="bottom"/>
            <w:tcBorders>
              <w:right w:val="single" w:sz="8" w:color="0000FF"/>
            </w:tcBorders>
            <w:shd w:val="clear" w:color="auto" w:fill="0000FF"/>
          </w:tcPr>
          <w:p>
            <w:pPr>
              <w:spacing w:after="0" w:line="20" w:lineRule="exact"/>
              <w:rPr>
                <w:sz w:val="1"/>
                <w:szCs w:val="1"/>
                <w:color w:val="auto"/>
              </w:rPr>
            </w:pPr>
          </w:p>
        </w:tc>
        <w:tc>
          <w:tcPr>
            <w:tcW w:w="300" w:type="dxa"/>
            <w:vAlign w:val="bottom"/>
            <w:tcBorders>
              <w:right w:val="single" w:sz="8" w:color="0000FF"/>
            </w:tcBorders>
            <w:gridSpan w:val="3"/>
            <w:shd w:val="clear" w:color="auto" w:fill="0000FF"/>
          </w:tcPr>
          <w:p>
            <w:pPr>
              <w:spacing w:after="0" w:line="20" w:lineRule="exact"/>
              <w:rPr>
                <w:sz w:val="1"/>
                <w:szCs w:val="1"/>
                <w:color w:val="auto"/>
              </w:rPr>
            </w:pPr>
          </w:p>
        </w:tc>
        <w:tc>
          <w:tcPr>
            <w:tcW w:w="2060" w:type="dxa"/>
            <w:vAlign w:val="bottom"/>
            <w:gridSpan w:val="3"/>
            <w:shd w:val="clear" w:color="auto" w:fill="0000FF"/>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4.4</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40" w:type="dxa"/>
            <w:vAlign w:val="bottom"/>
            <w:tcBorders>
              <w:bottom w:val="single" w:sz="8" w:color="0000FF"/>
            </w:tcBorders>
            <w:gridSpan w:val="21"/>
          </w:tcPr>
          <w:p>
            <w:pPr>
              <w:spacing w:after="0"/>
              <w:rPr>
                <w:rFonts w:ascii="Times New Roman" w:cs="Times New Roman" w:eastAsia="Times New Roman" w:hAnsi="Times New Roman"/>
                <w:sz w:val="18"/>
                <w:szCs w:val="18"/>
                <w:color w:val="0000FF"/>
              </w:rPr>
            </w:pPr>
            <w:hyperlink r:id="rId504">
              <w:r>
                <w:rPr>
                  <w:rFonts w:ascii="Times New Roman" w:cs="Times New Roman" w:eastAsia="Times New Roman" w:hAnsi="Times New Roman"/>
                  <w:sz w:val="18"/>
                  <w:szCs w:val="18"/>
                  <w:color w:val="0000FF"/>
                </w:rPr>
                <w:t>Form of 0% Convertible Senior Note due 2027 (included within Exhibit 4.3 incorporated herein by reference to Exhibit 4.1 to the registrant’s</w:t>
              </w:r>
            </w:hyperlink>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6720" w:type="dxa"/>
            <w:vAlign w:val="bottom"/>
            <w:tcBorders>
              <w:bottom w:val="single" w:sz="8" w:color="0000FF"/>
            </w:tcBorders>
            <w:gridSpan w:val="7"/>
          </w:tcPr>
          <w:p>
            <w:pPr>
              <w:spacing w:after="0" w:line="196" w:lineRule="exact"/>
              <w:rPr>
                <w:rFonts w:ascii="Times New Roman" w:cs="Times New Roman" w:eastAsia="Times New Roman" w:hAnsi="Times New Roman"/>
                <w:sz w:val="18"/>
                <w:szCs w:val="18"/>
                <w:color w:val="0000FF"/>
                <w:w w:val="99"/>
              </w:rPr>
            </w:pPr>
            <w:hyperlink r:id="rId504">
              <w:r>
                <w:rPr>
                  <w:rFonts w:ascii="Times New Roman" w:cs="Times New Roman" w:eastAsia="Times New Roman" w:hAnsi="Times New Roman"/>
                  <w:sz w:val="18"/>
                  <w:szCs w:val="18"/>
                  <w:color w:val="0000FF"/>
                  <w:w w:val="99"/>
                </w:rPr>
                <w:t>Current Report on Form 8-K filed with the SEC on February 19, 2021 (File No. 000-24435)).</w:t>
              </w:r>
            </w:hyperlink>
          </w:p>
        </w:tc>
        <w:tc>
          <w:tcPr>
            <w:tcW w:w="20" w:type="dxa"/>
            <w:vAlign w:val="bottom"/>
            <w:tcBorders>
              <w:bottom w:val="single" w:sz="8" w:color="0000EE"/>
            </w:tcBorders>
          </w:tcPr>
          <w:p>
            <w:pPr>
              <w:spacing w:after="0"/>
              <w:rPr>
                <w:sz w:val="17"/>
                <w:szCs w:val="17"/>
                <w:color w:val="auto"/>
              </w:rPr>
            </w:pPr>
          </w:p>
        </w:tc>
        <w:tc>
          <w:tcPr>
            <w:tcW w:w="3600" w:type="dxa"/>
            <w:vAlign w:val="bottom"/>
            <w:gridSpan w:val="13"/>
          </w:tcPr>
          <w:p>
            <w:pPr>
              <w:spacing w:after="0"/>
              <w:rPr>
                <w:sz w:val="17"/>
                <w:szCs w:val="17"/>
                <w:color w:val="auto"/>
              </w:rPr>
            </w:pPr>
          </w:p>
        </w:tc>
        <w:tc>
          <w:tcPr>
            <w:tcW w:w="0" w:type="dxa"/>
            <w:vAlign w:val="bottom"/>
          </w:tcPr>
          <w:p>
            <w:pPr>
              <w:spacing w:after="0"/>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4.5</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20" w:type="dxa"/>
            <w:vAlign w:val="bottom"/>
            <w:tcBorders>
              <w:bottom w:val="single" w:sz="8" w:color="0000FF"/>
            </w:tcBorders>
            <w:gridSpan w:val="20"/>
          </w:tcPr>
          <w:p>
            <w:pPr>
              <w:spacing w:after="0"/>
              <w:rPr>
                <w:rFonts w:ascii="Times New Roman" w:cs="Times New Roman" w:eastAsia="Times New Roman" w:hAnsi="Times New Roman"/>
                <w:sz w:val="18"/>
                <w:szCs w:val="18"/>
                <w:color w:val="0000FF"/>
              </w:rPr>
            </w:pPr>
            <w:hyperlink r:id="rId505">
              <w:r>
                <w:rPr>
                  <w:rFonts w:ascii="Times New Roman" w:cs="Times New Roman" w:eastAsia="Times New Roman" w:hAnsi="Times New Roman"/>
                  <w:sz w:val="18"/>
                  <w:szCs w:val="18"/>
                  <w:color w:val="0000FF"/>
                </w:rPr>
                <w:t>Indenture, dated as of March 8, 2024, by and between the registrant and U.S. Bank Trust Company, National Association, as trustee</w:t>
              </w:r>
            </w:hyperlink>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tcBorders>
              <w:bottom w:val="single" w:sz="8" w:color="0000FF"/>
            </w:tcBorders>
            <w:gridSpan w:val="21"/>
          </w:tcPr>
          <w:p>
            <w:pPr>
              <w:spacing w:after="0" w:line="196" w:lineRule="exact"/>
              <w:rPr>
                <w:rFonts w:ascii="Times New Roman" w:cs="Times New Roman" w:eastAsia="Times New Roman" w:hAnsi="Times New Roman"/>
                <w:sz w:val="18"/>
                <w:szCs w:val="18"/>
                <w:color w:val="0000FF"/>
              </w:rPr>
            </w:pPr>
            <w:hyperlink r:id="rId505">
              <w:r>
                <w:rPr>
                  <w:rFonts w:ascii="Times New Roman" w:cs="Times New Roman" w:eastAsia="Times New Roman" w:hAnsi="Times New Roman"/>
                  <w:sz w:val="18"/>
                  <w:szCs w:val="18"/>
                  <w:color w:val="0000FF"/>
                </w:rPr>
                <w:t>(incorporated herein by reference to Exhibit 4.1 to the registrant’s Current Report on Form 8-K filed with the SEC on March 11, 2024 (File</w:t>
              </w:r>
            </w:hyperlink>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5">
              <w:r>
                <w:rPr>
                  <w:rFonts w:ascii="Times New Roman" w:cs="Times New Roman" w:eastAsia="Times New Roman" w:hAnsi="Times New Roman"/>
                  <w:sz w:val="18"/>
                  <w:szCs w:val="18"/>
                  <w:color w:val="0000FF"/>
                </w:rPr>
                <w:t>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240" w:type="dxa"/>
            <w:vAlign w:val="bottom"/>
            <w:shd w:val="clear" w:color="auto" w:fill="0000FF"/>
          </w:tcPr>
          <w:p>
            <w:pPr>
              <w:spacing w:after="0" w:line="20" w:lineRule="exact"/>
              <w:rPr>
                <w:sz w:val="1"/>
                <w:szCs w:val="1"/>
                <w:color w:val="auto"/>
              </w:rPr>
            </w:pPr>
          </w:p>
        </w:tc>
        <w:tc>
          <w:tcPr>
            <w:tcW w:w="400" w:type="dxa"/>
            <w:vAlign w:val="bottom"/>
          </w:tcPr>
          <w:p>
            <w:pPr>
              <w:spacing w:after="0" w:line="20" w:lineRule="exact"/>
              <w:rPr>
                <w:sz w:val="1"/>
                <w:szCs w:val="1"/>
                <w:color w:val="auto"/>
              </w:rPr>
            </w:pPr>
          </w:p>
        </w:tc>
        <w:tc>
          <w:tcPr>
            <w:tcW w:w="5180" w:type="dxa"/>
            <w:vAlign w:val="bottom"/>
            <w:gridSpan w:val="7"/>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300" w:type="dxa"/>
            <w:vAlign w:val="bottom"/>
            <w:gridSpan w:val="3"/>
          </w:tcPr>
          <w:p>
            <w:pPr>
              <w:spacing w:after="0" w:line="20" w:lineRule="exact"/>
              <w:rPr>
                <w:sz w:val="1"/>
                <w:szCs w:val="1"/>
                <w:color w:val="auto"/>
              </w:rPr>
            </w:pPr>
          </w:p>
        </w:tc>
        <w:tc>
          <w:tcPr>
            <w:tcW w:w="2580" w:type="dxa"/>
            <w:vAlign w:val="bottom"/>
            <w:gridSpan w:val="4"/>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4.6</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40" w:type="dxa"/>
            <w:vAlign w:val="bottom"/>
            <w:tcBorders>
              <w:bottom w:val="single" w:sz="8" w:color="0000FF"/>
            </w:tcBorders>
            <w:gridSpan w:val="21"/>
          </w:tcPr>
          <w:p>
            <w:pPr>
              <w:spacing w:after="0"/>
              <w:rPr>
                <w:rFonts w:ascii="Times New Roman" w:cs="Times New Roman" w:eastAsia="Times New Roman" w:hAnsi="Times New Roman"/>
                <w:sz w:val="18"/>
                <w:szCs w:val="18"/>
                <w:color w:val="0000FF"/>
              </w:rPr>
            </w:pPr>
            <w:hyperlink r:id="rId505">
              <w:r>
                <w:rPr>
                  <w:rFonts w:ascii="Times New Roman" w:cs="Times New Roman" w:eastAsia="Times New Roman" w:hAnsi="Times New Roman"/>
                  <w:sz w:val="18"/>
                  <w:szCs w:val="18"/>
                  <w:color w:val="0000FF"/>
                </w:rPr>
                <w:t>Form of 0.625% Convertible Senior Note due 2030 (included within Exhibit 4.5 incorporated herein by reference to Exhibit 4.1 to the</w:t>
              </w:r>
            </w:hyperlink>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5">
              <w:r>
                <w:rPr>
                  <w:rFonts w:ascii="Times New Roman" w:cs="Times New Roman" w:eastAsia="Times New Roman" w:hAnsi="Times New Roman"/>
                  <w:sz w:val="18"/>
                  <w:szCs w:val="18"/>
                  <w:color w:val="0000FF"/>
                </w:rPr>
                <w:t>registrant’s Current Report on Form 8-K filed with the SEC on March 11, 2024 (File 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640" w:type="dxa"/>
            <w:vAlign w:val="bottom"/>
            <w:tcBorders>
              <w:right w:val="single" w:sz="8" w:color="0000FF"/>
            </w:tcBorders>
            <w:gridSpan w:val="2"/>
            <w:shd w:val="clear" w:color="auto" w:fill="0000FF"/>
          </w:tcPr>
          <w:p>
            <w:pPr>
              <w:spacing w:after="0" w:line="20" w:lineRule="exact"/>
              <w:rPr>
                <w:sz w:val="1"/>
                <w:szCs w:val="1"/>
                <w:color w:val="auto"/>
              </w:rPr>
            </w:pPr>
          </w:p>
        </w:tc>
        <w:tc>
          <w:tcPr>
            <w:tcW w:w="5180" w:type="dxa"/>
            <w:vAlign w:val="bottom"/>
            <w:gridSpan w:val="7"/>
            <w:shd w:val="clear" w:color="auto" w:fill="0000FF"/>
          </w:tcPr>
          <w:p>
            <w:pPr>
              <w:spacing w:after="0" w:line="20" w:lineRule="exact"/>
              <w:rPr>
                <w:sz w:val="1"/>
                <w:szCs w:val="1"/>
                <w:color w:val="auto"/>
              </w:rPr>
            </w:pPr>
          </w:p>
        </w:tc>
        <w:tc>
          <w:tcPr>
            <w:tcW w:w="440" w:type="dxa"/>
            <w:vAlign w:val="bottom"/>
            <w:tcBorders>
              <w:right w:val="single" w:sz="8" w:color="0000FF"/>
            </w:tcBorders>
            <w:shd w:val="clear" w:color="auto" w:fill="0000FF"/>
          </w:tcPr>
          <w:p>
            <w:pPr>
              <w:spacing w:after="0" w:line="20" w:lineRule="exact"/>
              <w:rPr>
                <w:sz w:val="1"/>
                <w:szCs w:val="1"/>
                <w:color w:val="auto"/>
              </w:rPr>
            </w:pPr>
          </w:p>
        </w:tc>
        <w:tc>
          <w:tcPr>
            <w:tcW w:w="140" w:type="dxa"/>
            <w:vAlign w:val="bottom"/>
            <w:tcBorders>
              <w:right w:val="single" w:sz="8" w:color="0000EE"/>
            </w:tcBorders>
            <w:shd w:val="clear" w:color="auto" w:fill="0000FF"/>
          </w:tcPr>
          <w:p>
            <w:pPr>
              <w:spacing w:after="0" w:line="20" w:lineRule="exact"/>
              <w:rPr>
                <w:sz w:val="1"/>
                <w:szCs w:val="1"/>
                <w:color w:val="auto"/>
              </w:rPr>
            </w:pPr>
          </w:p>
        </w:tc>
        <w:tc>
          <w:tcPr>
            <w:tcW w:w="300" w:type="dxa"/>
            <w:vAlign w:val="bottom"/>
            <w:gridSpan w:val="3"/>
          </w:tcPr>
          <w:p>
            <w:pPr>
              <w:spacing w:after="0" w:line="20" w:lineRule="exact"/>
              <w:rPr>
                <w:sz w:val="1"/>
                <w:szCs w:val="1"/>
                <w:color w:val="auto"/>
              </w:rPr>
            </w:pPr>
          </w:p>
        </w:tc>
        <w:tc>
          <w:tcPr>
            <w:tcW w:w="2580" w:type="dxa"/>
            <w:vAlign w:val="bottom"/>
            <w:gridSpan w:val="4"/>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4.7</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280" w:type="dxa"/>
            <w:vAlign w:val="bottom"/>
            <w:tcBorders>
              <w:bottom w:val="single" w:sz="8" w:color="0000FF"/>
            </w:tcBorders>
            <w:gridSpan w:val="18"/>
          </w:tcPr>
          <w:p>
            <w:pPr>
              <w:spacing w:after="0"/>
              <w:rPr>
                <w:rFonts w:ascii="Times New Roman" w:cs="Times New Roman" w:eastAsia="Times New Roman" w:hAnsi="Times New Roman"/>
                <w:sz w:val="18"/>
                <w:szCs w:val="18"/>
                <w:color w:val="0000FF"/>
              </w:rPr>
            </w:pPr>
            <w:hyperlink r:id="rId506">
              <w:r>
                <w:rPr>
                  <w:rFonts w:ascii="Times New Roman" w:cs="Times New Roman" w:eastAsia="Times New Roman" w:hAnsi="Times New Roman"/>
                  <w:sz w:val="18"/>
                  <w:szCs w:val="18"/>
                  <w:color w:val="0000FF"/>
                </w:rPr>
                <w:t>Indenture, dated as of March 18, 2024, by and between the registrant and U.S. Bank Trust Company, National Association, as trustee</w:t>
              </w:r>
            </w:hyperlink>
          </w:p>
        </w:tc>
        <w:tc>
          <w:tcPr>
            <w:tcW w:w="20" w:type="dxa"/>
            <w:vAlign w:val="bottom"/>
            <w:tcBorders>
              <w:bottom w:val="single" w:sz="8" w:color="0000EE"/>
            </w:tcBorders>
          </w:tcPr>
          <w:p>
            <w:pPr>
              <w:spacing w:after="0"/>
              <w:rPr>
                <w:sz w:val="24"/>
                <w:szCs w:val="24"/>
                <w:color w:val="auto"/>
              </w:rPr>
            </w:pPr>
          </w:p>
        </w:tc>
        <w:tc>
          <w:tcPr>
            <w:tcW w:w="40" w:type="dxa"/>
            <w:vAlign w:val="bottom"/>
            <w:gridSpan w:val="2"/>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tcBorders>
              <w:bottom w:val="single" w:sz="8" w:color="0000FF"/>
            </w:tcBorders>
            <w:gridSpan w:val="21"/>
          </w:tcPr>
          <w:p>
            <w:pPr>
              <w:spacing w:after="0" w:line="196" w:lineRule="exact"/>
              <w:rPr>
                <w:rFonts w:ascii="Times New Roman" w:cs="Times New Roman" w:eastAsia="Times New Roman" w:hAnsi="Times New Roman"/>
                <w:sz w:val="18"/>
                <w:szCs w:val="18"/>
                <w:color w:val="0000FF"/>
              </w:rPr>
            </w:pPr>
            <w:hyperlink r:id="rId506">
              <w:r>
                <w:rPr>
                  <w:rFonts w:ascii="Times New Roman" w:cs="Times New Roman" w:eastAsia="Times New Roman" w:hAnsi="Times New Roman"/>
                  <w:sz w:val="18"/>
                  <w:szCs w:val="18"/>
                  <w:color w:val="0000FF"/>
                </w:rPr>
                <w:t>(incorporated herein by reference to Exhibit 4.1 to the registrant’s Current Report on Form 8-K filed with the SEC on March 19, 2024 (File</w:t>
              </w:r>
            </w:hyperlink>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6">
              <w:r>
                <w:rPr>
                  <w:rFonts w:ascii="Times New Roman" w:cs="Times New Roman" w:eastAsia="Times New Roman" w:hAnsi="Times New Roman"/>
                  <w:sz w:val="18"/>
                  <w:szCs w:val="18"/>
                  <w:color w:val="0000FF"/>
                </w:rPr>
                <w:t>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240" w:type="dxa"/>
            <w:vAlign w:val="bottom"/>
            <w:shd w:val="clear" w:color="auto" w:fill="0000FF"/>
          </w:tcPr>
          <w:p>
            <w:pPr>
              <w:spacing w:after="0" w:line="20" w:lineRule="exact"/>
              <w:rPr>
                <w:sz w:val="1"/>
                <w:szCs w:val="1"/>
                <w:color w:val="auto"/>
              </w:rPr>
            </w:pPr>
          </w:p>
        </w:tc>
        <w:tc>
          <w:tcPr>
            <w:tcW w:w="400" w:type="dxa"/>
            <w:vAlign w:val="bottom"/>
          </w:tcPr>
          <w:p>
            <w:pPr>
              <w:spacing w:after="0" w:line="20" w:lineRule="exact"/>
              <w:rPr>
                <w:sz w:val="1"/>
                <w:szCs w:val="1"/>
                <w:color w:val="auto"/>
              </w:rPr>
            </w:pPr>
          </w:p>
        </w:tc>
        <w:tc>
          <w:tcPr>
            <w:tcW w:w="5180" w:type="dxa"/>
            <w:vAlign w:val="bottom"/>
            <w:gridSpan w:val="7"/>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440" w:type="dxa"/>
            <w:vAlign w:val="bottom"/>
            <w:gridSpan w:val="4"/>
          </w:tcPr>
          <w:p>
            <w:pPr>
              <w:spacing w:after="0" w:line="20" w:lineRule="exact"/>
              <w:rPr>
                <w:sz w:val="1"/>
                <w:szCs w:val="1"/>
                <w:color w:val="auto"/>
              </w:rPr>
            </w:pPr>
          </w:p>
        </w:tc>
        <w:tc>
          <w:tcPr>
            <w:tcW w:w="2580" w:type="dxa"/>
            <w:vAlign w:val="bottom"/>
            <w:gridSpan w:val="4"/>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4.8</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40" w:type="dxa"/>
            <w:vAlign w:val="bottom"/>
            <w:tcBorders>
              <w:bottom w:val="single" w:sz="8" w:color="0000FF"/>
            </w:tcBorders>
            <w:gridSpan w:val="21"/>
          </w:tcPr>
          <w:p>
            <w:pPr>
              <w:spacing w:after="0"/>
              <w:rPr>
                <w:rFonts w:ascii="Times New Roman" w:cs="Times New Roman" w:eastAsia="Times New Roman" w:hAnsi="Times New Roman"/>
                <w:sz w:val="18"/>
                <w:szCs w:val="18"/>
                <w:color w:val="0000FF"/>
              </w:rPr>
            </w:pPr>
            <w:hyperlink r:id="rId506">
              <w:r>
                <w:rPr>
                  <w:rFonts w:ascii="Times New Roman" w:cs="Times New Roman" w:eastAsia="Times New Roman" w:hAnsi="Times New Roman"/>
                  <w:sz w:val="18"/>
                  <w:szCs w:val="18"/>
                  <w:color w:val="0000FF"/>
                </w:rPr>
                <w:t>Form of 0.875% Convertible Senior Note due 2031 (included within Exhibit 4.7 incorporated herein by reference to Exhibit 4.1 to the</w:t>
              </w:r>
            </w:hyperlink>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6">
              <w:r>
                <w:rPr>
                  <w:rFonts w:ascii="Times New Roman" w:cs="Times New Roman" w:eastAsia="Times New Roman" w:hAnsi="Times New Roman"/>
                  <w:sz w:val="18"/>
                  <w:szCs w:val="18"/>
                  <w:color w:val="0000FF"/>
                </w:rPr>
                <w:t>registrant’s Current Report on Form 8-K filed with the SEC on March 19, 2024 (File 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640" w:type="dxa"/>
            <w:vAlign w:val="bottom"/>
            <w:tcBorders>
              <w:right w:val="single" w:sz="8" w:color="0000FF"/>
            </w:tcBorders>
            <w:gridSpan w:val="2"/>
            <w:shd w:val="clear" w:color="auto" w:fill="0000FF"/>
          </w:tcPr>
          <w:p>
            <w:pPr>
              <w:spacing w:after="0" w:line="20" w:lineRule="exact"/>
              <w:rPr>
                <w:sz w:val="1"/>
                <w:szCs w:val="1"/>
                <w:color w:val="auto"/>
              </w:rPr>
            </w:pPr>
          </w:p>
        </w:tc>
        <w:tc>
          <w:tcPr>
            <w:tcW w:w="5180" w:type="dxa"/>
            <w:vAlign w:val="bottom"/>
            <w:gridSpan w:val="7"/>
            <w:shd w:val="clear" w:color="auto" w:fill="0000FF"/>
          </w:tcPr>
          <w:p>
            <w:pPr>
              <w:spacing w:after="0" w:line="20" w:lineRule="exact"/>
              <w:rPr>
                <w:sz w:val="1"/>
                <w:szCs w:val="1"/>
                <w:color w:val="auto"/>
              </w:rPr>
            </w:pPr>
          </w:p>
        </w:tc>
        <w:tc>
          <w:tcPr>
            <w:tcW w:w="440" w:type="dxa"/>
            <w:vAlign w:val="bottom"/>
            <w:tcBorders>
              <w:right w:val="single" w:sz="8" w:color="0000FF"/>
            </w:tcBorders>
            <w:shd w:val="clear" w:color="auto" w:fill="0000FF"/>
          </w:tcPr>
          <w:p>
            <w:pPr>
              <w:spacing w:after="0" w:line="20" w:lineRule="exact"/>
              <w:rPr>
                <w:sz w:val="1"/>
                <w:szCs w:val="1"/>
                <w:color w:val="auto"/>
              </w:rPr>
            </w:pPr>
          </w:p>
        </w:tc>
        <w:tc>
          <w:tcPr>
            <w:tcW w:w="140" w:type="dxa"/>
            <w:vAlign w:val="bottom"/>
            <w:tcBorders>
              <w:right w:val="single" w:sz="8" w:color="0000EE"/>
            </w:tcBorders>
            <w:shd w:val="clear" w:color="auto" w:fill="0000FF"/>
          </w:tcPr>
          <w:p>
            <w:pPr>
              <w:spacing w:after="0" w:line="20" w:lineRule="exact"/>
              <w:rPr>
                <w:sz w:val="1"/>
                <w:szCs w:val="1"/>
                <w:color w:val="auto"/>
              </w:rPr>
            </w:pPr>
          </w:p>
        </w:tc>
        <w:tc>
          <w:tcPr>
            <w:tcW w:w="300" w:type="dxa"/>
            <w:vAlign w:val="bottom"/>
            <w:gridSpan w:val="3"/>
          </w:tcPr>
          <w:p>
            <w:pPr>
              <w:spacing w:after="0" w:line="20" w:lineRule="exact"/>
              <w:rPr>
                <w:sz w:val="1"/>
                <w:szCs w:val="1"/>
                <w:color w:val="auto"/>
              </w:rPr>
            </w:pPr>
          </w:p>
        </w:tc>
        <w:tc>
          <w:tcPr>
            <w:tcW w:w="2580" w:type="dxa"/>
            <w:vAlign w:val="bottom"/>
            <w:gridSpan w:val="4"/>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4.9</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00" w:type="dxa"/>
            <w:vAlign w:val="bottom"/>
            <w:tcBorders>
              <w:bottom w:val="single" w:sz="8" w:color="0000FF"/>
            </w:tcBorders>
            <w:gridSpan w:val="19"/>
          </w:tcPr>
          <w:p>
            <w:pPr>
              <w:spacing w:after="0"/>
              <w:rPr>
                <w:rFonts w:ascii="Times New Roman" w:cs="Times New Roman" w:eastAsia="Times New Roman" w:hAnsi="Times New Roman"/>
                <w:sz w:val="18"/>
                <w:szCs w:val="18"/>
                <w:color w:val="0000FF"/>
              </w:rPr>
            </w:pPr>
            <w:hyperlink r:id="rId507">
              <w:r>
                <w:rPr>
                  <w:rFonts w:ascii="Times New Roman" w:cs="Times New Roman" w:eastAsia="Times New Roman" w:hAnsi="Times New Roman"/>
                  <w:sz w:val="18"/>
                  <w:szCs w:val="18"/>
                  <w:color w:val="0000FF"/>
                </w:rPr>
                <w:t>Indenture, dated as of June 17, 2024, by and between MicroStrategy Incorporated and U.S. Bank Trust Company, National Association, as</w:t>
              </w:r>
            </w:hyperlink>
          </w:p>
        </w:tc>
        <w:tc>
          <w:tcPr>
            <w:tcW w:w="20" w:type="dxa"/>
            <w:vAlign w:val="bottom"/>
            <w:tcBorders>
              <w:bottom w:val="single" w:sz="8" w:color="0000EE"/>
            </w:tcBorders>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tcBorders>
              <w:bottom w:val="single" w:sz="8" w:color="0000FF"/>
            </w:tcBorders>
            <w:gridSpan w:val="21"/>
          </w:tcPr>
          <w:p>
            <w:pPr>
              <w:spacing w:after="0" w:line="196" w:lineRule="exact"/>
              <w:rPr>
                <w:rFonts w:ascii="Times New Roman" w:cs="Times New Roman" w:eastAsia="Times New Roman" w:hAnsi="Times New Roman"/>
                <w:sz w:val="18"/>
                <w:szCs w:val="18"/>
                <w:color w:val="0000FF"/>
              </w:rPr>
            </w:pPr>
            <w:hyperlink r:id="rId507">
              <w:r>
                <w:rPr>
                  <w:rFonts w:ascii="Times New Roman" w:cs="Times New Roman" w:eastAsia="Times New Roman" w:hAnsi="Times New Roman"/>
                  <w:sz w:val="18"/>
                  <w:szCs w:val="18"/>
                  <w:color w:val="0000FF"/>
                </w:rPr>
                <w:t>trustee (incorporated herein by reference to Exhibit 4.1 to the registrant’s Current Report on Form 8-K filed with the SEC on June 20, 2024</w:t>
              </w:r>
            </w:hyperlink>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7">
              <w:r>
                <w:rPr>
                  <w:rFonts w:ascii="Times New Roman" w:cs="Times New Roman" w:eastAsia="Times New Roman" w:hAnsi="Times New Roman"/>
                  <w:sz w:val="18"/>
                  <w:szCs w:val="18"/>
                  <w:color w:val="0000FF"/>
                </w:rPr>
                <w:t>(File 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640" w:type="dxa"/>
            <w:vAlign w:val="bottom"/>
            <w:tcBorders>
              <w:right w:val="single" w:sz="8" w:color="0000EE"/>
            </w:tcBorders>
            <w:gridSpan w:val="2"/>
            <w:shd w:val="clear" w:color="auto" w:fill="0000FF"/>
          </w:tcPr>
          <w:p>
            <w:pPr>
              <w:spacing w:after="0" w:line="20" w:lineRule="exact"/>
              <w:rPr>
                <w:sz w:val="1"/>
                <w:szCs w:val="1"/>
                <w:color w:val="auto"/>
              </w:rPr>
            </w:pPr>
          </w:p>
        </w:tc>
        <w:tc>
          <w:tcPr>
            <w:tcW w:w="5180" w:type="dxa"/>
            <w:vAlign w:val="bottom"/>
            <w:gridSpan w:val="7"/>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440" w:type="dxa"/>
            <w:vAlign w:val="bottom"/>
            <w:gridSpan w:val="4"/>
          </w:tcPr>
          <w:p>
            <w:pPr>
              <w:spacing w:after="0" w:line="20" w:lineRule="exact"/>
              <w:rPr>
                <w:sz w:val="1"/>
                <w:szCs w:val="1"/>
                <w:color w:val="auto"/>
              </w:rPr>
            </w:pPr>
          </w:p>
        </w:tc>
        <w:tc>
          <w:tcPr>
            <w:tcW w:w="2580" w:type="dxa"/>
            <w:vAlign w:val="bottom"/>
            <w:gridSpan w:val="4"/>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4.10</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00" w:type="dxa"/>
            <w:vAlign w:val="bottom"/>
            <w:tcBorders>
              <w:bottom w:val="single" w:sz="8" w:color="0000FF"/>
            </w:tcBorders>
            <w:gridSpan w:val="19"/>
          </w:tcPr>
          <w:p>
            <w:pPr>
              <w:spacing w:after="0"/>
              <w:rPr>
                <w:rFonts w:ascii="Times New Roman" w:cs="Times New Roman" w:eastAsia="Times New Roman" w:hAnsi="Times New Roman"/>
                <w:sz w:val="18"/>
                <w:szCs w:val="18"/>
                <w:color w:val="0000FF"/>
              </w:rPr>
            </w:pPr>
            <w:hyperlink r:id="rId507">
              <w:r>
                <w:rPr>
                  <w:rFonts w:ascii="Times New Roman" w:cs="Times New Roman" w:eastAsia="Times New Roman" w:hAnsi="Times New Roman"/>
                  <w:sz w:val="18"/>
                  <w:szCs w:val="18"/>
                  <w:color w:val="0000FF"/>
                </w:rPr>
                <w:t>Form of 2.25% Convertible Senior Note due 2032 (included within Exhibit 4.9 incorporated herein by reference to Exhibit 4.1 to the</w:t>
              </w:r>
            </w:hyperlink>
          </w:p>
        </w:tc>
        <w:tc>
          <w:tcPr>
            <w:tcW w:w="40" w:type="dxa"/>
            <w:vAlign w:val="bottom"/>
            <w:gridSpan w:val="2"/>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7">
              <w:r>
                <w:rPr>
                  <w:rFonts w:ascii="Times New Roman" w:cs="Times New Roman" w:eastAsia="Times New Roman" w:hAnsi="Times New Roman"/>
                  <w:sz w:val="18"/>
                  <w:szCs w:val="18"/>
                  <w:color w:val="0000FF"/>
                </w:rPr>
                <w:t>registrant’s Current Report on Form 8-K filed with the SEC on June 20, 2024 (File 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820" w:type="dxa"/>
            <w:vAlign w:val="bottom"/>
            <w:gridSpan w:val="9"/>
            <w:shd w:val="clear" w:color="auto" w:fill="0000FF"/>
          </w:tcPr>
          <w:p>
            <w:pPr>
              <w:spacing w:after="0" w:line="20" w:lineRule="exact"/>
              <w:rPr>
                <w:sz w:val="1"/>
                <w:szCs w:val="1"/>
                <w:color w:val="auto"/>
              </w:rPr>
            </w:pPr>
          </w:p>
        </w:tc>
        <w:tc>
          <w:tcPr>
            <w:tcW w:w="440" w:type="dxa"/>
            <w:vAlign w:val="bottom"/>
            <w:tcBorders>
              <w:right w:val="single" w:sz="8" w:color="0000EE"/>
            </w:tcBorders>
            <w:shd w:val="clear" w:color="auto" w:fill="0000FF"/>
          </w:tcPr>
          <w:p>
            <w:pPr>
              <w:spacing w:after="0" w:line="20" w:lineRule="exact"/>
              <w:rPr>
                <w:sz w:val="1"/>
                <w:szCs w:val="1"/>
                <w:color w:val="auto"/>
              </w:rPr>
            </w:pPr>
          </w:p>
        </w:tc>
        <w:tc>
          <w:tcPr>
            <w:tcW w:w="440" w:type="dxa"/>
            <w:vAlign w:val="bottom"/>
            <w:gridSpan w:val="4"/>
          </w:tcPr>
          <w:p>
            <w:pPr>
              <w:spacing w:after="0" w:line="20" w:lineRule="exact"/>
              <w:rPr>
                <w:sz w:val="1"/>
                <w:szCs w:val="1"/>
                <w:color w:val="auto"/>
              </w:rPr>
            </w:pPr>
          </w:p>
        </w:tc>
        <w:tc>
          <w:tcPr>
            <w:tcW w:w="2600" w:type="dxa"/>
            <w:vAlign w:val="bottom"/>
            <w:gridSpan w:val="5"/>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4.11</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00" w:type="dxa"/>
            <w:vAlign w:val="bottom"/>
            <w:tcBorders>
              <w:bottom w:val="single" w:sz="8" w:color="0000FF"/>
            </w:tcBorders>
            <w:gridSpan w:val="19"/>
          </w:tcPr>
          <w:p>
            <w:pPr>
              <w:spacing w:after="0"/>
              <w:rPr>
                <w:rFonts w:ascii="Times New Roman" w:cs="Times New Roman" w:eastAsia="Times New Roman" w:hAnsi="Times New Roman"/>
                <w:sz w:val="18"/>
                <w:szCs w:val="18"/>
                <w:color w:val="0000FF"/>
              </w:rPr>
            </w:pPr>
            <w:hyperlink r:id="rId508">
              <w:r>
                <w:rPr>
                  <w:rFonts w:ascii="Times New Roman" w:cs="Times New Roman" w:eastAsia="Times New Roman" w:hAnsi="Times New Roman"/>
                  <w:sz w:val="18"/>
                  <w:szCs w:val="18"/>
                  <w:color w:val="0000FF"/>
                </w:rPr>
                <w:t>Indenture, dated as of September 19, 2024, by and between the registrant and U.S. Bank Trust Company, National Association, as trustee</w:t>
              </w:r>
            </w:hyperlink>
          </w:p>
        </w:tc>
        <w:tc>
          <w:tcPr>
            <w:tcW w:w="20" w:type="dxa"/>
            <w:vAlign w:val="bottom"/>
            <w:tcBorders>
              <w:bottom w:val="single" w:sz="8" w:color="0000EE"/>
            </w:tcBorders>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20" w:type="dxa"/>
            <w:vAlign w:val="bottom"/>
            <w:tcBorders>
              <w:bottom w:val="single" w:sz="8" w:color="0000FF"/>
            </w:tcBorders>
            <w:gridSpan w:val="20"/>
          </w:tcPr>
          <w:p>
            <w:pPr>
              <w:spacing w:after="0" w:line="196" w:lineRule="exact"/>
              <w:rPr>
                <w:rFonts w:ascii="Times New Roman" w:cs="Times New Roman" w:eastAsia="Times New Roman" w:hAnsi="Times New Roman"/>
                <w:sz w:val="18"/>
                <w:szCs w:val="18"/>
                <w:color w:val="0000FF"/>
              </w:rPr>
            </w:pPr>
            <w:hyperlink r:id="rId508">
              <w:r>
                <w:rPr>
                  <w:rFonts w:ascii="Times New Roman" w:cs="Times New Roman" w:eastAsia="Times New Roman" w:hAnsi="Times New Roman"/>
                  <w:sz w:val="18"/>
                  <w:szCs w:val="18"/>
                  <w:color w:val="0000FF"/>
                </w:rPr>
                <w:t>(incorporated herein by reference to Exhibit 4.1 to the registrant’s Current Report on Form 8-K filed with the SEC on September 20, 2024</w:t>
              </w:r>
            </w:hyperlink>
          </w:p>
        </w:tc>
        <w:tc>
          <w:tcPr>
            <w:tcW w:w="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8">
              <w:r>
                <w:rPr>
                  <w:rFonts w:ascii="Times New Roman" w:cs="Times New Roman" w:eastAsia="Times New Roman" w:hAnsi="Times New Roman"/>
                  <w:sz w:val="18"/>
                  <w:szCs w:val="18"/>
                  <w:color w:val="0000FF"/>
                </w:rPr>
                <w:t>(File 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640" w:type="dxa"/>
            <w:vAlign w:val="bottom"/>
            <w:tcBorders>
              <w:right w:val="single" w:sz="8" w:color="0000EE"/>
            </w:tcBorders>
            <w:gridSpan w:val="2"/>
            <w:shd w:val="clear" w:color="auto" w:fill="0000FF"/>
          </w:tcPr>
          <w:p>
            <w:pPr>
              <w:spacing w:after="0" w:line="20" w:lineRule="exact"/>
              <w:rPr>
                <w:sz w:val="1"/>
                <w:szCs w:val="1"/>
                <w:color w:val="auto"/>
              </w:rPr>
            </w:pPr>
          </w:p>
        </w:tc>
        <w:tc>
          <w:tcPr>
            <w:tcW w:w="5180" w:type="dxa"/>
            <w:vAlign w:val="bottom"/>
            <w:gridSpan w:val="7"/>
          </w:tcPr>
          <w:p>
            <w:pPr>
              <w:spacing w:after="0" w:line="20" w:lineRule="exact"/>
              <w:rPr>
                <w:sz w:val="1"/>
                <w:szCs w:val="1"/>
                <w:color w:val="auto"/>
              </w:rPr>
            </w:pPr>
          </w:p>
        </w:tc>
        <w:tc>
          <w:tcPr>
            <w:tcW w:w="880" w:type="dxa"/>
            <w:vAlign w:val="bottom"/>
            <w:gridSpan w:val="5"/>
          </w:tcPr>
          <w:p>
            <w:pPr>
              <w:spacing w:after="0" w:line="20" w:lineRule="exact"/>
              <w:rPr>
                <w:sz w:val="1"/>
                <w:szCs w:val="1"/>
                <w:color w:val="auto"/>
              </w:rPr>
            </w:pPr>
          </w:p>
        </w:tc>
        <w:tc>
          <w:tcPr>
            <w:tcW w:w="2600" w:type="dxa"/>
            <w:vAlign w:val="bottom"/>
            <w:gridSpan w:val="5"/>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4.12</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20" w:type="dxa"/>
            <w:vAlign w:val="bottom"/>
            <w:tcBorders>
              <w:bottom w:val="single" w:sz="8" w:color="0000FF"/>
            </w:tcBorders>
            <w:gridSpan w:val="20"/>
          </w:tcPr>
          <w:p>
            <w:pPr>
              <w:spacing w:after="0"/>
              <w:rPr>
                <w:rFonts w:ascii="Times New Roman" w:cs="Times New Roman" w:eastAsia="Times New Roman" w:hAnsi="Times New Roman"/>
                <w:sz w:val="18"/>
                <w:szCs w:val="18"/>
                <w:color w:val="0000FF"/>
              </w:rPr>
            </w:pPr>
            <w:hyperlink r:id="rId508">
              <w:r>
                <w:rPr>
                  <w:rFonts w:ascii="Times New Roman" w:cs="Times New Roman" w:eastAsia="Times New Roman" w:hAnsi="Times New Roman"/>
                  <w:sz w:val="18"/>
                  <w:szCs w:val="18"/>
                  <w:color w:val="0000FF"/>
                </w:rPr>
                <w:t>Form of 0.625% Convertible Senior Note due 2028 (included within Exhibit 4.11 incorporated herein by reference to Exhibit 4.1 to the</w:t>
              </w:r>
            </w:hyperlink>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8">
              <w:r>
                <w:rPr>
                  <w:rFonts w:ascii="Times New Roman" w:cs="Times New Roman" w:eastAsia="Times New Roman" w:hAnsi="Times New Roman"/>
                  <w:sz w:val="18"/>
                  <w:szCs w:val="18"/>
                  <w:color w:val="0000FF"/>
                </w:rPr>
                <w:t>registrant’s Current Report on Form 8-K filed with the SEC on September 20, 2024 (File 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820" w:type="dxa"/>
            <w:vAlign w:val="bottom"/>
            <w:gridSpan w:val="9"/>
            <w:shd w:val="clear" w:color="auto" w:fill="0000FF"/>
          </w:tcPr>
          <w:p>
            <w:pPr>
              <w:spacing w:after="0" w:line="20" w:lineRule="exact"/>
              <w:rPr>
                <w:sz w:val="1"/>
                <w:szCs w:val="1"/>
                <w:color w:val="auto"/>
              </w:rPr>
            </w:pPr>
          </w:p>
        </w:tc>
        <w:tc>
          <w:tcPr>
            <w:tcW w:w="880" w:type="dxa"/>
            <w:vAlign w:val="bottom"/>
            <w:tcBorders>
              <w:right w:val="single" w:sz="8" w:color="0000EE"/>
            </w:tcBorders>
            <w:gridSpan w:val="5"/>
            <w:shd w:val="clear" w:color="auto" w:fill="0000FF"/>
          </w:tcPr>
          <w:p>
            <w:pPr>
              <w:spacing w:after="0" w:line="20" w:lineRule="exact"/>
              <w:rPr>
                <w:sz w:val="1"/>
                <w:szCs w:val="1"/>
                <w:color w:val="auto"/>
              </w:rPr>
            </w:pPr>
          </w:p>
        </w:tc>
        <w:tc>
          <w:tcPr>
            <w:tcW w:w="2620" w:type="dxa"/>
            <w:vAlign w:val="bottom"/>
            <w:gridSpan w:val="6"/>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8"/>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4.13</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20" w:type="dxa"/>
            <w:vAlign w:val="bottom"/>
            <w:tcBorders>
              <w:bottom w:val="single" w:sz="8" w:color="0000FF"/>
            </w:tcBorders>
            <w:gridSpan w:val="20"/>
          </w:tcPr>
          <w:p>
            <w:pPr>
              <w:spacing w:after="0"/>
              <w:rPr>
                <w:rFonts w:ascii="Times New Roman" w:cs="Times New Roman" w:eastAsia="Times New Roman" w:hAnsi="Times New Roman"/>
                <w:sz w:val="18"/>
                <w:szCs w:val="18"/>
                <w:color w:val="0000FF"/>
              </w:rPr>
            </w:pPr>
            <w:hyperlink r:id="rId509">
              <w:r>
                <w:rPr>
                  <w:rFonts w:ascii="Times New Roman" w:cs="Times New Roman" w:eastAsia="Times New Roman" w:hAnsi="Times New Roman"/>
                  <w:sz w:val="18"/>
                  <w:szCs w:val="18"/>
                  <w:color w:val="0000FF"/>
                </w:rPr>
                <w:t>Indenture, dated as of November 21, 2024, by and between the registrant and U.S. Bank Trust Company, National Association, as trustee</w:t>
              </w:r>
            </w:hyperlink>
          </w:p>
        </w:tc>
        <w:tc>
          <w:tcPr>
            <w:tcW w:w="20" w:type="dxa"/>
            <w:vAlign w:val="bottom"/>
            <w:tcBorders>
              <w:bottom w:val="single" w:sz="8" w:color="0000EE"/>
            </w:tcBorders>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tcBorders>
              <w:bottom w:val="single" w:sz="8" w:color="0000FF"/>
            </w:tcBorders>
            <w:gridSpan w:val="21"/>
          </w:tcPr>
          <w:p>
            <w:pPr>
              <w:spacing w:after="0" w:line="196" w:lineRule="exact"/>
              <w:rPr>
                <w:rFonts w:ascii="Times New Roman" w:cs="Times New Roman" w:eastAsia="Times New Roman" w:hAnsi="Times New Roman"/>
                <w:sz w:val="18"/>
                <w:szCs w:val="18"/>
                <w:color w:val="0000FF"/>
              </w:rPr>
            </w:pPr>
            <w:hyperlink r:id="rId509">
              <w:r>
                <w:rPr>
                  <w:rFonts w:ascii="Times New Roman" w:cs="Times New Roman" w:eastAsia="Times New Roman" w:hAnsi="Times New Roman"/>
                  <w:sz w:val="18"/>
                  <w:szCs w:val="18"/>
                  <w:color w:val="0000FF"/>
                </w:rPr>
                <w:t>(incorporated herein by reference to Exhibit 4.1 to the registrant’s Current Report on Form 8-K filed with the SEC on November 21, 2024</w:t>
              </w:r>
            </w:hyperlink>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9">
              <w:r>
                <w:rPr>
                  <w:rFonts w:ascii="Times New Roman" w:cs="Times New Roman" w:eastAsia="Times New Roman" w:hAnsi="Times New Roman"/>
                  <w:sz w:val="18"/>
                  <w:szCs w:val="18"/>
                  <w:color w:val="0000FF"/>
                </w:rPr>
                <w:t>(File No. 000-24435)).</w:t>
              </w:r>
            </w:hyperlink>
          </w:p>
        </w:tc>
        <w:tc>
          <w:tcPr>
            <w:tcW w:w="0" w:type="dxa"/>
            <w:vAlign w:val="bottom"/>
          </w:tcPr>
          <w:p>
            <w:pPr>
              <w:spacing w:after="0"/>
              <w:rPr>
                <w:sz w:val="1"/>
                <w:szCs w:val="1"/>
                <w:color w:val="auto"/>
              </w:rPr>
            </w:pPr>
          </w:p>
        </w:tc>
      </w:tr>
      <w:tr>
        <w:trPr>
          <w:trHeight w:val="20"/>
        </w:trPr>
        <w:tc>
          <w:tcPr>
            <w:tcW w:w="80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640" w:type="dxa"/>
            <w:vAlign w:val="bottom"/>
            <w:tcBorders>
              <w:right w:val="single" w:sz="8" w:color="0000EE"/>
            </w:tcBorders>
            <w:gridSpan w:val="2"/>
            <w:shd w:val="clear" w:color="auto" w:fill="0000FF"/>
          </w:tcPr>
          <w:p>
            <w:pPr>
              <w:spacing w:after="0" w:line="20" w:lineRule="exact"/>
              <w:rPr>
                <w:sz w:val="1"/>
                <w:szCs w:val="1"/>
                <w:color w:val="auto"/>
              </w:rPr>
            </w:pPr>
          </w:p>
        </w:tc>
        <w:tc>
          <w:tcPr>
            <w:tcW w:w="5180" w:type="dxa"/>
            <w:vAlign w:val="bottom"/>
            <w:gridSpan w:val="7"/>
          </w:tcPr>
          <w:p>
            <w:pPr>
              <w:spacing w:after="0" w:line="20" w:lineRule="exact"/>
              <w:rPr>
                <w:sz w:val="1"/>
                <w:szCs w:val="1"/>
                <w:color w:val="auto"/>
              </w:rPr>
            </w:pPr>
          </w:p>
        </w:tc>
        <w:tc>
          <w:tcPr>
            <w:tcW w:w="3520" w:type="dxa"/>
            <w:vAlign w:val="bottom"/>
            <w:gridSpan w:val="12"/>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17"/>
        </w:trPr>
        <w:tc>
          <w:tcPr>
            <w:tcW w:w="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4.14</w:t>
            </w:r>
          </w:p>
        </w:tc>
        <w:tc>
          <w:tcPr>
            <w:tcW w:w="1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340" w:type="dxa"/>
            <w:vAlign w:val="bottom"/>
            <w:tcBorders>
              <w:bottom w:val="single" w:sz="8" w:color="0000FF"/>
            </w:tcBorders>
            <w:gridSpan w:val="21"/>
          </w:tcPr>
          <w:p>
            <w:pPr>
              <w:spacing w:after="0"/>
              <w:rPr>
                <w:rFonts w:ascii="Times New Roman" w:cs="Times New Roman" w:eastAsia="Times New Roman" w:hAnsi="Times New Roman"/>
                <w:sz w:val="18"/>
                <w:szCs w:val="18"/>
                <w:color w:val="0000FF"/>
              </w:rPr>
            </w:pPr>
            <w:hyperlink r:id="rId509">
              <w:r>
                <w:rPr>
                  <w:rFonts w:ascii="Times New Roman" w:cs="Times New Roman" w:eastAsia="Times New Roman" w:hAnsi="Times New Roman"/>
                  <w:sz w:val="18"/>
                  <w:szCs w:val="18"/>
                  <w:color w:val="0000FF"/>
                </w:rPr>
                <w:t>Form of 0% Convertible Senior Note due 2029 (included within Exhibit 4.13 incorporated herein by reference to Exhibit 4.1 to the registrant’s</w:t>
              </w:r>
            </w:hyperlink>
          </w:p>
        </w:tc>
        <w:tc>
          <w:tcPr>
            <w:tcW w:w="0" w:type="dxa"/>
            <w:vAlign w:val="bottom"/>
          </w:tcPr>
          <w:p>
            <w:pPr>
              <w:spacing w:after="0"/>
              <w:rPr>
                <w:sz w:val="1"/>
                <w:szCs w:val="1"/>
                <w:color w:val="auto"/>
              </w:rPr>
            </w:pPr>
          </w:p>
        </w:tc>
      </w:tr>
      <w:tr>
        <w:trPr>
          <w:trHeight w:val="196"/>
        </w:trPr>
        <w:tc>
          <w:tcPr>
            <w:tcW w:w="8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10340" w:type="dxa"/>
            <w:vAlign w:val="bottom"/>
            <w:gridSpan w:val="21"/>
          </w:tcPr>
          <w:p>
            <w:pPr>
              <w:spacing w:after="0" w:line="196" w:lineRule="exact"/>
              <w:rPr>
                <w:rFonts w:ascii="Times New Roman" w:cs="Times New Roman" w:eastAsia="Times New Roman" w:hAnsi="Times New Roman"/>
                <w:sz w:val="18"/>
                <w:szCs w:val="18"/>
                <w:color w:val="0000FF"/>
              </w:rPr>
            </w:pPr>
            <w:hyperlink r:id="rId509">
              <w:r>
                <w:rPr>
                  <w:rFonts w:ascii="Times New Roman" w:cs="Times New Roman" w:eastAsia="Times New Roman" w:hAnsi="Times New Roman"/>
                  <w:sz w:val="18"/>
                  <w:szCs w:val="18"/>
                  <w:color w:val="0000FF"/>
                </w:rPr>
                <w:t>Current Report on Form 8-K filed with the SEC on November 21, 2024 (File No. 000-24435)).</w:t>
              </w:r>
            </w:hyperlink>
          </w:p>
        </w:tc>
        <w:tc>
          <w:tcPr>
            <w:tcW w:w="0" w:type="dxa"/>
            <w:vAlign w:val="bottom"/>
          </w:tcPr>
          <w:p>
            <w:pPr>
              <w:spacing w:after="0"/>
              <w:rPr>
                <w:sz w:val="1"/>
                <w:szCs w:val="1"/>
                <w:color w:val="auto"/>
              </w:rPr>
            </w:pPr>
          </w:p>
        </w:tc>
      </w:tr>
      <w:tr>
        <w:trPr>
          <w:trHeight w:val="574"/>
        </w:trPr>
        <w:tc>
          <w:tcPr>
            <w:tcW w:w="800" w:type="dxa"/>
            <w:vAlign w:val="bottom"/>
          </w:tcPr>
          <w:p>
            <w:pPr>
              <w:spacing w:after="0"/>
              <w:rPr>
                <w:sz w:val="24"/>
                <w:szCs w:val="24"/>
                <w:color w:val="auto"/>
              </w:rPr>
            </w:pPr>
          </w:p>
        </w:tc>
        <w:tc>
          <w:tcPr>
            <w:tcW w:w="140" w:type="dxa"/>
            <w:vAlign w:val="bottom"/>
            <w:gridSpan w:val="2"/>
          </w:tcPr>
          <w:p>
            <w:pPr>
              <w:spacing w:after="0"/>
              <w:rPr>
                <w:sz w:val="24"/>
                <w:szCs w:val="24"/>
                <w:color w:val="auto"/>
              </w:rPr>
            </w:pPr>
          </w:p>
        </w:tc>
        <w:tc>
          <w:tcPr>
            <w:tcW w:w="4840" w:type="dxa"/>
            <w:vAlign w:val="bottom"/>
            <w:tcBorders>
              <w:top w:val="single" w:sz="8" w:color="0000FF"/>
            </w:tcBorders>
            <w:gridSpan w:val="4"/>
          </w:tcPr>
          <w:p>
            <w:pPr>
              <w:jc w:val="right"/>
              <w:spacing w:after="0"/>
              <w:rPr>
                <w:sz w:val="20"/>
                <w:szCs w:val="20"/>
                <w:color w:val="auto"/>
              </w:rPr>
            </w:pPr>
            <w:r>
              <w:rPr>
                <w:rFonts w:ascii="Times New Roman" w:cs="Times New Roman" w:eastAsia="Times New Roman" w:hAnsi="Times New Roman"/>
                <w:sz w:val="18"/>
                <w:szCs w:val="18"/>
                <w:color w:val="auto"/>
              </w:rPr>
              <w:t>119</w:t>
            </w:r>
          </w:p>
        </w:tc>
        <w:tc>
          <w:tcPr>
            <w:tcW w:w="1580" w:type="dxa"/>
            <w:vAlign w:val="bottom"/>
            <w:tcBorders>
              <w:top w:val="single" w:sz="8" w:color="0000FF"/>
            </w:tcBorders>
          </w:tcPr>
          <w:p>
            <w:pPr>
              <w:spacing w:after="0"/>
              <w:rPr>
                <w:sz w:val="24"/>
                <w:szCs w:val="24"/>
                <w:color w:val="auto"/>
              </w:rPr>
            </w:pPr>
          </w:p>
        </w:tc>
        <w:tc>
          <w:tcPr>
            <w:tcW w:w="280" w:type="dxa"/>
            <w:vAlign w:val="bottom"/>
            <w:tcBorders>
              <w:top w:val="single" w:sz="8" w:color="0000FF"/>
            </w:tcBorders>
          </w:tcPr>
          <w:p>
            <w:pPr>
              <w:spacing w:after="0"/>
              <w:rPr>
                <w:sz w:val="24"/>
                <w:szCs w:val="24"/>
                <w:color w:val="auto"/>
              </w:rPr>
            </w:pPr>
          </w:p>
        </w:tc>
        <w:tc>
          <w:tcPr>
            <w:tcW w:w="20" w:type="dxa"/>
            <w:vAlign w:val="bottom"/>
            <w:tcBorders>
              <w:top w:val="single" w:sz="8" w:color="0000FF"/>
            </w:tcBorders>
          </w:tcPr>
          <w:p>
            <w:pPr>
              <w:spacing w:after="0"/>
              <w:rPr>
                <w:sz w:val="24"/>
                <w:szCs w:val="24"/>
                <w:color w:val="auto"/>
              </w:rPr>
            </w:pPr>
          </w:p>
        </w:tc>
        <w:tc>
          <w:tcPr>
            <w:tcW w:w="20" w:type="dxa"/>
            <w:vAlign w:val="bottom"/>
            <w:tcBorders>
              <w:top w:val="single" w:sz="8" w:color="0000FF"/>
            </w:tcBorders>
          </w:tcPr>
          <w:p>
            <w:pPr>
              <w:spacing w:after="0"/>
              <w:rPr>
                <w:sz w:val="24"/>
                <w:szCs w:val="24"/>
                <w:color w:val="auto"/>
              </w:rPr>
            </w:pPr>
          </w:p>
        </w:tc>
        <w:tc>
          <w:tcPr>
            <w:tcW w:w="80" w:type="dxa"/>
            <w:vAlign w:val="bottom"/>
            <w:tcBorders>
              <w:top w:val="single" w:sz="8" w:color="0000FF"/>
            </w:tcBorders>
          </w:tcPr>
          <w:p>
            <w:pPr>
              <w:spacing w:after="0"/>
              <w:rPr>
                <w:sz w:val="24"/>
                <w:szCs w:val="24"/>
                <w:color w:val="auto"/>
              </w:rPr>
            </w:pPr>
          </w:p>
        </w:tc>
        <w:tc>
          <w:tcPr>
            <w:tcW w:w="4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10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96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63"/>
        </w:trPr>
        <w:tc>
          <w:tcPr>
            <w:tcW w:w="80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1240" w:type="dxa"/>
            <w:vAlign w:val="bottom"/>
            <w:tcBorders>
              <w:bottom w:val="single" w:sz="8" w:color="9A9A9A"/>
            </w:tcBorders>
          </w:tcPr>
          <w:p>
            <w:pPr>
              <w:spacing w:after="0"/>
              <w:rPr>
                <w:sz w:val="24"/>
                <w:szCs w:val="24"/>
                <w:color w:val="auto"/>
              </w:rPr>
            </w:pPr>
          </w:p>
        </w:tc>
        <w:tc>
          <w:tcPr>
            <w:tcW w:w="400" w:type="dxa"/>
            <w:vAlign w:val="bottom"/>
            <w:tcBorders>
              <w:bottom w:val="single" w:sz="8" w:color="9A9A9A"/>
            </w:tcBorders>
          </w:tcPr>
          <w:p>
            <w:pPr>
              <w:spacing w:after="0"/>
              <w:rPr>
                <w:sz w:val="24"/>
                <w:szCs w:val="24"/>
                <w:color w:val="auto"/>
              </w:rPr>
            </w:pPr>
          </w:p>
        </w:tc>
        <w:tc>
          <w:tcPr>
            <w:tcW w:w="2060" w:type="dxa"/>
            <w:vAlign w:val="bottom"/>
            <w:tcBorders>
              <w:bottom w:val="single" w:sz="8" w:color="9A9A9A"/>
            </w:tcBorders>
          </w:tcPr>
          <w:p>
            <w:pPr>
              <w:spacing w:after="0"/>
              <w:rPr>
                <w:sz w:val="24"/>
                <w:szCs w:val="24"/>
                <w:color w:val="auto"/>
              </w:rPr>
            </w:pPr>
          </w:p>
        </w:tc>
        <w:tc>
          <w:tcPr>
            <w:tcW w:w="1140" w:type="dxa"/>
            <w:vAlign w:val="bottom"/>
            <w:tcBorders>
              <w:bottom w:val="single" w:sz="8" w:color="9A9A9A"/>
            </w:tcBorders>
          </w:tcPr>
          <w:p>
            <w:pPr>
              <w:spacing w:after="0"/>
              <w:rPr>
                <w:sz w:val="24"/>
                <w:szCs w:val="24"/>
                <w:color w:val="auto"/>
              </w:rPr>
            </w:pPr>
          </w:p>
        </w:tc>
        <w:tc>
          <w:tcPr>
            <w:tcW w:w="158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44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08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960" w:type="dxa"/>
            <w:vAlign w:val="bottom"/>
            <w:tcBorders>
              <w:bottom w:val="single" w:sz="8" w:color="9A9A9A"/>
            </w:tcBorders>
          </w:tcPr>
          <w:p>
            <w:pPr>
              <w:spacing w:after="0"/>
              <w:rPr>
                <w:sz w:val="24"/>
                <w:szCs w:val="24"/>
                <w:color w:val="auto"/>
              </w:rPr>
            </w:pPr>
          </w:p>
        </w:tc>
        <w:tc>
          <w:tcPr>
            <w:tcW w:w="52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510">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511">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19" w:name="page120"/>
    <w:bookmarkEnd w:id="119"/>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4.15</w:t>
      </w:r>
      <w:r>
        <w:rPr>
          <w:sz w:val="20"/>
          <w:szCs w:val="20"/>
          <w:color w:val="auto"/>
        </w:rPr>
        <w:tab/>
      </w:r>
      <w:hyperlink r:id="rId502">
        <w:r>
          <w:rPr>
            <w:rFonts w:ascii="Times New Roman" w:cs="Times New Roman" w:eastAsia="Times New Roman" w:hAnsi="Times New Roman"/>
            <w:sz w:val="18"/>
            <w:szCs w:val="18"/>
            <w:u w:val="single" w:color="auto"/>
            <w:color w:val="0000FF"/>
          </w:rPr>
          <w:t>Form of Certificate of 8.00% Series A Perpetual Strike Preferred Stock of the registrant (included within Exhibit 3.4 incorporated herein by</w:t>
        </w:r>
      </w:hyperlink>
      <w:r>
        <w:rPr>
          <w:rFonts w:ascii="Times New Roman" w:cs="Times New Roman" w:eastAsia="Times New Roman" w:hAnsi="Times New Roman"/>
          <w:sz w:val="18"/>
          <w:szCs w:val="18"/>
          <w:u w:val="single" w:color="auto"/>
          <w:color w:val="0000FF"/>
        </w:rPr>
        <w:t xml:space="preserve"> </w:t>
      </w:r>
      <w:hyperlink r:id="rId502">
        <w:r>
          <w:rPr>
            <w:rFonts w:ascii="Times New Roman" w:cs="Times New Roman" w:eastAsia="Times New Roman" w:hAnsi="Times New Roman"/>
            <w:sz w:val="18"/>
            <w:szCs w:val="18"/>
            <w:u w:val="single" w:color="auto"/>
            <w:color w:val="0000FF"/>
          </w:rPr>
          <w:t>reference to Exhibit 3.1 to the registrant’s Current Report on Form 8-K filed with the SEC on February 5, 2025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7960" cy="8255"/>
            <wp:wrapNone/>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512">
                      <a:extLst>
                        <a:ext uri="{28A0092B-C50C-407E-A947-70E740481C1C}"/>
                      </a:extLst>
                    </a:blip>
                    <a:srcRect/>
                    <a:stretch>
                      <a:fillRect/>
                    </a:stretch>
                  </pic:blipFill>
                  <pic:spPr bwMode="auto">
                    <a:xfrm>
                      <a:off x="0" y="0"/>
                      <a:ext cx="653796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6149340" cy="8890"/>
            <wp:wrapNone/>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513">
                      <a:extLst>
                        <a:ext uri="{28A0092B-C50C-407E-A947-70E740481C1C}"/>
                      </a:extLst>
                    </a:blip>
                    <a:srcRect/>
                    <a:stretch>
                      <a:fillRect/>
                    </a:stretch>
                  </pic:blipFill>
                  <pic:spPr bwMode="auto">
                    <a:xfrm>
                      <a:off x="0" y="0"/>
                      <a:ext cx="6149340" cy="8890"/>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10.1†</w:t>
      </w:r>
      <w:r>
        <w:rPr>
          <w:sz w:val="20"/>
          <w:szCs w:val="20"/>
          <w:color w:val="auto"/>
        </w:rPr>
        <w:tab/>
      </w:r>
      <w:hyperlink r:id="rId514">
        <w:r>
          <w:rPr>
            <w:rFonts w:ascii="Times New Roman" w:cs="Times New Roman" w:eastAsia="Times New Roman" w:hAnsi="Times New Roman"/>
            <w:sz w:val="18"/>
            <w:szCs w:val="18"/>
            <w:u w:val="single" w:color="auto"/>
            <w:color w:val="0000FF"/>
          </w:rPr>
          <w:t>MicroStrategy Incorporated 2013 Stock Incentive Plan (the “2013 Plan”) (incorporated herein by reference to Exhibit 10.1 to the registrant’s</w:t>
        </w:r>
      </w:hyperlink>
      <w:r>
        <w:rPr>
          <w:rFonts w:ascii="Times New Roman" w:cs="Times New Roman" w:eastAsia="Times New Roman" w:hAnsi="Times New Roman"/>
          <w:sz w:val="18"/>
          <w:szCs w:val="18"/>
          <w:u w:val="single" w:color="auto"/>
          <w:color w:val="0000FF"/>
        </w:rPr>
        <w:t xml:space="preserve"> </w:t>
      </w:r>
      <w:hyperlink r:id="rId514">
        <w:r>
          <w:rPr>
            <w:rFonts w:ascii="Times New Roman" w:cs="Times New Roman" w:eastAsia="Times New Roman" w:hAnsi="Times New Roman"/>
            <w:sz w:val="18"/>
            <w:szCs w:val="18"/>
            <w:u w:val="single" w:color="auto"/>
            <w:color w:val="0000FF"/>
          </w:rPr>
          <w:t>Current Report on Form 8-K filed with the SEC on September 9, 2013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4150" cy="8890"/>
            <wp:wrapNone/>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515">
                      <a:extLst>
                        <a:ext uri="{28A0092B-C50C-407E-A947-70E740481C1C}"/>
                      </a:extLst>
                    </a:blip>
                    <a:srcRect/>
                    <a:stretch>
                      <a:fillRect/>
                    </a:stretch>
                  </pic:blipFill>
                  <pic:spPr bwMode="auto">
                    <a:xfrm>
                      <a:off x="0" y="0"/>
                      <a:ext cx="653415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290060" cy="8255"/>
            <wp:wrapNone/>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516">
                      <a:extLst>
                        <a:ext uri="{28A0092B-C50C-407E-A947-70E740481C1C}"/>
                      </a:extLst>
                    </a:blip>
                    <a:srcRect/>
                    <a:stretch>
                      <a:fillRect/>
                    </a:stretch>
                  </pic:blipFill>
                  <pic:spPr bwMode="auto">
                    <a:xfrm>
                      <a:off x="0" y="0"/>
                      <a:ext cx="4290060"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w:t>
      </w:r>
      <w:r>
        <w:rPr>
          <w:sz w:val="20"/>
          <w:szCs w:val="20"/>
          <w:color w:val="auto"/>
        </w:rPr>
        <w:tab/>
      </w:r>
      <w:hyperlink r:id="rId517">
        <w:r>
          <w:rPr>
            <w:rFonts w:ascii="Times New Roman" w:cs="Times New Roman" w:eastAsia="Times New Roman" w:hAnsi="Times New Roman"/>
            <w:sz w:val="18"/>
            <w:szCs w:val="18"/>
            <w:u w:val="single" w:color="auto"/>
            <w:color w:val="0000FF"/>
          </w:rPr>
          <w:t>Amendment No. 1 to the 2013 Plan (incorporated herein by reference to Exhibit 10.1 to the registrant’s Current Report on Form 8-K filed with</w:t>
        </w:r>
      </w:hyperlink>
      <w:r>
        <w:rPr>
          <w:rFonts w:ascii="Times New Roman" w:cs="Times New Roman" w:eastAsia="Times New Roman" w:hAnsi="Times New Roman"/>
          <w:sz w:val="18"/>
          <w:szCs w:val="18"/>
          <w:u w:val="single" w:color="auto"/>
          <w:color w:val="0000FF"/>
        </w:rPr>
        <w:t xml:space="preserve"> </w:t>
      </w:r>
      <w:hyperlink r:id="rId517">
        <w:r>
          <w:rPr>
            <w:rFonts w:ascii="Times New Roman" w:cs="Times New Roman" w:eastAsia="Times New Roman" w:hAnsi="Times New Roman"/>
            <w:sz w:val="18"/>
            <w:szCs w:val="18"/>
            <w:u w:val="single" w:color="auto"/>
            <w:color w:val="0000FF"/>
          </w:rPr>
          <w:t>the SEC on April 28, 2014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5420" cy="8890"/>
            <wp:wrapNone/>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518">
                      <a:extLst>
                        <a:ext uri="{28A0092B-C50C-407E-A947-70E740481C1C}"/>
                      </a:extLst>
                    </a:blip>
                    <a:srcRect/>
                    <a:stretch>
                      <a:fillRect/>
                    </a:stretch>
                  </pic:blipFill>
                  <pic:spPr bwMode="auto">
                    <a:xfrm>
                      <a:off x="0" y="0"/>
                      <a:ext cx="653542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2287905" cy="8255"/>
            <wp:wrapNone/>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519">
                      <a:extLst>
                        <a:ext uri="{28A0092B-C50C-407E-A947-70E740481C1C}"/>
                      </a:extLst>
                    </a:blip>
                    <a:srcRect/>
                    <a:stretch>
                      <a:fillRect/>
                    </a:stretch>
                  </pic:blipFill>
                  <pic:spPr bwMode="auto">
                    <a:xfrm>
                      <a:off x="0" y="0"/>
                      <a:ext cx="2287905"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10.3†</w:t>
      </w:r>
      <w:r>
        <w:rPr>
          <w:sz w:val="20"/>
          <w:szCs w:val="20"/>
          <w:color w:val="auto"/>
        </w:rPr>
        <w:tab/>
      </w:r>
      <w:hyperlink r:id="rId520">
        <w:r>
          <w:rPr>
            <w:rFonts w:ascii="Times New Roman" w:cs="Times New Roman" w:eastAsia="Times New Roman" w:hAnsi="Times New Roman"/>
            <w:sz w:val="18"/>
            <w:szCs w:val="18"/>
            <w:u w:val="single" w:color="auto"/>
            <w:color w:val="0000FF"/>
          </w:rPr>
          <w:t>Amendment No. 2 to the 2013 Plan (incorporated herein by reference to Exhibit 99.3 to the registrant’s Registration Statement on Form S-8</w:t>
        </w:r>
      </w:hyperlink>
      <w:r>
        <w:rPr>
          <w:rFonts w:ascii="Times New Roman" w:cs="Times New Roman" w:eastAsia="Times New Roman" w:hAnsi="Times New Roman"/>
          <w:sz w:val="18"/>
          <w:szCs w:val="18"/>
          <w:u w:val="single" w:color="auto"/>
          <w:color w:val="0000FF"/>
        </w:rPr>
        <w:t xml:space="preserve"> </w:t>
      </w:r>
      <w:hyperlink r:id="rId520">
        <w:r>
          <w:rPr>
            <w:rFonts w:ascii="Times New Roman" w:cs="Times New Roman" w:eastAsia="Times New Roman" w:hAnsi="Times New Roman"/>
            <w:sz w:val="18"/>
            <w:szCs w:val="18"/>
            <w:u w:val="single" w:color="auto"/>
            <w:color w:val="0000FF"/>
          </w:rPr>
          <w:t>filed with the SEC on July 25, 2014 (File No. 333-197645)).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9230" cy="8255"/>
            <wp:wrapNone/>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521">
                      <a:extLst>
                        <a:ext uri="{28A0092B-C50C-407E-A947-70E740481C1C}"/>
                      </a:extLst>
                    </a:blip>
                    <a:srcRect/>
                    <a:stretch>
                      <a:fillRect/>
                    </a:stretch>
                  </pic:blipFill>
                  <pic:spPr bwMode="auto">
                    <a:xfrm>
                      <a:off x="0" y="0"/>
                      <a:ext cx="653923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2764155" cy="8255"/>
            <wp:wrapNone/>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522">
                      <a:extLst>
                        <a:ext uri="{28A0092B-C50C-407E-A947-70E740481C1C}"/>
                      </a:extLst>
                    </a:blip>
                    <a:srcRect/>
                    <a:stretch>
                      <a:fillRect/>
                    </a:stretch>
                  </pic:blipFill>
                  <pic:spPr bwMode="auto">
                    <a:xfrm>
                      <a:off x="0" y="0"/>
                      <a:ext cx="2764155"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10.4†</w:t>
      </w:r>
      <w:r>
        <w:rPr>
          <w:sz w:val="20"/>
          <w:szCs w:val="20"/>
          <w:color w:val="auto"/>
        </w:rPr>
        <w:tab/>
      </w:r>
      <w:hyperlink r:id="rId523">
        <w:r>
          <w:rPr>
            <w:rFonts w:ascii="Times New Roman" w:cs="Times New Roman" w:eastAsia="Times New Roman" w:hAnsi="Times New Roman"/>
            <w:sz w:val="18"/>
            <w:szCs w:val="18"/>
            <w:u w:val="single" w:color="auto"/>
            <w:color w:val="0000FF"/>
          </w:rPr>
          <w:t>Amendment No. 3 to the 2013 Plan (incorporated herein by reference to Exhibit 10.1 to the registrant’s Current Report on Form 8-K filed with</w:t>
        </w:r>
      </w:hyperlink>
      <w:r>
        <w:rPr>
          <w:rFonts w:ascii="Times New Roman" w:cs="Times New Roman" w:eastAsia="Times New Roman" w:hAnsi="Times New Roman"/>
          <w:sz w:val="18"/>
          <w:szCs w:val="18"/>
          <w:u w:val="single" w:color="auto"/>
          <w:color w:val="0000FF"/>
        </w:rPr>
        <w:t xml:space="preserve"> </w:t>
      </w:r>
      <w:hyperlink r:id="rId523">
        <w:r>
          <w:rPr>
            <w:rFonts w:ascii="Times New Roman" w:cs="Times New Roman" w:eastAsia="Times New Roman" w:hAnsi="Times New Roman"/>
            <w:sz w:val="18"/>
            <w:szCs w:val="18"/>
            <w:u w:val="single" w:color="auto"/>
            <w:color w:val="0000FF"/>
          </w:rPr>
          <w:t>the SEC on October 26, 2015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5420" cy="8255"/>
            <wp:wrapNone/>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524">
                      <a:extLst>
                        <a:ext uri="{28A0092B-C50C-407E-A947-70E740481C1C}"/>
                      </a:extLst>
                    </a:blip>
                    <a:srcRect/>
                    <a:stretch>
                      <a:fillRect/>
                    </a:stretch>
                  </pic:blipFill>
                  <pic:spPr bwMode="auto">
                    <a:xfrm>
                      <a:off x="0" y="0"/>
                      <a:ext cx="653542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2414905" cy="8255"/>
            <wp:wrapNone/>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525">
                      <a:extLst>
                        <a:ext uri="{28A0092B-C50C-407E-A947-70E740481C1C}"/>
                      </a:extLst>
                    </a:blip>
                    <a:srcRect/>
                    <a:stretch>
                      <a:fillRect/>
                    </a:stretch>
                  </pic:blipFill>
                  <pic:spPr bwMode="auto">
                    <a:xfrm>
                      <a:off x="0" y="0"/>
                      <a:ext cx="2414905"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10.5†</w:t>
      </w:r>
      <w:r>
        <w:rPr>
          <w:sz w:val="20"/>
          <w:szCs w:val="20"/>
          <w:color w:val="auto"/>
        </w:rPr>
        <w:tab/>
      </w:r>
      <w:hyperlink r:id="rId526">
        <w:r>
          <w:rPr>
            <w:rFonts w:ascii="Times New Roman" w:cs="Times New Roman" w:eastAsia="Times New Roman" w:hAnsi="Times New Roman"/>
            <w:sz w:val="18"/>
            <w:szCs w:val="18"/>
            <w:u w:val="single" w:color="auto"/>
            <w:color w:val="0000FF"/>
          </w:rPr>
          <w:t>Amendment No. 4 to the 2013 Plan (incorporated herein by reference to Exhibit 10.4 to the registrant’s Quarterly Report on Form 10-Q for the</w:t>
        </w:r>
      </w:hyperlink>
      <w:r>
        <w:rPr>
          <w:rFonts w:ascii="Times New Roman" w:cs="Times New Roman" w:eastAsia="Times New Roman" w:hAnsi="Times New Roman"/>
          <w:sz w:val="18"/>
          <w:szCs w:val="18"/>
          <w:u w:val="single" w:color="auto"/>
          <w:color w:val="0000FF"/>
        </w:rPr>
        <w:t xml:space="preserve"> </w:t>
      </w:r>
      <w:hyperlink r:id="rId526">
        <w:r>
          <w:rPr>
            <w:rFonts w:ascii="Times New Roman" w:cs="Times New Roman" w:eastAsia="Times New Roman" w:hAnsi="Times New Roman"/>
            <w:sz w:val="18"/>
            <w:szCs w:val="18"/>
            <w:u w:val="single" w:color="auto"/>
            <w:color w:val="0000FF"/>
          </w:rPr>
          <w:t>fiscal quarter ended June 30, 2018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2880" cy="8255"/>
            <wp:wrapNone/>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527">
                      <a:extLst>
                        <a:ext uri="{28A0092B-C50C-407E-A947-70E740481C1C}"/>
                      </a:extLst>
                    </a:blip>
                    <a:srcRect/>
                    <a:stretch>
                      <a:fillRect/>
                    </a:stretch>
                  </pic:blipFill>
                  <pic:spPr bwMode="auto">
                    <a:xfrm>
                      <a:off x="0" y="0"/>
                      <a:ext cx="653288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2636520" cy="8255"/>
            <wp:wrapNone/>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528">
                      <a:extLst>
                        <a:ext uri="{28A0092B-C50C-407E-A947-70E740481C1C}"/>
                      </a:extLst>
                    </a:blip>
                    <a:srcRect/>
                    <a:stretch>
                      <a:fillRect/>
                    </a:stretch>
                  </pic:blipFill>
                  <pic:spPr bwMode="auto">
                    <a:xfrm>
                      <a:off x="0" y="0"/>
                      <a:ext cx="2636520" cy="8255"/>
                    </a:xfrm>
                    <a:prstGeom prst="rect">
                      <a:avLst/>
                    </a:prstGeom>
                    <a:noFill/>
                  </pic:spPr>
                </pic:pic>
              </a:graphicData>
            </a:graphic>
          </wp:anchor>
        </w:drawing>
      </w:r>
    </w:p>
    <w:p>
      <w:pPr>
        <w:spacing w:after="0" w:line="47" w:lineRule="exact"/>
        <w:rPr>
          <w:sz w:val="20"/>
          <w:szCs w:val="20"/>
          <w:color w:val="auto"/>
        </w:rPr>
      </w:pPr>
    </w:p>
    <w:p>
      <w:pPr>
        <w:ind w:left="900" w:right="64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10.6†</w:t>
      </w:r>
      <w:r>
        <w:rPr>
          <w:sz w:val="20"/>
          <w:szCs w:val="20"/>
          <w:color w:val="auto"/>
        </w:rPr>
        <w:tab/>
      </w:r>
      <w:hyperlink r:id="rId529">
        <w:r>
          <w:rPr>
            <w:rFonts w:ascii="Times New Roman" w:cs="Times New Roman" w:eastAsia="Times New Roman" w:hAnsi="Times New Roman"/>
            <w:sz w:val="18"/>
            <w:szCs w:val="18"/>
            <w:u w:val="single" w:color="auto"/>
            <w:color w:val="0000FF"/>
          </w:rPr>
          <w:t>Amendment No. 5 to the 2013 Plan (incorporated herein by reference to Appendix A to the registrant’s Definitive Proxy Statement on</w:t>
        </w:r>
      </w:hyperlink>
      <w:r>
        <w:rPr>
          <w:rFonts w:ascii="Times New Roman" w:cs="Times New Roman" w:eastAsia="Times New Roman" w:hAnsi="Times New Roman"/>
          <w:sz w:val="18"/>
          <w:szCs w:val="18"/>
          <w:u w:val="single" w:color="auto"/>
          <w:color w:val="0000FF"/>
        </w:rPr>
        <w:t xml:space="preserve"> </w:t>
      </w:r>
      <w:hyperlink r:id="rId529">
        <w:r>
          <w:rPr>
            <w:rFonts w:ascii="Times New Roman" w:cs="Times New Roman" w:eastAsia="Times New Roman" w:hAnsi="Times New Roman"/>
            <w:sz w:val="18"/>
            <w:szCs w:val="18"/>
            <w:u w:val="single" w:color="auto"/>
            <w:color w:val="0000FF"/>
          </w:rPr>
          <w:t>Schedule 14A filed with the SEC on April 15, 2021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162040" cy="8255"/>
            <wp:wrapNone/>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530">
                      <a:extLst>
                        <a:ext uri="{28A0092B-C50C-407E-A947-70E740481C1C}"/>
                      </a:extLst>
                    </a:blip>
                    <a:srcRect/>
                    <a:stretch>
                      <a:fillRect/>
                    </a:stretch>
                  </pic:blipFill>
                  <pic:spPr bwMode="auto">
                    <a:xfrm>
                      <a:off x="0" y="0"/>
                      <a:ext cx="616204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3430270" cy="8255"/>
            <wp:wrapNone/>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531">
                      <a:extLst>
                        <a:ext uri="{28A0092B-C50C-407E-A947-70E740481C1C}"/>
                      </a:extLst>
                    </a:blip>
                    <a:srcRect/>
                    <a:stretch>
                      <a:fillRect/>
                    </a:stretch>
                  </pic:blipFill>
                  <pic:spPr bwMode="auto">
                    <a:xfrm>
                      <a:off x="0" y="0"/>
                      <a:ext cx="3430270"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10.7†</w:t>
      </w:r>
      <w:r>
        <w:rPr>
          <w:sz w:val="20"/>
          <w:szCs w:val="20"/>
          <w:color w:val="auto"/>
        </w:rPr>
        <w:tab/>
      </w:r>
      <w:hyperlink r:id="rId532">
        <w:r>
          <w:rPr>
            <w:rFonts w:ascii="Times New Roman" w:cs="Times New Roman" w:eastAsia="Times New Roman" w:hAnsi="Times New Roman"/>
            <w:sz w:val="18"/>
            <w:szCs w:val="18"/>
            <w:u w:val="single" w:color="auto"/>
            <w:color w:val="0000FF"/>
          </w:rPr>
          <w:t>Form of Nonstatutory Stock Option Agreement (2013) under the 2013 Plan (incorporated herein by reference to Exhibit 10.2 to the registrant’s</w:t>
        </w:r>
      </w:hyperlink>
      <w:r>
        <w:rPr>
          <w:rFonts w:ascii="Times New Roman" w:cs="Times New Roman" w:eastAsia="Times New Roman" w:hAnsi="Times New Roman"/>
          <w:sz w:val="18"/>
          <w:szCs w:val="18"/>
          <w:u w:val="single" w:color="auto"/>
          <w:color w:val="0000FF"/>
        </w:rPr>
        <w:t xml:space="preserve"> </w:t>
      </w:r>
      <w:hyperlink r:id="rId532">
        <w:r>
          <w:rPr>
            <w:rFonts w:ascii="Times New Roman" w:cs="Times New Roman" w:eastAsia="Times New Roman" w:hAnsi="Times New Roman"/>
            <w:sz w:val="18"/>
            <w:szCs w:val="18"/>
            <w:u w:val="single" w:color="auto"/>
            <w:color w:val="0000FF"/>
          </w:rPr>
          <w:t>Current Report on Form 8-K filed with the SEC on September 9, 2013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9230" cy="8255"/>
            <wp:wrapNone/>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533">
                      <a:extLst>
                        <a:ext uri="{28A0092B-C50C-407E-A947-70E740481C1C}"/>
                      </a:extLst>
                    </a:blip>
                    <a:srcRect/>
                    <a:stretch>
                      <a:fillRect/>
                    </a:stretch>
                  </pic:blipFill>
                  <pic:spPr bwMode="auto">
                    <a:xfrm>
                      <a:off x="0" y="0"/>
                      <a:ext cx="653923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290060" cy="8890"/>
            <wp:wrapNone/>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534">
                      <a:extLst>
                        <a:ext uri="{28A0092B-C50C-407E-A947-70E740481C1C}"/>
                      </a:extLst>
                    </a:blip>
                    <a:srcRect/>
                    <a:stretch>
                      <a:fillRect/>
                    </a:stretch>
                  </pic:blipFill>
                  <pic:spPr bwMode="auto">
                    <a:xfrm>
                      <a:off x="0" y="0"/>
                      <a:ext cx="4290060" cy="8890"/>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10.8†</w:t>
      </w:r>
      <w:r>
        <w:rPr>
          <w:sz w:val="20"/>
          <w:szCs w:val="20"/>
          <w:color w:val="auto"/>
        </w:rPr>
        <w:tab/>
      </w:r>
      <w:hyperlink r:id="rId535">
        <w:r>
          <w:rPr>
            <w:rFonts w:ascii="Times New Roman" w:cs="Times New Roman" w:eastAsia="Times New Roman" w:hAnsi="Times New Roman"/>
            <w:sz w:val="18"/>
            <w:szCs w:val="18"/>
            <w:u w:val="single" w:color="auto"/>
            <w:color w:val="0000FF"/>
          </w:rPr>
          <w:t>Form of Nonstatutory Stock Option Agreement (2016) under the 2013 Plan (incorporated herein by reference to Exhibit 10.1 to the registrant’s</w:t>
        </w:r>
      </w:hyperlink>
      <w:r>
        <w:rPr>
          <w:rFonts w:ascii="Times New Roman" w:cs="Times New Roman" w:eastAsia="Times New Roman" w:hAnsi="Times New Roman"/>
          <w:sz w:val="18"/>
          <w:szCs w:val="18"/>
          <w:u w:val="single" w:color="auto"/>
          <w:color w:val="0000FF"/>
        </w:rPr>
        <w:t xml:space="preserve"> </w:t>
      </w:r>
      <w:hyperlink r:id="rId535">
        <w:r>
          <w:rPr>
            <w:rFonts w:ascii="Times New Roman" w:cs="Times New Roman" w:eastAsia="Times New Roman" w:hAnsi="Times New Roman"/>
            <w:sz w:val="18"/>
            <w:szCs w:val="18"/>
            <w:u w:val="single" w:color="auto"/>
            <w:color w:val="0000FF"/>
          </w:rPr>
          <w:t>Quarterly Report on Form 10-Q for the fiscal quarter ended June 30, 2016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9230" cy="8890"/>
            <wp:wrapNone/>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536">
                      <a:extLst>
                        <a:ext uri="{28A0092B-C50C-407E-A947-70E740481C1C}"/>
                      </a:extLst>
                    </a:blip>
                    <a:srcRect/>
                    <a:stretch>
                      <a:fillRect/>
                    </a:stretch>
                  </pic:blipFill>
                  <pic:spPr bwMode="auto">
                    <a:xfrm>
                      <a:off x="0" y="0"/>
                      <a:ext cx="653923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455160" cy="8255"/>
            <wp:wrapNone/>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537">
                      <a:extLst>
                        <a:ext uri="{28A0092B-C50C-407E-A947-70E740481C1C}"/>
                      </a:extLst>
                    </a:blip>
                    <a:srcRect/>
                    <a:stretch>
                      <a:fillRect/>
                    </a:stretch>
                  </pic:blipFill>
                  <pic:spPr bwMode="auto">
                    <a:xfrm>
                      <a:off x="0" y="0"/>
                      <a:ext cx="4455160"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10.9†</w:t>
      </w:r>
      <w:r>
        <w:rPr>
          <w:sz w:val="20"/>
          <w:szCs w:val="20"/>
          <w:color w:val="auto"/>
        </w:rPr>
        <w:tab/>
      </w:r>
      <w:hyperlink r:id="rId538">
        <w:r>
          <w:rPr>
            <w:rFonts w:ascii="Times New Roman" w:cs="Times New Roman" w:eastAsia="Times New Roman" w:hAnsi="Times New Roman"/>
            <w:sz w:val="18"/>
            <w:szCs w:val="18"/>
            <w:u w:val="single" w:color="auto"/>
            <w:color w:val="0000FF"/>
          </w:rPr>
          <w:t>Form of Restricted Stock Unit (“RSU”) Agreement (2021) under the 2013 Plan (incorporated herein by reference to Exhibit 10.9 to the</w:t>
        </w:r>
      </w:hyperlink>
      <w:r>
        <w:rPr>
          <w:rFonts w:ascii="Times New Roman" w:cs="Times New Roman" w:eastAsia="Times New Roman" w:hAnsi="Times New Roman"/>
          <w:sz w:val="18"/>
          <w:szCs w:val="18"/>
          <w:u w:val="single" w:color="auto"/>
          <w:color w:val="0000FF"/>
        </w:rPr>
        <w:t xml:space="preserve"> </w:t>
      </w:r>
      <w:hyperlink r:id="rId538">
        <w:r>
          <w:rPr>
            <w:rFonts w:ascii="Times New Roman" w:cs="Times New Roman" w:eastAsia="Times New Roman" w:hAnsi="Times New Roman"/>
            <w:sz w:val="18"/>
            <w:szCs w:val="18"/>
            <w:u w:val="single" w:color="auto"/>
            <w:color w:val="0000FF"/>
          </w:rPr>
          <w:t>registrant’s Annual Report on Form 10-K for the fiscal year ended December 31, 2021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40500" cy="8255"/>
            <wp:wrapNone/>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539">
                      <a:extLst>
                        <a:ext uri="{28A0092B-C50C-407E-A947-70E740481C1C}"/>
                      </a:extLst>
                    </a:blip>
                    <a:srcRect/>
                    <a:stretch>
                      <a:fillRect/>
                    </a:stretch>
                  </pic:blipFill>
                  <pic:spPr bwMode="auto">
                    <a:xfrm>
                      <a:off x="0" y="0"/>
                      <a:ext cx="654050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5029200" cy="8255"/>
            <wp:wrapNone/>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540">
                      <a:extLst>
                        <a:ext uri="{28A0092B-C50C-407E-A947-70E740481C1C}"/>
                      </a:extLst>
                    </a:blip>
                    <a:srcRect/>
                    <a:stretch>
                      <a:fillRect/>
                    </a:stretch>
                  </pic:blipFill>
                  <pic:spPr bwMode="auto">
                    <a:xfrm>
                      <a:off x="0" y="0"/>
                      <a:ext cx="5029200"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10.10†</w:t>
      </w:r>
      <w:r>
        <w:rPr>
          <w:sz w:val="20"/>
          <w:szCs w:val="20"/>
          <w:color w:val="auto"/>
        </w:rPr>
        <w:tab/>
      </w:r>
      <w:hyperlink r:id="rId541">
        <w:r>
          <w:rPr>
            <w:rFonts w:ascii="Times New Roman" w:cs="Times New Roman" w:eastAsia="Times New Roman" w:hAnsi="Times New Roman"/>
            <w:sz w:val="18"/>
            <w:szCs w:val="18"/>
            <w:u w:val="single" w:color="auto"/>
            <w:color w:val="0000FF"/>
          </w:rPr>
          <w:t>Form of International RSU Agreement (2022) under the 2013 Plan (incorporated herein by reference to Exhibit 10.1 to the registrant’s</w:t>
        </w:r>
      </w:hyperlink>
      <w:r>
        <w:rPr>
          <w:rFonts w:ascii="Times New Roman" w:cs="Times New Roman" w:eastAsia="Times New Roman" w:hAnsi="Times New Roman"/>
          <w:sz w:val="18"/>
          <w:szCs w:val="18"/>
          <w:u w:val="single" w:color="auto"/>
          <w:color w:val="0000FF"/>
        </w:rPr>
        <w:t xml:space="preserve"> </w:t>
      </w:r>
      <w:hyperlink r:id="rId541">
        <w:r>
          <w:rPr>
            <w:rFonts w:ascii="Times New Roman" w:cs="Times New Roman" w:eastAsia="Times New Roman" w:hAnsi="Times New Roman"/>
            <w:sz w:val="18"/>
            <w:szCs w:val="18"/>
            <w:u w:val="single" w:color="auto"/>
            <w:color w:val="0000FF"/>
          </w:rPr>
          <w:t>Quarterly Report on Form 10-Q for the fiscal quarter ended June 30, 2022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6690" cy="8890"/>
            <wp:wrapNone/>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542">
                      <a:extLst>
                        <a:ext uri="{28A0092B-C50C-407E-A947-70E740481C1C}"/>
                      </a:extLst>
                    </a:blip>
                    <a:srcRect/>
                    <a:stretch>
                      <a:fillRect/>
                    </a:stretch>
                  </pic:blipFill>
                  <pic:spPr bwMode="auto">
                    <a:xfrm>
                      <a:off x="0" y="0"/>
                      <a:ext cx="653669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455160" cy="8255"/>
            <wp:wrapNone/>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543">
                      <a:extLst>
                        <a:ext uri="{28A0092B-C50C-407E-A947-70E740481C1C}"/>
                      </a:extLst>
                    </a:blip>
                    <a:srcRect/>
                    <a:stretch>
                      <a:fillRect/>
                    </a:stretch>
                  </pic:blipFill>
                  <pic:spPr bwMode="auto">
                    <a:xfrm>
                      <a:off x="0" y="0"/>
                      <a:ext cx="4455160"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10.11†</w:t>
      </w:r>
      <w:r>
        <w:rPr>
          <w:sz w:val="20"/>
          <w:szCs w:val="20"/>
          <w:color w:val="auto"/>
        </w:rPr>
        <w:tab/>
      </w:r>
      <w:hyperlink r:id="rId544">
        <w:r>
          <w:rPr>
            <w:rFonts w:ascii="Times New Roman" w:cs="Times New Roman" w:eastAsia="Times New Roman" w:hAnsi="Times New Roman"/>
            <w:sz w:val="18"/>
            <w:szCs w:val="18"/>
            <w:u w:val="single" w:color="auto"/>
            <w:color w:val="0000FF"/>
          </w:rPr>
          <w:t>Form of UK RSU Agreement (2021) under the 2013 Plan (incorporated herein by reference to Exhibit 10.11 to the registrant’s Annual Report</w:t>
        </w:r>
      </w:hyperlink>
      <w:r>
        <w:rPr>
          <w:rFonts w:ascii="Times New Roman" w:cs="Times New Roman" w:eastAsia="Times New Roman" w:hAnsi="Times New Roman"/>
          <w:sz w:val="18"/>
          <w:szCs w:val="18"/>
          <w:u w:val="single" w:color="auto"/>
          <w:color w:val="0000FF"/>
        </w:rPr>
        <w:t xml:space="preserve"> </w:t>
      </w:r>
      <w:hyperlink r:id="rId544">
        <w:r>
          <w:rPr>
            <w:rFonts w:ascii="Times New Roman" w:cs="Times New Roman" w:eastAsia="Times New Roman" w:hAnsi="Times New Roman"/>
            <w:sz w:val="18"/>
            <w:szCs w:val="18"/>
            <w:u w:val="single" w:color="auto"/>
            <w:color w:val="0000FF"/>
          </w:rPr>
          <w:t>on Form 10-K for the fiscal year ended December 31, 2021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6690" cy="8255"/>
            <wp:wrapNone/>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545">
                      <a:extLst>
                        <a:ext uri="{28A0092B-C50C-407E-A947-70E740481C1C}"/>
                      </a:extLst>
                    </a:blip>
                    <a:srcRect/>
                    <a:stretch>
                      <a:fillRect/>
                    </a:stretch>
                  </pic:blipFill>
                  <pic:spPr bwMode="auto">
                    <a:xfrm>
                      <a:off x="0" y="0"/>
                      <a:ext cx="653669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3782060" cy="8255"/>
            <wp:wrapNone/>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546">
                      <a:extLst>
                        <a:ext uri="{28A0092B-C50C-407E-A947-70E740481C1C}"/>
                      </a:extLst>
                    </a:blip>
                    <a:srcRect/>
                    <a:stretch>
                      <a:fillRect/>
                    </a:stretch>
                  </pic:blipFill>
                  <pic:spPr bwMode="auto">
                    <a:xfrm>
                      <a:off x="0" y="0"/>
                      <a:ext cx="3782060"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10.12†</w:t>
      </w:r>
      <w:r>
        <w:rPr>
          <w:sz w:val="20"/>
          <w:szCs w:val="20"/>
          <w:color w:val="auto"/>
        </w:rPr>
        <w:tab/>
      </w:r>
      <w:hyperlink r:id="rId547">
        <w:r>
          <w:rPr>
            <w:rFonts w:ascii="Times New Roman" w:cs="Times New Roman" w:eastAsia="Times New Roman" w:hAnsi="Times New Roman"/>
            <w:sz w:val="18"/>
            <w:szCs w:val="18"/>
            <w:u w:val="single" w:color="auto"/>
            <w:color w:val="0000FF"/>
          </w:rPr>
          <w:t>Form of Canada RSU Agreement (2021) under the 2013 Plan (incorporated herein by reference to Exhibit 10.12 to the registrant’s Annual</w:t>
        </w:r>
      </w:hyperlink>
      <w:r>
        <w:rPr>
          <w:rFonts w:ascii="Times New Roman" w:cs="Times New Roman" w:eastAsia="Times New Roman" w:hAnsi="Times New Roman"/>
          <w:sz w:val="18"/>
          <w:szCs w:val="18"/>
          <w:u w:val="single" w:color="auto"/>
          <w:color w:val="0000FF"/>
        </w:rPr>
        <w:t xml:space="preserve"> </w:t>
      </w:r>
      <w:hyperlink r:id="rId547">
        <w:r>
          <w:rPr>
            <w:rFonts w:ascii="Times New Roman" w:cs="Times New Roman" w:eastAsia="Times New Roman" w:hAnsi="Times New Roman"/>
            <w:sz w:val="18"/>
            <w:szCs w:val="18"/>
            <w:u w:val="single" w:color="auto"/>
            <w:color w:val="0000FF"/>
          </w:rPr>
          <w:t>Report on Form 10-K for the fiscal year ended December 31, 2021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7960" cy="8255"/>
            <wp:wrapNone/>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548">
                      <a:extLst>
                        <a:ext uri="{28A0092B-C50C-407E-A947-70E740481C1C}"/>
                      </a:extLst>
                    </a:blip>
                    <a:srcRect/>
                    <a:stretch>
                      <a:fillRect/>
                    </a:stretch>
                  </pic:blipFill>
                  <pic:spPr bwMode="auto">
                    <a:xfrm>
                      <a:off x="0" y="0"/>
                      <a:ext cx="653796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121785" cy="8890"/>
            <wp:wrapNone/>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549">
                      <a:extLst>
                        <a:ext uri="{28A0092B-C50C-407E-A947-70E740481C1C}"/>
                      </a:extLst>
                    </a:blip>
                    <a:srcRect/>
                    <a:stretch>
                      <a:fillRect/>
                    </a:stretch>
                  </pic:blipFill>
                  <pic:spPr bwMode="auto">
                    <a:xfrm>
                      <a:off x="0" y="0"/>
                      <a:ext cx="4121785" cy="8890"/>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10.13†</w:t>
      </w:r>
      <w:r>
        <w:rPr>
          <w:sz w:val="20"/>
          <w:szCs w:val="20"/>
          <w:color w:val="auto"/>
        </w:rPr>
        <w:tab/>
      </w:r>
      <w:hyperlink r:id="rId550">
        <w:r>
          <w:rPr>
            <w:rFonts w:ascii="Times New Roman" w:cs="Times New Roman" w:eastAsia="Times New Roman" w:hAnsi="Times New Roman"/>
            <w:sz w:val="18"/>
            <w:szCs w:val="18"/>
            <w:u w:val="single" w:color="auto"/>
            <w:color w:val="0000FF"/>
          </w:rPr>
          <w:t>Form of Argentina RSU Agreement (2022) under the 2013 Plan (incorporated herein by reference to Exhibit 10.2 to the registrant’s Quarterly</w:t>
        </w:r>
      </w:hyperlink>
      <w:r>
        <w:rPr>
          <w:rFonts w:ascii="Times New Roman" w:cs="Times New Roman" w:eastAsia="Times New Roman" w:hAnsi="Times New Roman"/>
          <w:sz w:val="18"/>
          <w:szCs w:val="18"/>
          <w:u w:val="single" w:color="auto"/>
          <w:color w:val="0000FF"/>
        </w:rPr>
        <w:t xml:space="preserve"> </w:t>
      </w:r>
      <w:hyperlink r:id="rId550">
        <w:r>
          <w:rPr>
            <w:rFonts w:ascii="Times New Roman" w:cs="Times New Roman" w:eastAsia="Times New Roman" w:hAnsi="Times New Roman"/>
            <w:sz w:val="18"/>
            <w:szCs w:val="18"/>
            <w:u w:val="single" w:color="auto"/>
            <w:color w:val="0000FF"/>
          </w:rPr>
          <w:t>Report on Form 10-Q for the fiscal quarter ended June 30, 2022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3515" cy="8890"/>
            <wp:wrapNone/>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551">
                      <a:extLst>
                        <a:ext uri="{28A0092B-C50C-407E-A947-70E740481C1C}"/>
                      </a:extLst>
                    </a:blip>
                    <a:srcRect/>
                    <a:stretch>
                      <a:fillRect/>
                    </a:stretch>
                  </pic:blipFill>
                  <pic:spPr bwMode="auto">
                    <a:xfrm>
                      <a:off x="0" y="0"/>
                      <a:ext cx="6533515"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3988435" cy="8255"/>
            <wp:wrapNone/>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552">
                      <a:extLst>
                        <a:ext uri="{28A0092B-C50C-407E-A947-70E740481C1C}"/>
                      </a:extLst>
                    </a:blip>
                    <a:srcRect/>
                    <a:stretch>
                      <a:fillRect/>
                    </a:stretch>
                  </pic:blipFill>
                  <pic:spPr bwMode="auto">
                    <a:xfrm>
                      <a:off x="0" y="0"/>
                      <a:ext cx="3988435"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10.14†</w:t>
      </w:r>
      <w:r>
        <w:rPr>
          <w:sz w:val="20"/>
          <w:szCs w:val="20"/>
          <w:color w:val="auto"/>
        </w:rPr>
        <w:tab/>
      </w:r>
      <w:hyperlink r:id="rId553">
        <w:r>
          <w:rPr>
            <w:rFonts w:ascii="Times New Roman" w:cs="Times New Roman" w:eastAsia="Times New Roman" w:hAnsi="Times New Roman"/>
            <w:sz w:val="18"/>
            <w:szCs w:val="18"/>
            <w:u w:val="single" w:color="auto"/>
            <w:color w:val="0000FF"/>
          </w:rPr>
          <w:t>Form of China RSU Agreement (2022) under the 2013 Plan (incorporated herein by reference to Exhibit 10.3 to the registrant’s Quarterly</w:t>
        </w:r>
      </w:hyperlink>
      <w:r>
        <w:rPr>
          <w:rFonts w:ascii="Times New Roman" w:cs="Times New Roman" w:eastAsia="Times New Roman" w:hAnsi="Times New Roman"/>
          <w:sz w:val="18"/>
          <w:szCs w:val="18"/>
          <w:u w:val="single" w:color="auto"/>
          <w:color w:val="0000FF"/>
        </w:rPr>
        <w:t xml:space="preserve"> </w:t>
      </w:r>
      <w:hyperlink r:id="rId553">
        <w:r>
          <w:rPr>
            <w:rFonts w:ascii="Times New Roman" w:cs="Times New Roman" w:eastAsia="Times New Roman" w:hAnsi="Times New Roman"/>
            <w:sz w:val="18"/>
            <w:szCs w:val="18"/>
            <w:u w:val="single" w:color="auto"/>
            <w:color w:val="0000FF"/>
          </w:rPr>
          <w:t>Report on Form 10-Q for the fiscal quarter ended June 30, 2022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7960" cy="8255"/>
            <wp:wrapNone/>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554">
                      <a:extLst>
                        <a:ext uri="{28A0092B-C50C-407E-A947-70E740481C1C}"/>
                      </a:extLst>
                    </a:blip>
                    <a:srcRect/>
                    <a:stretch>
                      <a:fillRect/>
                    </a:stretch>
                  </pic:blipFill>
                  <pic:spPr bwMode="auto">
                    <a:xfrm>
                      <a:off x="0" y="0"/>
                      <a:ext cx="653796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3988435" cy="8255"/>
            <wp:wrapNone/>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555">
                      <a:extLst>
                        <a:ext uri="{28A0092B-C50C-407E-A947-70E740481C1C}"/>
                      </a:extLst>
                    </a:blip>
                    <a:srcRect/>
                    <a:stretch>
                      <a:fillRect/>
                    </a:stretch>
                  </pic:blipFill>
                  <pic:spPr bwMode="auto">
                    <a:xfrm>
                      <a:off x="0" y="0"/>
                      <a:ext cx="3988435"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color w:val="0000FF"/>
        </w:rPr>
      </w:pPr>
      <w:r>
        <w:rPr>
          <w:rFonts w:ascii="Times New Roman" w:cs="Times New Roman" w:eastAsia="Times New Roman" w:hAnsi="Times New Roman"/>
          <w:sz w:val="18"/>
          <w:szCs w:val="18"/>
          <w:color w:val="auto"/>
        </w:rPr>
        <w:t>10.15†</w:t>
      </w:r>
      <w:r>
        <w:rPr>
          <w:sz w:val="20"/>
          <w:szCs w:val="20"/>
          <w:color w:val="auto"/>
        </w:rPr>
        <w:tab/>
      </w:r>
      <w:hyperlink r:id="rId556">
        <w:r>
          <w:rPr>
            <w:rFonts w:ascii="Times New Roman" w:cs="Times New Roman" w:eastAsia="Times New Roman" w:hAnsi="Times New Roman"/>
            <w:sz w:val="18"/>
            <w:szCs w:val="18"/>
            <w:u w:val="single" w:color="auto"/>
            <w:color w:val="0000FF"/>
          </w:rPr>
          <w:t>MicroStrategy Incorporated 2023 Equity Incentive Plan (the “2023 Plan”) (incorporated herein by reference to Exhibit 10.15 to the registrant’s</w:t>
        </w:r>
      </w:hyperlink>
      <w:r>
        <w:rPr>
          <w:rFonts w:ascii="Times New Roman" w:cs="Times New Roman" w:eastAsia="Times New Roman" w:hAnsi="Times New Roman"/>
          <w:sz w:val="18"/>
          <w:szCs w:val="18"/>
          <w:u w:val="single" w:color="auto"/>
          <w:color w:val="0000FF"/>
        </w:rPr>
        <w:t xml:space="preserve"> </w:t>
      </w:r>
      <w:hyperlink r:id="rId556">
        <w:r>
          <w:rPr>
            <w:rFonts w:ascii="Times New Roman" w:cs="Times New Roman" w:eastAsia="Times New Roman" w:hAnsi="Times New Roman"/>
            <w:sz w:val="18"/>
            <w:szCs w:val="18"/>
            <w:u w:val="single" w:color="auto"/>
            <w:color w:val="0000FF"/>
          </w:rPr>
          <w:t>Annual Report on Form 10-K for the fiscal year ended December 31, 2023 (File No. 000-24435))</w:t>
        </w:r>
        <w:r>
          <w:rPr>
            <w:rFonts w:ascii="Times New Roman" w:cs="Times New Roman" w:eastAsia="Times New Roman" w:hAnsi="Times New Roman"/>
            <w:sz w:val="18"/>
            <w:szCs w:val="18"/>
            <w:color w:val="000000"/>
          </w:rPr>
          <w:t>.</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2245" cy="8255"/>
            <wp:wrapNone/>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557">
                      <a:extLst>
                        <a:ext uri="{28A0092B-C50C-407E-A947-70E740481C1C}"/>
                      </a:extLst>
                    </a:blip>
                    <a:srcRect/>
                    <a:stretch>
                      <a:fillRect/>
                    </a:stretch>
                  </pic:blipFill>
                  <pic:spPr bwMode="auto">
                    <a:xfrm>
                      <a:off x="0" y="0"/>
                      <a:ext cx="6532245"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457700" cy="8890"/>
            <wp:wrapNone/>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558">
                      <a:extLst>
                        <a:ext uri="{28A0092B-C50C-407E-A947-70E740481C1C}"/>
                      </a:extLst>
                    </a:blip>
                    <a:srcRect/>
                    <a:stretch>
                      <a:fillRect/>
                    </a:stretch>
                  </pic:blipFill>
                  <pic:spPr bwMode="auto">
                    <a:xfrm>
                      <a:off x="0" y="0"/>
                      <a:ext cx="4457700" cy="8890"/>
                    </a:xfrm>
                    <a:prstGeom prst="rect">
                      <a:avLst/>
                    </a:prstGeom>
                    <a:noFill/>
                  </pic:spPr>
                </pic:pic>
              </a:graphicData>
            </a:graphic>
          </wp:anchor>
        </w:drawing>
      </w:r>
    </w:p>
    <w:p>
      <w:pPr>
        <w:spacing w:after="0" w:line="47" w:lineRule="exact"/>
        <w:rPr>
          <w:sz w:val="20"/>
          <w:szCs w:val="20"/>
          <w:color w:val="auto"/>
        </w:rPr>
      </w:pPr>
    </w:p>
    <w:p>
      <w:pPr>
        <w:spacing w:after="0"/>
        <w:tabs>
          <w:tab w:leader="none" w:pos="880" w:val="left"/>
        </w:tabs>
        <w:rPr>
          <w:sz w:val="20"/>
          <w:szCs w:val="20"/>
          <w:color w:val="auto"/>
        </w:rPr>
      </w:pPr>
      <w:r>
        <w:rPr>
          <w:rFonts w:ascii="Times New Roman" w:cs="Times New Roman" w:eastAsia="Times New Roman" w:hAnsi="Times New Roman"/>
          <w:sz w:val="18"/>
          <w:szCs w:val="18"/>
          <w:color w:val="auto"/>
        </w:rPr>
        <w:t>10.16†</w:t>
      </w:r>
      <w:r>
        <w:rPr>
          <w:sz w:val="20"/>
          <w:szCs w:val="20"/>
          <w:color w:val="auto"/>
        </w:rPr>
        <w:tab/>
      </w:r>
      <w:r>
        <w:rPr>
          <w:rFonts w:ascii="Times New Roman" w:cs="Times New Roman" w:eastAsia="Times New Roman" w:hAnsi="Times New Roman"/>
          <w:sz w:val="17"/>
          <w:szCs w:val="17"/>
          <w:u w:val="single" w:color="auto"/>
          <w:color w:val="0000FF"/>
        </w:rPr>
        <w:t>Amendment No. 1 to the 2023 Plan.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-7620</wp:posOffset>
            </wp:positionV>
            <wp:extent cx="1650365" cy="8890"/>
            <wp:wrapNone/>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559">
                      <a:extLst>
                        <a:ext uri="{28A0092B-C50C-407E-A947-70E740481C1C}"/>
                      </a:extLst>
                    </a:blip>
                    <a:srcRect/>
                    <a:stretch>
                      <a:fillRect/>
                    </a:stretch>
                  </pic:blipFill>
                  <pic:spPr bwMode="auto">
                    <a:xfrm>
                      <a:off x="0" y="0"/>
                      <a:ext cx="1650365" cy="8890"/>
                    </a:xfrm>
                    <a:prstGeom prst="rect">
                      <a:avLst/>
                    </a:prstGeom>
                    <a:noFill/>
                  </pic:spPr>
                </pic:pic>
              </a:graphicData>
            </a:graphic>
          </wp:anchor>
        </w:drawing>
      </w:r>
    </w:p>
    <w:p>
      <w:pPr>
        <w:spacing w:after="0" w:line="111"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10.17†</w:t>
      </w:r>
      <w:r>
        <w:rPr>
          <w:sz w:val="20"/>
          <w:szCs w:val="20"/>
          <w:color w:val="auto"/>
        </w:rPr>
        <w:tab/>
      </w:r>
      <w:hyperlink r:id="rId560">
        <w:r>
          <w:rPr>
            <w:rFonts w:ascii="Times New Roman" w:cs="Times New Roman" w:eastAsia="Times New Roman" w:hAnsi="Times New Roman"/>
            <w:sz w:val="18"/>
            <w:szCs w:val="18"/>
            <w:u w:val="single" w:color="auto"/>
            <w:color w:val="0000FF"/>
          </w:rPr>
          <w:t>U.S. Form of Nonstatutory Stock Option Agreement (2023) under the 2023 Plan (incorporated herein by reference to Exhibit 99.1 to the</w:t>
        </w:r>
      </w:hyperlink>
      <w:r>
        <w:rPr>
          <w:rFonts w:ascii="Times New Roman" w:cs="Times New Roman" w:eastAsia="Times New Roman" w:hAnsi="Times New Roman"/>
          <w:sz w:val="18"/>
          <w:szCs w:val="18"/>
          <w:u w:val="single" w:color="auto"/>
          <w:color w:val="0000FF"/>
        </w:rPr>
        <w:t xml:space="preserve"> </w:t>
      </w:r>
      <w:hyperlink r:id="rId560">
        <w:r>
          <w:rPr>
            <w:rFonts w:ascii="Times New Roman" w:cs="Times New Roman" w:eastAsia="Times New Roman" w:hAnsi="Times New Roman"/>
            <w:sz w:val="18"/>
            <w:szCs w:val="18"/>
            <w:u w:val="single" w:color="auto"/>
            <w:color w:val="0000FF"/>
          </w:rPr>
          <w:t>registrant’s Current Report on Form 8-K filed with the SEC on May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7325" cy="8255"/>
            <wp:wrapNone/>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561">
                      <a:extLst>
                        <a:ext uri="{28A0092B-C50C-407E-A947-70E740481C1C}"/>
                      </a:extLst>
                    </a:blip>
                    <a:srcRect/>
                    <a:stretch>
                      <a:fillRect/>
                    </a:stretch>
                  </pic:blipFill>
                  <pic:spPr bwMode="auto">
                    <a:xfrm>
                      <a:off x="0" y="0"/>
                      <a:ext cx="6537325"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639310" cy="8890"/>
            <wp:wrapNone/>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562">
                      <a:extLst>
                        <a:ext uri="{28A0092B-C50C-407E-A947-70E740481C1C}"/>
                      </a:extLst>
                    </a:blip>
                    <a:srcRect/>
                    <a:stretch>
                      <a:fillRect/>
                    </a:stretch>
                  </pic:blipFill>
                  <pic:spPr bwMode="auto">
                    <a:xfrm>
                      <a:off x="0" y="0"/>
                      <a:ext cx="4639310" cy="8890"/>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10.18†</w:t>
      </w:r>
      <w:r>
        <w:rPr>
          <w:sz w:val="20"/>
          <w:szCs w:val="20"/>
          <w:color w:val="auto"/>
        </w:rPr>
        <w:tab/>
      </w:r>
      <w:hyperlink r:id="rId563">
        <w:r>
          <w:rPr>
            <w:rFonts w:ascii="Times New Roman" w:cs="Times New Roman" w:eastAsia="Times New Roman" w:hAnsi="Times New Roman"/>
            <w:sz w:val="18"/>
            <w:szCs w:val="18"/>
            <w:u w:val="single" w:color="auto"/>
            <w:color w:val="0000FF"/>
          </w:rPr>
          <w:t>U.S. Form of RSU Agreement (2023) under the 2023 Plan (incorporated herein by reference to Exhibit 99.2 to the registrant’s Current Report</w:t>
        </w:r>
      </w:hyperlink>
      <w:r>
        <w:rPr>
          <w:rFonts w:ascii="Times New Roman" w:cs="Times New Roman" w:eastAsia="Times New Roman" w:hAnsi="Times New Roman"/>
          <w:sz w:val="18"/>
          <w:szCs w:val="18"/>
          <w:u w:val="single" w:color="auto"/>
          <w:color w:val="0000FF"/>
        </w:rPr>
        <w:t xml:space="preserve"> </w:t>
      </w:r>
      <w:hyperlink r:id="rId563">
        <w:r>
          <w:rPr>
            <w:rFonts w:ascii="Times New Roman" w:cs="Times New Roman" w:eastAsia="Times New Roman" w:hAnsi="Times New Roman"/>
            <w:sz w:val="18"/>
            <w:szCs w:val="18"/>
            <w:u w:val="single" w:color="auto"/>
            <w:color w:val="0000FF"/>
          </w:rPr>
          <w:t>on Form 8-K filed with the SEC on May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9230" cy="8890"/>
            <wp:wrapNone/>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564">
                      <a:extLst>
                        <a:ext uri="{28A0092B-C50C-407E-A947-70E740481C1C}"/>
                      </a:extLst>
                    </a:blip>
                    <a:srcRect/>
                    <a:stretch>
                      <a:fillRect/>
                    </a:stretch>
                  </pic:blipFill>
                  <pic:spPr bwMode="auto">
                    <a:xfrm>
                      <a:off x="0" y="0"/>
                      <a:ext cx="653923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3379470" cy="8255"/>
            <wp:wrapNone/>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565">
                      <a:extLst>
                        <a:ext uri="{28A0092B-C50C-407E-A947-70E740481C1C}"/>
                      </a:extLst>
                    </a:blip>
                    <a:srcRect/>
                    <a:stretch>
                      <a:fillRect/>
                    </a:stretch>
                  </pic:blipFill>
                  <pic:spPr bwMode="auto">
                    <a:xfrm>
                      <a:off x="0" y="0"/>
                      <a:ext cx="3379470"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10.19†</w:t>
      </w:r>
      <w:r>
        <w:rPr>
          <w:sz w:val="20"/>
          <w:szCs w:val="20"/>
          <w:color w:val="auto"/>
        </w:rPr>
        <w:tab/>
      </w:r>
      <w:hyperlink r:id="rId566">
        <w:r>
          <w:rPr>
            <w:rFonts w:ascii="Times New Roman" w:cs="Times New Roman" w:eastAsia="Times New Roman" w:hAnsi="Times New Roman"/>
            <w:sz w:val="18"/>
            <w:szCs w:val="18"/>
            <w:u w:val="single" w:color="auto"/>
            <w:color w:val="0000FF"/>
          </w:rPr>
          <w:t>UK Form of Nonstatutory Stock Option Agreement (2023) under the 2023 Plan (incorporated herein by reference to Exhibit 10.4 to the</w:t>
        </w:r>
      </w:hyperlink>
      <w:r>
        <w:rPr>
          <w:rFonts w:ascii="Times New Roman" w:cs="Times New Roman" w:eastAsia="Times New Roman" w:hAnsi="Times New Roman"/>
          <w:sz w:val="18"/>
          <w:szCs w:val="18"/>
          <w:u w:val="single" w:color="auto"/>
          <w:color w:val="0000FF"/>
        </w:rPr>
        <w:t xml:space="preserve"> </w:t>
      </w:r>
      <w:hyperlink r:id="rId566">
        <w:r>
          <w:rPr>
            <w:rFonts w:ascii="Times New Roman" w:cs="Times New Roman" w:eastAsia="Times New Roman" w:hAnsi="Times New Roman"/>
            <w:sz w:val="18"/>
            <w:szCs w:val="18"/>
            <w:u w:val="single" w:color="auto"/>
            <w:color w:val="0000FF"/>
          </w:rPr>
          <w:t>registrant’s Quarterly Report on Form 10-Q for the fiscal quarter ended June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3515" cy="8255"/>
            <wp:wrapNone/>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567">
                      <a:extLst>
                        <a:ext uri="{28A0092B-C50C-407E-A947-70E740481C1C}"/>
                      </a:extLst>
                    </a:blip>
                    <a:srcRect/>
                    <a:stretch>
                      <a:fillRect/>
                    </a:stretch>
                  </pic:blipFill>
                  <pic:spPr bwMode="auto">
                    <a:xfrm>
                      <a:off x="0" y="0"/>
                      <a:ext cx="6533515"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5026025" cy="8255"/>
            <wp:wrapNone/>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568">
                      <a:extLst>
                        <a:ext uri="{28A0092B-C50C-407E-A947-70E740481C1C}"/>
                      </a:extLst>
                    </a:blip>
                    <a:srcRect/>
                    <a:stretch>
                      <a:fillRect/>
                    </a:stretch>
                  </pic:blipFill>
                  <pic:spPr bwMode="auto">
                    <a:xfrm>
                      <a:off x="0" y="0"/>
                      <a:ext cx="5026025"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10.20†</w:t>
      </w:r>
      <w:r>
        <w:rPr>
          <w:sz w:val="20"/>
          <w:szCs w:val="20"/>
          <w:color w:val="auto"/>
        </w:rPr>
        <w:tab/>
      </w:r>
      <w:hyperlink r:id="rId569">
        <w:r>
          <w:rPr>
            <w:rFonts w:ascii="Times New Roman" w:cs="Times New Roman" w:eastAsia="Times New Roman" w:hAnsi="Times New Roman"/>
            <w:sz w:val="18"/>
            <w:szCs w:val="18"/>
            <w:u w:val="single" w:color="auto"/>
            <w:color w:val="0000FF"/>
          </w:rPr>
          <w:t>UK Form of RSU Agreement (2023) under the 2023 Plan (incorporated herein by reference to Exhibit 10.5 to the registrant’s Quarterly Report</w:t>
        </w:r>
      </w:hyperlink>
      <w:r>
        <w:rPr>
          <w:rFonts w:ascii="Times New Roman" w:cs="Times New Roman" w:eastAsia="Times New Roman" w:hAnsi="Times New Roman"/>
          <w:sz w:val="18"/>
          <w:szCs w:val="18"/>
          <w:u w:val="single" w:color="auto"/>
          <w:color w:val="0000FF"/>
        </w:rPr>
        <w:t xml:space="preserve"> </w:t>
      </w:r>
      <w:hyperlink r:id="rId569">
        <w:r>
          <w:rPr>
            <w:rFonts w:ascii="Times New Roman" w:cs="Times New Roman" w:eastAsia="Times New Roman" w:hAnsi="Times New Roman"/>
            <w:sz w:val="18"/>
            <w:szCs w:val="18"/>
            <w:u w:val="single" w:color="auto"/>
            <w:color w:val="0000FF"/>
          </w:rPr>
          <w:t>on Form 10-Q for the fiscal quarter ended June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7960" cy="8890"/>
            <wp:wrapNone/>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570">
                      <a:extLst>
                        <a:ext uri="{28A0092B-C50C-407E-A947-70E740481C1C}"/>
                      </a:extLst>
                    </a:blip>
                    <a:srcRect/>
                    <a:stretch>
                      <a:fillRect/>
                    </a:stretch>
                  </pic:blipFill>
                  <pic:spPr bwMode="auto">
                    <a:xfrm>
                      <a:off x="0" y="0"/>
                      <a:ext cx="653796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3648710" cy="8255"/>
            <wp:wrapNone/>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571">
                      <a:extLst>
                        <a:ext uri="{28A0092B-C50C-407E-A947-70E740481C1C}"/>
                      </a:extLst>
                    </a:blip>
                    <a:srcRect/>
                    <a:stretch>
                      <a:fillRect/>
                    </a:stretch>
                  </pic:blipFill>
                  <pic:spPr bwMode="auto">
                    <a:xfrm>
                      <a:off x="0" y="0"/>
                      <a:ext cx="3648710" cy="8255"/>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10.21†</w:t>
      </w:r>
      <w:r>
        <w:rPr>
          <w:sz w:val="20"/>
          <w:szCs w:val="20"/>
          <w:color w:val="auto"/>
        </w:rPr>
        <w:tab/>
      </w:r>
      <w:hyperlink r:id="rId572">
        <w:r>
          <w:rPr>
            <w:rFonts w:ascii="Times New Roman" w:cs="Times New Roman" w:eastAsia="Times New Roman" w:hAnsi="Times New Roman"/>
            <w:sz w:val="18"/>
            <w:szCs w:val="18"/>
            <w:u w:val="single" w:color="auto"/>
            <w:color w:val="0000FF"/>
          </w:rPr>
          <w:t>China Form of Nonstatutory Stock Option Agreement (2023) under the 2023 Plan (incorporated herein by reference to Exhibit 10.6 to the</w:t>
        </w:r>
      </w:hyperlink>
      <w:r>
        <w:rPr>
          <w:rFonts w:ascii="Times New Roman" w:cs="Times New Roman" w:eastAsia="Times New Roman" w:hAnsi="Times New Roman"/>
          <w:sz w:val="18"/>
          <w:szCs w:val="18"/>
          <w:u w:val="single" w:color="auto"/>
          <w:color w:val="0000FF"/>
        </w:rPr>
        <w:t xml:space="preserve"> </w:t>
      </w:r>
      <w:hyperlink r:id="rId572">
        <w:r>
          <w:rPr>
            <w:rFonts w:ascii="Times New Roman" w:cs="Times New Roman" w:eastAsia="Times New Roman" w:hAnsi="Times New Roman"/>
            <w:sz w:val="18"/>
            <w:szCs w:val="18"/>
            <w:u w:val="single" w:color="auto"/>
            <w:color w:val="0000FF"/>
          </w:rPr>
          <w:t>registrant’s Quarterly Report on Form 10-Q for the fiscal quarter ended June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8595" cy="8890"/>
            <wp:wrapNone/>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573">
                      <a:extLst>
                        <a:ext uri="{28A0092B-C50C-407E-A947-70E740481C1C}"/>
                      </a:extLst>
                    </a:blip>
                    <a:srcRect/>
                    <a:stretch>
                      <a:fillRect/>
                    </a:stretch>
                  </pic:blipFill>
                  <pic:spPr bwMode="auto">
                    <a:xfrm>
                      <a:off x="0" y="0"/>
                      <a:ext cx="6538595"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5026025" cy="8890"/>
            <wp:wrapNone/>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574">
                      <a:extLst>
                        <a:ext uri="{28A0092B-C50C-407E-A947-70E740481C1C}"/>
                      </a:extLst>
                    </a:blip>
                    <a:srcRect/>
                    <a:stretch>
                      <a:fillRect/>
                    </a:stretch>
                  </pic:blipFill>
                  <pic:spPr bwMode="auto">
                    <a:xfrm>
                      <a:off x="0" y="0"/>
                      <a:ext cx="5026025" cy="8890"/>
                    </a:xfrm>
                    <a:prstGeom prst="rect">
                      <a:avLst/>
                    </a:prstGeom>
                    <a:noFill/>
                  </pic:spPr>
                </pic:pic>
              </a:graphicData>
            </a:graphic>
          </wp:anchor>
        </w:drawing>
      </w:r>
    </w:p>
    <w:p>
      <w:pPr>
        <w:spacing w:after="0" w:line="47" w:lineRule="exact"/>
        <w:rPr>
          <w:sz w:val="20"/>
          <w:szCs w:val="20"/>
          <w:color w:val="auto"/>
        </w:rPr>
      </w:pPr>
    </w:p>
    <w:p>
      <w:pPr>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10.22†</w:t>
      </w:r>
      <w:r>
        <w:rPr>
          <w:sz w:val="20"/>
          <w:szCs w:val="20"/>
          <w:color w:val="auto"/>
        </w:rPr>
        <w:tab/>
      </w:r>
      <w:hyperlink r:id="rId575">
        <w:r>
          <w:rPr>
            <w:rFonts w:ascii="Times New Roman" w:cs="Times New Roman" w:eastAsia="Times New Roman" w:hAnsi="Times New Roman"/>
            <w:sz w:val="18"/>
            <w:szCs w:val="18"/>
            <w:u w:val="single" w:color="auto"/>
            <w:color w:val="0000FF"/>
          </w:rPr>
          <w:t>China Form of RSU Agreement (2023) under the 2023 Plan (incorporated herein by reference to Exhibit 10.7 to the registrant’s Quarterly</w:t>
        </w:r>
      </w:hyperlink>
      <w:r>
        <w:rPr>
          <w:rFonts w:ascii="Times New Roman" w:cs="Times New Roman" w:eastAsia="Times New Roman" w:hAnsi="Times New Roman"/>
          <w:sz w:val="18"/>
          <w:szCs w:val="18"/>
          <w:u w:val="single" w:color="auto"/>
          <w:color w:val="0000FF"/>
        </w:rPr>
        <w:t xml:space="preserve"> </w:t>
      </w:r>
      <w:hyperlink r:id="rId575">
        <w:r>
          <w:rPr>
            <w:rFonts w:ascii="Times New Roman" w:cs="Times New Roman" w:eastAsia="Times New Roman" w:hAnsi="Times New Roman"/>
            <w:sz w:val="18"/>
            <w:szCs w:val="18"/>
            <w:u w:val="single" w:color="auto"/>
            <w:color w:val="0000FF"/>
          </w:rPr>
          <w:t>Report on Form 10-Q for the fiscal quarter ended June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7960" cy="8890"/>
            <wp:wrapNone/>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576">
                      <a:extLst>
                        <a:ext uri="{28A0092B-C50C-407E-A947-70E740481C1C}"/>
                      </a:extLst>
                    </a:blip>
                    <a:srcRect/>
                    <a:stretch>
                      <a:fillRect/>
                    </a:stretch>
                  </pic:blipFill>
                  <pic:spPr bwMode="auto">
                    <a:xfrm>
                      <a:off x="0" y="0"/>
                      <a:ext cx="653796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017010" cy="8890"/>
            <wp:wrapNone/>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577">
                      <a:extLst>
                        <a:ext uri="{28A0092B-C50C-407E-A947-70E740481C1C}"/>
                      </a:extLst>
                    </a:blip>
                    <a:srcRect/>
                    <a:stretch>
                      <a:fillRect/>
                    </a:stretch>
                  </pic:blipFill>
                  <pic:spPr bwMode="auto">
                    <a:xfrm>
                      <a:off x="0" y="0"/>
                      <a:ext cx="4017010" cy="8890"/>
                    </a:xfrm>
                    <a:prstGeom prst="rect">
                      <a:avLst/>
                    </a:prstGeom>
                    <a:noFill/>
                  </pic:spPr>
                </pic:pic>
              </a:graphicData>
            </a:graphic>
          </wp:anchor>
        </w:drawing>
      </w:r>
    </w:p>
    <w:p>
      <w:pPr>
        <w:spacing w:after="0" w:line="14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120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-19685</wp:posOffset>
            </wp:positionH>
            <wp:positionV relativeFrom="paragraph">
              <wp:posOffset>484505</wp:posOffset>
            </wp:positionV>
            <wp:extent cx="7157720" cy="42545"/>
            <wp:wrapNone/>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57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00"/>
          </w:cols>
          <w:pgMar w:left="340" w:top="985" w:right="359" w:bottom="1440" w:gutter="0" w:footer="0" w:header="0"/>
        </w:sectPr>
      </w:pPr>
    </w:p>
    <w:bookmarkStart w:id="120" w:name="page121"/>
    <w:bookmarkEnd w:id="120"/>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10.23†</w:t>
      </w:r>
      <w:r>
        <w:rPr>
          <w:sz w:val="20"/>
          <w:szCs w:val="20"/>
          <w:color w:val="auto"/>
        </w:rPr>
        <w:tab/>
      </w:r>
      <w:hyperlink r:id="rId579">
        <w:r>
          <w:rPr>
            <w:rFonts w:ascii="Times New Roman" w:cs="Times New Roman" w:eastAsia="Times New Roman" w:hAnsi="Times New Roman"/>
            <w:sz w:val="18"/>
            <w:szCs w:val="18"/>
            <w:u w:val="single" w:color="auto"/>
            <w:color w:val="0000FF"/>
          </w:rPr>
          <w:t>Canada Form of RSU Agreement (2023) under the 2023 Plan (incorporated herein by reference to Exhibit 10.8 to the registrant’s Quarterly</w:t>
        </w:r>
      </w:hyperlink>
      <w:r>
        <w:rPr>
          <w:rFonts w:ascii="Times New Roman" w:cs="Times New Roman" w:eastAsia="Times New Roman" w:hAnsi="Times New Roman"/>
          <w:sz w:val="18"/>
          <w:szCs w:val="18"/>
          <w:u w:val="single" w:color="auto"/>
          <w:color w:val="0000FF"/>
        </w:rPr>
        <w:t xml:space="preserve"> </w:t>
      </w:r>
      <w:hyperlink r:id="rId579">
        <w:r>
          <w:rPr>
            <w:rFonts w:ascii="Times New Roman" w:cs="Times New Roman" w:eastAsia="Times New Roman" w:hAnsi="Times New Roman"/>
            <w:sz w:val="18"/>
            <w:szCs w:val="18"/>
            <w:u w:val="single" w:color="auto"/>
            <w:color w:val="0000FF"/>
          </w:rPr>
          <w:t>Report on Form 10-Q for the fiscal quarter ended June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9230" cy="8255"/>
            <wp:wrapNone/>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580">
                      <a:extLst>
                        <a:ext uri="{28A0092B-C50C-407E-A947-70E740481C1C}"/>
                      </a:extLst>
                    </a:blip>
                    <a:srcRect/>
                    <a:stretch>
                      <a:fillRect/>
                    </a:stretch>
                  </pic:blipFill>
                  <pic:spPr bwMode="auto">
                    <a:xfrm>
                      <a:off x="0" y="0"/>
                      <a:ext cx="653923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3988435" cy="8255"/>
            <wp:wrapNone/>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581">
                      <a:extLst>
                        <a:ext uri="{28A0092B-C50C-407E-A947-70E740481C1C}"/>
                      </a:extLst>
                    </a:blip>
                    <a:srcRect/>
                    <a:stretch>
                      <a:fillRect/>
                    </a:stretch>
                  </pic:blipFill>
                  <pic:spPr bwMode="auto">
                    <a:xfrm>
                      <a:off x="0" y="0"/>
                      <a:ext cx="3988435"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10.24†</w:t>
      </w:r>
      <w:r>
        <w:rPr>
          <w:sz w:val="20"/>
          <w:szCs w:val="20"/>
          <w:color w:val="auto"/>
        </w:rPr>
        <w:tab/>
      </w:r>
      <w:hyperlink r:id="rId582">
        <w:r>
          <w:rPr>
            <w:rFonts w:ascii="Times New Roman" w:cs="Times New Roman" w:eastAsia="Times New Roman" w:hAnsi="Times New Roman"/>
            <w:sz w:val="18"/>
            <w:szCs w:val="18"/>
            <w:u w:val="single" w:color="auto"/>
            <w:color w:val="0000FF"/>
          </w:rPr>
          <w:t>International Form of Nonstatutory Stock Option Agreement (2023) under the 2023 Plan (incorporated herein by reference to Exhibit 10.9 to</w:t>
        </w:r>
      </w:hyperlink>
      <w:r>
        <w:rPr>
          <w:rFonts w:ascii="Times New Roman" w:cs="Times New Roman" w:eastAsia="Times New Roman" w:hAnsi="Times New Roman"/>
          <w:sz w:val="18"/>
          <w:szCs w:val="18"/>
          <w:u w:val="single" w:color="auto"/>
          <w:color w:val="0000FF"/>
        </w:rPr>
        <w:t xml:space="preserve"> </w:t>
      </w:r>
      <w:hyperlink r:id="rId582">
        <w:r>
          <w:rPr>
            <w:rFonts w:ascii="Times New Roman" w:cs="Times New Roman" w:eastAsia="Times New Roman" w:hAnsi="Times New Roman"/>
            <w:sz w:val="18"/>
            <w:szCs w:val="18"/>
            <w:u w:val="single" w:color="auto"/>
            <w:color w:val="0000FF"/>
          </w:rPr>
          <w:t>the registrant’s Quarterly Report on Form 10-Q for the fiscal quarter ended June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5420" cy="8255"/>
            <wp:wrapNone/>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583">
                      <a:extLst>
                        <a:ext uri="{28A0092B-C50C-407E-A947-70E740481C1C}"/>
                      </a:extLst>
                    </a:blip>
                    <a:srcRect/>
                    <a:stretch>
                      <a:fillRect/>
                    </a:stretch>
                  </pic:blipFill>
                  <pic:spPr bwMode="auto">
                    <a:xfrm>
                      <a:off x="0" y="0"/>
                      <a:ext cx="653542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5165725" cy="8890"/>
            <wp:wrapNone/>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584">
                      <a:extLst>
                        <a:ext uri="{28A0092B-C50C-407E-A947-70E740481C1C}"/>
                      </a:extLst>
                    </a:blip>
                    <a:srcRect/>
                    <a:stretch>
                      <a:fillRect/>
                    </a:stretch>
                  </pic:blipFill>
                  <pic:spPr bwMode="auto">
                    <a:xfrm>
                      <a:off x="0" y="0"/>
                      <a:ext cx="5165725" cy="8890"/>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10.25†</w:t>
      </w:r>
      <w:r>
        <w:rPr>
          <w:sz w:val="20"/>
          <w:szCs w:val="20"/>
          <w:color w:val="auto"/>
        </w:rPr>
        <w:tab/>
      </w:r>
      <w:hyperlink r:id="rId585">
        <w:r>
          <w:rPr>
            <w:rFonts w:ascii="Times New Roman" w:cs="Times New Roman" w:eastAsia="Times New Roman" w:hAnsi="Times New Roman"/>
            <w:sz w:val="18"/>
            <w:szCs w:val="18"/>
            <w:u w:val="single" w:color="auto"/>
            <w:color w:val="0000FF"/>
          </w:rPr>
          <w:t>International Form of RSU Agreement (2023) under the 2023 Plan (incorporated herein by reference to Exhibit 10.24 to the registrant’s</w:t>
        </w:r>
      </w:hyperlink>
      <w:r>
        <w:rPr>
          <w:rFonts w:ascii="Times New Roman" w:cs="Times New Roman" w:eastAsia="Times New Roman" w:hAnsi="Times New Roman"/>
          <w:sz w:val="18"/>
          <w:szCs w:val="18"/>
          <w:u w:val="single" w:color="auto"/>
          <w:color w:val="0000FF"/>
        </w:rPr>
        <w:t xml:space="preserve"> </w:t>
      </w:r>
      <w:hyperlink r:id="rId585">
        <w:r>
          <w:rPr>
            <w:rFonts w:ascii="Times New Roman" w:cs="Times New Roman" w:eastAsia="Times New Roman" w:hAnsi="Times New Roman"/>
            <w:sz w:val="18"/>
            <w:szCs w:val="18"/>
            <w:u w:val="single" w:color="auto"/>
            <w:color w:val="0000FF"/>
          </w:rPr>
          <w:t>Annual Report on Form 10-K for the fiscal year ended December 31,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4150" cy="8255"/>
            <wp:wrapNone/>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586">
                      <a:extLst>
                        <a:ext uri="{28A0092B-C50C-407E-A947-70E740481C1C}"/>
                      </a:extLst>
                    </a:blip>
                    <a:srcRect/>
                    <a:stretch>
                      <a:fillRect/>
                    </a:stretch>
                  </pic:blipFill>
                  <pic:spPr bwMode="auto">
                    <a:xfrm>
                      <a:off x="0" y="0"/>
                      <a:ext cx="653415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486275" cy="8890"/>
            <wp:wrapNone/>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587">
                      <a:extLst>
                        <a:ext uri="{28A0092B-C50C-407E-A947-70E740481C1C}"/>
                      </a:extLst>
                    </a:blip>
                    <a:srcRect/>
                    <a:stretch>
                      <a:fillRect/>
                    </a:stretch>
                  </pic:blipFill>
                  <pic:spPr bwMode="auto">
                    <a:xfrm>
                      <a:off x="0" y="0"/>
                      <a:ext cx="4486275" cy="8890"/>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10.26†</w:t>
      </w:r>
      <w:r>
        <w:rPr>
          <w:sz w:val="20"/>
          <w:szCs w:val="20"/>
          <w:color w:val="auto"/>
        </w:rPr>
        <w:tab/>
      </w:r>
      <w:hyperlink r:id="rId588">
        <w:r>
          <w:rPr>
            <w:rFonts w:ascii="Times New Roman" w:cs="Times New Roman" w:eastAsia="Times New Roman" w:hAnsi="Times New Roman"/>
            <w:sz w:val="18"/>
            <w:szCs w:val="18"/>
            <w:u w:val="single" w:color="auto"/>
            <w:color w:val="0000FF"/>
          </w:rPr>
          <w:t>UK Sub-Plan under the 2023 Plan (incorporated herein by reference to Exhibit 10.11 to the registrant’s Quarterly Report on Form 10-Q for the</w:t>
        </w:r>
      </w:hyperlink>
      <w:r>
        <w:rPr>
          <w:rFonts w:ascii="Times New Roman" w:cs="Times New Roman" w:eastAsia="Times New Roman" w:hAnsi="Times New Roman"/>
          <w:sz w:val="18"/>
          <w:szCs w:val="18"/>
          <w:u w:val="single" w:color="auto"/>
          <w:color w:val="0000FF"/>
        </w:rPr>
        <w:t xml:space="preserve"> </w:t>
      </w:r>
      <w:hyperlink r:id="rId588">
        <w:r>
          <w:rPr>
            <w:rFonts w:ascii="Times New Roman" w:cs="Times New Roman" w:eastAsia="Times New Roman" w:hAnsi="Times New Roman"/>
            <w:sz w:val="18"/>
            <w:szCs w:val="18"/>
            <w:u w:val="single" w:color="auto"/>
            <w:color w:val="0000FF"/>
          </w:rPr>
          <w:t>fiscal quarter ended June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5420" cy="8890"/>
            <wp:wrapNone/>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589">
                      <a:extLst>
                        <a:ext uri="{28A0092B-C50C-407E-A947-70E740481C1C}"/>
                      </a:extLst>
                    </a:blip>
                    <a:srcRect/>
                    <a:stretch>
                      <a:fillRect/>
                    </a:stretch>
                  </pic:blipFill>
                  <pic:spPr bwMode="auto">
                    <a:xfrm>
                      <a:off x="0" y="0"/>
                      <a:ext cx="653542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2665095" cy="8255"/>
            <wp:wrapNone/>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590">
                      <a:extLst>
                        <a:ext uri="{28A0092B-C50C-407E-A947-70E740481C1C}"/>
                      </a:extLst>
                    </a:blip>
                    <a:srcRect/>
                    <a:stretch>
                      <a:fillRect/>
                    </a:stretch>
                  </pic:blipFill>
                  <pic:spPr bwMode="auto">
                    <a:xfrm>
                      <a:off x="0" y="0"/>
                      <a:ext cx="2665095"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color w:val="0000FF"/>
        </w:rPr>
      </w:pPr>
      <w:r>
        <w:rPr>
          <w:rFonts w:ascii="Times New Roman" w:cs="Times New Roman" w:eastAsia="Times New Roman" w:hAnsi="Times New Roman"/>
          <w:sz w:val="18"/>
          <w:szCs w:val="18"/>
          <w:color w:val="auto"/>
        </w:rPr>
        <w:t>10.27†</w:t>
      </w:r>
      <w:r>
        <w:rPr>
          <w:sz w:val="20"/>
          <w:szCs w:val="20"/>
          <w:color w:val="auto"/>
        </w:rPr>
        <w:tab/>
      </w:r>
      <w:hyperlink r:id="rId591">
        <w:r>
          <w:rPr>
            <w:rFonts w:ascii="Times New Roman" w:cs="Times New Roman" w:eastAsia="Times New Roman" w:hAnsi="Times New Roman"/>
            <w:sz w:val="18"/>
            <w:szCs w:val="18"/>
            <w:u w:val="single" w:color="auto"/>
            <w:color w:val="0000FF"/>
          </w:rPr>
          <w:t>U.S. Form of Nonstatutory Stock Option Agreement (Non-Employee Director) (2023) under the 2023 Plan (incorporated herein by reference</w:t>
        </w:r>
      </w:hyperlink>
      <w:r>
        <w:rPr>
          <w:rFonts w:ascii="Times New Roman" w:cs="Times New Roman" w:eastAsia="Times New Roman" w:hAnsi="Times New Roman"/>
          <w:sz w:val="18"/>
          <w:szCs w:val="18"/>
          <w:u w:val="single" w:color="auto"/>
          <w:color w:val="0000FF"/>
        </w:rPr>
        <w:t xml:space="preserve"> </w:t>
      </w:r>
      <w:hyperlink r:id="rId591">
        <w:r>
          <w:rPr>
            <w:rFonts w:ascii="Times New Roman" w:cs="Times New Roman" w:eastAsia="Times New Roman" w:hAnsi="Times New Roman"/>
            <w:sz w:val="18"/>
            <w:szCs w:val="18"/>
            <w:u w:val="single" w:color="auto"/>
            <w:color w:val="0000FF"/>
          </w:rPr>
          <w:t>to Exhibit 10.12 to the registrant’s Quarterly Report on Form 10-Q for the fiscal quarter ended June 30, 2023 (File No. 000-24435))</w:t>
        </w:r>
        <w:r>
          <w:rPr>
            <w:rFonts w:ascii="Times New Roman" w:cs="Times New Roman" w:eastAsia="Times New Roman" w:hAnsi="Times New Roman"/>
            <w:sz w:val="18"/>
            <w:szCs w:val="18"/>
            <w:color w:val="000000"/>
          </w:rPr>
          <w:t>.</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7960" cy="8255"/>
            <wp:wrapNone/>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592">
                      <a:extLst>
                        <a:ext uri="{28A0092B-C50C-407E-A947-70E740481C1C}"/>
                      </a:extLst>
                    </a:blip>
                    <a:srcRect/>
                    <a:stretch>
                      <a:fillRect/>
                    </a:stretch>
                  </pic:blipFill>
                  <pic:spPr bwMode="auto">
                    <a:xfrm>
                      <a:off x="0" y="0"/>
                      <a:ext cx="653796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6022340" cy="8255"/>
            <wp:wrapNone/>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593">
                      <a:extLst>
                        <a:ext uri="{28A0092B-C50C-407E-A947-70E740481C1C}"/>
                      </a:extLst>
                    </a:blip>
                    <a:srcRect/>
                    <a:stretch>
                      <a:fillRect/>
                    </a:stretch>
                  </pic:blipFill>
                  <pic:spPr bwMode="auto">
                    <a:xfrm>
                      <a:off x="0" y="0"/>
                      <a:ext cx="6022340"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10.28†</w:t>
      </w:r>
      <w:r>
        <w:rPr>
          <w:sz w:val="20"/>
          <w:szCs w:val="20"/>
          <w:color w:val="auto"/>
        </w:rPr>
        <w:tab/>
      </w:r>
      <w:hyperlink r:id="rId594">
        <w:r>
          <w:rPr>
            <w:rFonts w:ascii="Times New Roman" w:cs="Times New Roman" w:eastAsia="Times New Roman" w:hAnsi="Times New Roman"/>
            <w:sz w:val="18"/>
            <w:szCs w:val="18"/>
            <w:u w:val="single" w:color="auto"/>
            <w:color w:val="0000FF"/>
          </w:rPr>
          <w:t>U.S. Form of RSU Agreement (Non-Employee Director) (2023) under the 2023 Plan (incorporated herein by reference to Exhibit 10.13 to the</w:t>
        </w:r>
      </w:hyperlink>
      <w:r>
        <w:rPr>
          <w:rFonts w:ascii="Times New Roman" w:cs="Times New Roman" w:eastAsia="Times New Roman" w:hAnsi="Times New Roman"/>
          <w:sz w:val="18"/>
          <w:szCs w:val="18"/>
          <w:u w:val="single" w:color="auto"/>
          <w:color w:val="0000FF"/>
        </w:rPr>
        <w:t xml:space="preserve"> </w:t>
      </w:r>
      <w:hyperlink r:id="rId594">
        <w:r>
          <w:rPr>
            <w:rFonts w:ascii="Times New Roman" w:cs="Times New Roman" w:eastAsia="Times New Roman" w:hAnsi="Times New Roman"/>
            <w:sz w:val="18"/>
            <w:szCs w:val="18"/>
            <w:u w:val="single" w:color="auto"/>
            <w:color w:val="0000FF"/>
          </w:rPr>
          <w:t>registrant’s Quarterly Report on Form 10-Q for the fiscal quarter ended June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9865" cy="8255"/>
            <wp:wrapNone/>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595">
                      <a:extLst>
                        <a:ext uri="{28A0092B-C50C-407E-A947-70E740481C1C}"/>
                      </a:extLst>
                    </a:blip>
                    <a:srcRect/>
                    <a:stretch>
                      <a:fillRect/>
                    </a:stretch>
                  </pic:blipFill>
                  <pic:spPr bwMode="auto">
                    <a:xfrm>
                      <a:off x="0" y="0"/>
                      <a:ext cx="6539865"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997450" cy="8255"/>
            <wp:wrapNone/>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596">
                      <a:extLst>
                        <a:ext uri="{28A0092B-C50C-407E-A947-70E740481C1C}"/>
                      </a:extLst>
                    </a:blip>
                    <a:srcRect/>
                    <a:stretch>
                      <a:fillRect/>
                    </a:stretch>
                  </pic:blipFill>
                  <pic:spPr bwMode="auto">
                    <a:xfrm>
                      <a:off x="0" y="0"/>
                      <a:ext cx="4997450"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10.29†</w:t>
      </w:r>
      <w:r>
        <w:rPr>
          <w:sz w:val="20"/>
          <w:szCs w:val="20"/>
          <w:color w:val="auto"/>
        </w:rPr>
        <w:tab/>
      </w:r>
      <w:hyperlink r:id="rId597">
        <w:r>
          <w:rPr>
            <w:rFonts w:ascii="Times New Roman" w:cs="Times New Roman" w:eastAsia="Times New Roman" w:hAnsi="Times New Roman"/>
            <w:sz w:val="18"/>
            <w:szCs w:val="18"/>
            <w:u w:val="single" w:color="auto"/>
            <w:color w:val="0000FF"/>
          </w:rPr>
          <w:t>U.S. Form of Performance Stock Unit (“PSU”) Agreement (2023) under the 2023 Plan (incorporated herein by reference to Exhibit 99.3 to the</w:t>
        </w:r>
      </w:hyperlink>
      <w:r>
        <w:rPr>
          <w:rFonts w:ascii="Times New Roman" w:cs="Times New Roman" w:eastAsia="Times New Roman" w:hAnsi="Times New Roman"/>
          <w:sz w:val="18"/>
          <w:szCs w:val="18"/>
          <w:u w:val="single" w:color="auto"/>
          <w:color w:val="0000FF"/>
        </w:rPr>
        <w:t xml:space="preserve"> </w:t>
      </w:r>
      <w:hyperlink r:id="rId597">
        <w:r>
          <w:rPr>
            <w:rFonts w:ascii="Times New Roman" w:cs="Times New Roman" w:eastAsia="Times New Roman" w:hAnsi="Times New Roman"/>
            <w:sz w:val="18"/>
            <w:szCs w:val="18"/>
            <w:u w:val="single" w:color="auto"/>
            <w:color w:val="0000FF"/>
          </w:rPr>
          <w:t>registrant’s Current Report on Form 8-K filed with the SEC on May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4150" cy="8255"/>
            <wp:wrapNone/>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598">
                      <a:extLst>
                        <a:ext uri="{28A0092B-C50C-407E-A947-70E740481C1C}"/>
                      </a:extLst>
                    </a:blip>
                    <a:srcRect/>
                    <a:stretch>
                      <a:fillRect/>
                    </a:stretch>
                  </pic:blipFill>
                  <pic:spPr bwMode="auto">
                    <a:xfrm>
                      <a:off x="0" y="0"/>
                      <a:ext cx="653415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610735" cy="8255"/>
            <wp:wrapNone/>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599">
                      <a:extLst>
                        <a:ext uri="{28A0092B-C50C-407E-A947-70E740481C1C}"/>
                      </a:extLst>
                    </a:blip>
                    <a:srcRect/>
                    <a:stretch>
                      <a:fillRect/>
                    </a:stretch>
                  </pic:blipFill>
                  <pic:spPr bwMode="auto">
                    <a:xfrm>
                      <a:off x="0" y="0"/>
                      <a:ext cx="4610735"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10.30†</w:t>
      </w:r>
      <w:r>
        <w:rPr>
          <w:sz w:val="20"/>
          <w:szCs w:val="20"/>
          <w:color w:val="auto"/>
        </w:rPr>
        <w:tab/>
      </w:r>
      <w:hyperlink r:id="rId600">
        <w:r>
          <w:rPr>
            <w:rFonts w:ascii="Times New Roman" w:cs="Times New Roman" w:eastAsia="Times New Roman" w:hAnsi="Times New Roman"/>
            <w:sz w:val="18"/>
            <w:szCs w:val="18"/>
            <w:u w:val="single" w:color="auto"/>
            <w:color w:val="0000FF"/>
          </w:rPr>
          <w:t>China Form of RSU Agreement (2024) under the 2023 Plan (incorporated herein by reference to Exhibit 10.1 to the registrant’s Quarterly</w:t>
        </w:r>
      </w:hyperlink>
      <w:r>
        <w:rPr>
          <w:rFonts w:ascii="Times New Roman" w:cs="Times New Roman" w:eastAsia="Times New Roman" w:hAnsi="Times New Roman"/>
          <w:sz w:val="18"/>
          <w:szCs w:val="18"/>
          <w:u w:val="single" w:color="auto"/>
          <w:color w:val="0000FF"/>
        </w:rPr>
        <w:t xml:space="preserve"> </w:t>
      </w:r>
      <w:hyperlink r:id="rId600">
        <w:r>
          <w:rPr>
            <w:rFonts w:ascii="Times New Roman" w:cs="Times New Roman" w:eastAsia="Times New Roman" w:hAnsi="Times New Roman"/>
            <w:sz w:val="18"/>
            <w:szCs w:val="18"/>
            <w:u w:val="single" w:color="auto"/>
            <w:color w:val="0000FF"/>
          </w:rPr>
          <w:t>Report on Form 10-Q for the fiscal quarter ended March 31, 2024 (File No. 000-024435)).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7960" cy="8255"/>
            <wp:wrapNone/>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601">
                      <a:extLst>
                        <a:ext uri="{28A0092B-C50C-407E-A947-70E740481C1C}"/>
                      </a:extLst>
                    </a:blip>
                    <a:srcRect/>
                    <a:stretch>
                      <a:fillRect/>
                    </a:stretch>
                  </pic:blipFill>
                  <pic:spPr bwMode="auto">
                    <a:xfrm>
                      <a:off x="0" y="0"/>
                      <a:ext cx="653796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134485" cy="8255"/>
            <wp:wrapNone/>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602">
                      <a:extLst>
                        <a:ext uri="{28A0092B-C50C-407E-A947-70E740481C1C}"/>
                      </a:extLst>
                    </a:blip>
                    <a:srcRect/>
                    <a:stretch>
                      <a:fillRect/>
                    </a:stretch>
                  </pic:blipFill>
                  <pic:spPr bwMode="auto">
                    <a:xfrm>
                      <a:off x="0" y="0"/>
                      <a:ext cx="4134485"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10.31†</w:t>
      </w:r>
      <w:r>
        <w:rPr>
          <w:sz w:val="20"/>
          <w:szCs w:val="20"/>
          <w:color w:val="auto"/>
        </w:rPr>
        <w:tab/>
      </w:r>
      <w:hyperlink r:id="rId603">
        <w:r>
          <w:rPr>
            <w:rFonts w:ascii="Times New Roman" w:cs="Times New Roman" w:eastAsia="Times New Roman" w:hAnsi="Times New Roman"/>
            <w:sz w:val="18"/>
            <w:szCs w:val="18"/>
            <w:u w:val="single" w:color="auto"/>
            <w:color w:val="0000FF"/>
          </w:rPr>
          <w:t>U.S. Form of RSU Agreement (2024) under the 2023 Plan (incorporated herein by reference to Exhibit 10.3 to the registrant’s Quarterly</w:t>
        </w:r>
      </w:hyperlink>
      <w:r>
        <w:rPr>
          <w:rFonts w:ascii="Times New Roman" w:cs="Times New Roman" w:eastAsia="Times New Roman" w:hAnsi="Times New Roman"/>
          <w:sz w:val="18"/>
          <w:szCs w:val="18"/>
          <w:u w:val="single" w:color="auto"/>
          <w:color w:val="0000FF"/>
        </w:rPr>
        <w:t xml:space="preserve"> </w:t>
      </w:r>
      <w:hyperlink r:id="rId603">
        <w:r>
          <w:rPr>
            <w:rFonts w:ascii="Times New Roman" w:cs="Times New Roman" w:eastAsia="Times New Roman" w:hAnsi="Times New Roman"/>
            <w:sz w:val="18"/>
            <w:szCs w:val="18"/>
            <w:u w:val="single" w:color="auto"/>
            <w:color w:val="0000FF"/>
          </w:rPr>
          <w:t>Report on Form 10-Q for the fiscal quarter ended June 30, 2024 (File No. 000-024435)).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6690" cy="8255"/>
            <wp:wrapNone/>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604">
                      <a:extLst>
                        <a:ext uri="{28A0092B-C50C-407E-A947-70E740481C1C}"/>
                      </a:extLst>
                    </a:blip>
                    <a:srcRect/>
                    <a:stretch>
                      <a:fillRect/>
                    </a:stretch>
                  </pic:blipFill>
                  <pic:spPr bwMode="auto">
                    <a:xfrm>
                      <a:off x="0" y="0"/>
                      <a:ext cx="653669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045585" cy="8890"/>
            <wp:wrapNone/>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605">
                      <a:extLst>
                        <a:ext uri="{28A0092B-C50C-407E-A947-70E740481C1C}"/>
                      </a:extLst>
                    </a:blip>
                    <a:srcRect/>
                    <a:stretch>
                      <a:fillRect/>
                    </a:stretch>
                  </pic:blipFill>
                  <pic:spPr bwMode="auto">
                    <a:xfrm>
                      <a:off x="0" y="0"/>
                      <a:ext cx="4045585" cy="8890"/>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10.32†</w:t>
      </w:r>
      <w:r>
        <w:rPr>
          <w:sz w:val="20"/>
          <w:szCs w:val="20"/>
          <w:color w:val="auto"/>
        </w:rPr>
        <w:tab/>
      </w:r>
      <w:hyperlink r:id="rId566">
        <w:r>
          <w:rPr>
            <w:rFonts w:ascii="Times New Roman" w:cs="Times New Roman" w:eastAsia="Times New Roman" w:hAnsi="Times New Roman"/>
            <w:sz w:val="18"/>
            <w:szCs w:val="18"/>
            <w:u w:val="single" w:color="auto"/>
            <w:color w:val="0000FF"/>
          </w:rPr>
          <w:t>U.K. Form of RSU Agreement (2024) under the 2023 Plan (incorporated herein by reference to Exhibit 10.4 to the registrant’s Quarterly</w:t>
        </w:r>
      </w:hyperlink>
      <w:r>
        <w:rPr>
          <w:rFonts w:ascii="Times New Roman" w:cs="Times New Roman" w:eastAsia="Times New Roman" w:hAnsi="Times New Roman"/>
          <w:sz w:val="18"/>
          <w:szCs w:val="18"/>
          <w:u w:val="single" w:color="auto"/>
          <w:color w:val="0000FF"/>
        </w:rPr>
        <w:t xml:space="preserve"> </w:t>
      </w:r>
      <w:hyperlink r:id="rId566">
        <w:r>
          <w:rPr>
            <w:rFonts w:ascii="Times New Roman" w:cs="Times New Roman" w:eastAsia="Times New Roman" w:hAnsi="Times New Roman"/>
            <w:sz w:val="18"/>
            <w:szCs w:val="18"/>
            <w:u w:val="single" w:color="auto"/>
            <w:color w:val="0000FF"/>
          </w:rPr>
          <w:t>Report on Form 10-Q for the fiscal quarter ended June 30, 2024 (File No. 000-024435)).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8595" cy="8890"/>
            <wp:wrapNone/>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606">
                      <a:extLst>
                        <a:ext uri="{28A0092B-C50C-407E-A947-70E740481C1C}"/>
                      </a:extLst>
                    </a:blip>
                    <a:srcRect/>
                    <a:stretch>
                      <a:fillRect/>
                    </a:stretch>
                  </pic:blipFill>
                  <pic:spPr bwMode="auto">
                    <a:xfrm>
                      <a:off x="0" y="0"/>
                      <a:ext cx="6538595"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045585" cy="8255"/>
            <wp:wrapNone/>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607">
                      <a:extLst>
                        <a:ext uri="{28A0092B-C50C-407E-A947-70E740481C1C}"/>
                      </a:extLst>
                    </a:blip>
                    <a:srcRect/>
                    <a:stretch>
                      <a:fillRect/>
                    </a:stretch>
                  </pic:blipFill>
                  <pic:spPr bwMode="auto">
                    <a:xfrm>
                      <a:off x="0" y="0"/>
                      <a:ext cx="4045585"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10.33†</w:t>
      </w:r>
      <w:r>
        <w:rPr>
          <w:sz w:val="20"/>
          <w:szCs w:val="20"/>
          <w:color w:val="auto"/>
        </w:rPr>
        <w:tab/>
      </w:r>
      <w:hyperlink r:id="rId608">
        <w:r>
          <w:rPr>
            <w:rFonts w:ascii="Times New Roman" w:cs="Times New Roman" w:eastAsia="Times New Roman" w:hAnsi="Times New Roman"/>
            <w:sz w:val="18"/>
            <w:szCs w:val="18"/>
            <w:u w:val="single" w:color="auto"/>
            <w:color w:val="0000FF"/>
          </w:rPr>
          <w:t>Canada Form of RSU Agreement (2024) under the 2023 Plan (incorporated herein by reference to Exhibit 10.5 to the registrant’s Quarterly</w:t>
        </w:r>
      </w:hyperlink>
      <w:r>
        <w:rPr>
          <w:rFonts w:ascii="Times New Roman" w:cs="Times New Roman" w:eastAsia="Times New Roman" w:hAnsi="Times New Roman"/>
          <w:sz w:val="18"/>
          <w:szCs w:val="18"/>
          <w:u w:val="single" w:color="auto"/>
          <w:color w:val="0000FF"/>
        </w:rPr>
        <w:t xml:space="preserve"> </w:t>
      </w:r>
      <w:hyperlink r:id="rId608">
        <w:r>
          <w:rPr>
            <w:rFonts w:ascii="Times New Roman" w:cs="Times New Roman" w:eastAsia="Times New Roman" w:hAnsi="Times New Roman"/>
            <w:sz w:val="18"/>
            <w:szCs w:val="18"/>
            <w:u w:val="single" w:color="auto"/>
            <w:color w:val="0000FF"/>
          </w:rPr>
          <w:t>Report on Form 10-Q for the fiscal quarter ended June 30, 2024 (File No. 000-024435)).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9230" cy="8255"/>
            <wp:wrapNone/>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609">
                      <a:extLst>
                        <a:ext uri="{28A0092B-C50C-407E-A947-70E740481C1C}"/>
                      </a:extLst>
                    </a:blip>
                    <a:srcRect/>
                    <a:stretch>
                      <a:fillRect/>
                    </a:stretch>
                  </pic:blipFill>
                  <pic:spPr bwMode="auto">
                    <a:xfrm>
                      <a:off x="0" y="0"/>
                      <a:ext cx="653923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045585" cy="8890"/>
            <wp:wrapNone/>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610">
                      <a:extLst>
                        <a:ext uri="{28A0092B-C50C-407E-A947-70E740481C1C}"/>
                      </a:extLst>
                    </a:blip>
                    <a:srcRect/>
                    <a:stretch>
                      <a:fillRect/>
                    </a:stretch>
                  </pic:blipFill>
                  <pic:spPr bwMode="auto">
                    <a:xfrm>
                      <a:off x="0" y="0"/>
                      <a:ext cx="4045585" cy="8890"/>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10.34†</w:t>
      </w:r>
      <w:r>
        <w:rPr>
          <w:sz w:val="20"/>
          <w:szCs w:val="20"/>
          <w:color w:val="auto"/>
        </w:rPr>
        <w:tab/>
      </w:r>
      <w:hyperlink r:id="rId611">
        <w:r>
          <w:rPr>
            <w:rFonts w:ascii="Times New Roman" w:cs="Times New Roman" w:eastAsia="Times New Roman" w:hAnsi="Times New Roman"/>
            <w:sz w:val="18"/>
            <w:szCs w:val="18"/>
            <w:u w:val="single" w:color="auto"/>
            <w:color w:val="0000FF"/>
          </w:rPr>
          <w:t>International Form of RSU Agreement (2024) under the 2023 Plan (incorporated herein by reference to Exhibit 10.6 to the registrant’s</w:t>
        </w:r>
      </w:hyperlink>
      <w:r>
        <w:rPr>
          <w:rFonts w:ascii="Times New Roman" w:cs="Times New Roman" w:eastAsia="Times New Roman" w:hAnsi="Times New Roman"/>
          <w:sz w:val="18"/>
          <w:szCs w:val="18"/>
          <w:u w:val="single" w:color="auto"/>
          <w:color w:val="0000FF"/>
        </w:rPr>
        <w:t xml:space="preserve"> </w:t>
      </w:r>
      <w:hyperlink r:id="rId611">
        <w:r>
          <w:rPr>
            <w:rFonts w:ascii="Times New Roman" w:cs="Times New Roman" w:eastAsia="Times New Roman" w:hAnsi="Times New Roman"/>
            <w:sz w:val="18"/>
            <w:szCs w:val="18"/>
            <w:u w:val="single" w:color="auto"/>
            <w:color w:val="0000FF"/>
          </w:rPr>
          <w:t>Quarterly Report on Form 10-Q for the fiscal quarter ended June 30, 2024 (File No. 000-024435)).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6690" cy="8890"/>
            <wp:wrapNone/>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612">
                      <a:extLst>
                        <a:ext uri="{28A0092B-C50C-407E-A947-70E740481C1C}"/>
                      </a:extLst>
                    </a:blip>
                    <a:srcRect/>
                    <a:stretch>
                      <a:fillRect/>
                    </a:stretch>
                  </pic:blipFill>
                  <pic:spPr bwMode="auto">
                    <a:xfrm>
                      <a:off x="0" y="0"/>
                      <a:ext cx="653669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511675" cy="8255"/>
            <wp:wrapNone/>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613">
                      <a:extLst>
                        <a:ext uri="{28A0092B-C50C-407E-A947-70E740481C1C}"/>
                      </a:extLst>
                    </a:blip>
                    <a:srcRect/>
                    <a:stretch>
                      <a:fillRect/>
                    </a:stretch>
                  </pic:blipFill>
                  <pic:spPr bwMode="auto">
                    <a:xfrm>
                      <a:off x="0" y="0"/>
                      <a:ext cx="4511675"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10.35†</w:t>
      </w:r>
      <w:r>
        <w:rPr>
          <w:sz w:val="20"/>
          <w:szCs w:val="20"/>
          <w:color w:val="auto"/>
        </w:rPr>
        <w:tab/>
      </w:r>
      <w:hyperlink r:id="rId614">
        <w:r>
          <w:rPr>
            <w:rFonts w:ascii="Times New Roman" w:cs="Times New Roman" w:eastAsia="Times New Roman" w:hAnsi="Times New Roman"/>
            <w:sz w:val="18"/>
            <w:szCs w:val="18"/>
            <w:u w:val="single" w:color="auto"/>
            <w:color w:val="0000FF"/>
          </w:rPr>
          <w:t>U.S. Form of PSU Agreement (2024) under the 2023 Plan (incorporated herein by reference to Exhibit 10.7 to the registrant’s Quarterly</w:t>
        </w:r>
      </w:hyperlink>
      <w:r>
        <w:rPr>
          <w:rFonts w:ascii="Times New Roman" w:cs="Times New Roman" w:eastAsia="Times New Roman" w:hAnsi="Times New Roman"/>
          <w:sz w:val="18"/>
          <w:szCs w:val="18"/>
          <w:u w:val="single" w:color="auto"/>
          <w:color w:val="0000FF"/>
        </w:rPr>
        <w:t xml:space="preserve"> </w:t>
      </w:r>
      <w:hyperlink r:id="rId614">
        <w:r>
          <w:rPr>
            <w:rFonts w:ascii="Times New Roman" w:cs="Times New Roman" w:eastAsia="Times New Roman" w:hAnsi="Times New Roman"/>
            <w:sz w:val="18"/>
            <w:szCs w:val="18"/>
            <w:u w:val="single" w:color="auto"/>
            <w:color w:val="0000FF"/>
          </w:rPr>
          <w:t>Report on Form 10-Q for the fiscal quarter ended June 30, 2024 (File No. 000-024435)).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2880" cy="8255"/>
            <wp:wrapNone/>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615">
                      <a:extLst>
                        <a:ext uri="{28A0092B-C50C-407E-A947-70E740481C1C}"/>
                      </a:extLst>
                    </a:blip>
                    <a:srcRect/>
                    <a:stretch>
                      <a:fillRect/>
                    </a:stretch>
                  </pic:blipFill>
                  <pic:spPr bwMode="auto">
                    <a:xfrm>
                      <a:off x="0" y="0"/>
                      <a:ext cx="653288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4045585" cy="8255"/>
            <wp:wrapNone/>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616">
                      <a:extLst>
                        <a:ext uri="{28A0092B-C50C-407E-A947-70E740481C1C}"/>
                      </a:extLst>
                    </a:blip>
                    <a:srcRect/>
                    <a:stretch>
                      <a:fillRect/>
                    </a:stretch>
                  </pic:blipFill>
                  <pic:spPr bwMode="auto">
                    <a:xfrm>
                      <a:off x="0" y="0"/>
                      <a:ext cx="4045585"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61"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10.36†</w:t>
      </w:r>
      <w:r>
        <w:rPr>
          <w:sz w:val="20"/>
          <w:szCs w:val="20"/>
          <w:color w:val="auto"/>
        </w:rPr>
        <w:tab/>
      </w:r>
      <w:hyperlink r:id="rId617">
        <w:r>
          <w:rPr>
            <w:rFonts w:ascii="Times New Roman" w:cs="Times New Roman" w:eastAsia="Times New Roman" w:hAnsi="Times New Roman"/>
            <w:sz w:val="18"/>
            <w:szCs w:val="18"/>
            <w:u w:val="single" w:color="auto"/>
            <w:color w:val="0000FF"/>
          </w:rPr>
          <w:t>Amendments made to certain outstanding RSU and PSU Agreements under the 2013 Plan and the 2023 Plan, the forms of which agreements</w:t>
        </w:r>
      </w:hyperlink>
      <w:r>
        <w:rPr>
          <w:rFonts w:ascii="Times New Roman" w:cs="Times New Roman" w:eastAsia="Times New Roman" w:hAnsi="Times New Roman"/>
          <w:sz w:val="18"/>
          <w:szCs w:val="18"/>
          <w:u w:val="single" w:color="auto"/>
          <w:color w:val="0000FF"/>
        </w:rPr>
        <w:t xml:space="preserve"> </w:t>
      </w:r>
      <w:hyperlink r:id="rId617">
        <w:r>
          <w:rPr>
            <w:rFonts w:ascii="Times New Roman" w:cs="Times New Roman" w:eastAsia="Times New Roman" w:hAnsi="Times New Roman"/>
            <w:sz w:val="18"/>
            <w:szCs w:val="18"/>
            <w:u w:val="single" w:color="auto"/>
            <w:color w:val="0000FF"/>
          </w:rPr>
          <w:t>were filed or incorporated by reference as Exhibits 10.9, 10.10, 10.11, 10.12, 10.13, 10.17, 10.19, 10.22, 10.24, and 10.28 to the registrant’s</w:t>
        </w:r>
      </w:hyperlink>
      <w:r>
        <w:rPr>
          <w:rFonts w:ascii="Times New Roman" w:cs="Times New Roman" w:eastAsia="Times New Roman" w:hAnsi="Times New Roman"/>
          <w:sz w:val="18"/>
          <w:szCs w:val="18"/>
          <w:u w:val="single" w:color="auto"/>
          <w:color w:val="0000FF"/>
        </w:rPr>
        <w:t xml:space="preserve"> </w:t>
      </w:r>
      <w:hyperlink r:id="rId617">
        <w:r>
          <w:rPr>
            <w:rFonts w:ascii="Times New Roman" w:cs="Times New Roman" w:eastAsia="Times New Roman" w:hAnsi="Times New Roman"/>
            <w:sz w:val="18"/>
            <w:szCs w:val="18"/>
            <w:u w:val="single" w:color="auto"/>
            <w:color w:val="0000FF"/>
          </w:rPr>
          <w:t>Annual Report on Form 10-K filed with the SEC on February 15, 2024 (incorporated herein by reference to Exhibit 10.2 to the registrant’s</w:t>
        </w:r>
      </w:hyperlink>
      <w:r>
        <w:rPr>
          <w:rFonts w:ascii="Times New Roman" w:cs="Times New Roman" w:eastAsia="Times New Roman" w:hAnsi="Times New Roman"/>
          <w:sz w:val="18"/>
          <w:szCs w:val="18"/>
          <w:u w:val="single" w:color="auto"/>
          <w:color w:val="0000FF"/>
        </w:rPr>
        <w:t xml:space="preserve"> </w:t>
      </w:r>
      <w:hyperlink r:id="rId617">
        <w:r>
          <w:rPr>
            <w:rFonts w:ascii="Times New Roman" w:cs="Times New Roman" w:eastAsia="Times New Roman" w:hAnsi="Times New Roman"/>
            <w:sz w:val="18"/>
            <w:szCs w:val="18"/>
            <w:u w:val="single" w:color="auto"/>
            <w:color w:val="0000FF"/>
          </w:rPr>
          <w:t>Quarterly Report on Form 10-Q for the fiscal quarter ended June 30 2024 (File No. 000-024435)).</w:t>
        </w:r>
      </w:hyperlink>
    </w:p>
    <w:p>
      <w:pPr>
        <w:spacing w:after="0" w:line="20" w:lineRule="exact"/>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u w:val="single" w:color="auto"/>
          <w:color w:val="0000FF"/>
        </w:rPr>
        <w:drawing>
          <wp:anchor simplePos="0" relativeHeight="251657728" behindDoc="1" locked="0" layoutInCell="0" allowOverlap="1">
            <wp:simplePos x="0" y="0"/>
            <wp:positionH relativeFrom="column">
              <wp:posOffset>575310</wp:posOffset>
            </wp:positionH>
            <wp:positionV relativeFrom="paragraph">
              <wp:posOffset>-448310</wp:posOffset>
            </wp:positionV>
            <wp:extent cx="6537960" cy="8255"/>
            <wp:wrapNone/>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618">
                      <a:extLst>
                        <a:ext uri="{28A0092B-C50C-407E-A947-70E740481C1C}"/>
                      </a:extLst>
                    </a:blip>
                    <a:srcRect/>
                    <a:stretch>
                      <a:fillRect/>
                    </a:stretch>
                  </pic:blipFill>
                  <pic:spPr bwMode="auto">
                    <a:xfrm>
                      <a:off x="0" y="0"/>
                      <a:ext cx="653796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-311150</wp:posOffset>
            </wp:positionV>
            <wp:extent cx="6534150" cy="8890"/>
            <wp:wrapNone/>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619">
                      <a:extLst>
                        <a:ext uri="{28A0092B-C50C-407E-A947-70E740481C1C}"/>
                      </a:extLst>
                    </a:blip>
                    <a:srcRect/>
                    <a:stretch>
                      <a:fillRect/>
                    </a:stretch>
                  </pic:blipFill>
                  <pic:spPr bwMode="auto">
                    <a:xfrm>
                      <a:off x="0" y="0"/>
                      <a:ext cx="653415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-173990</wp:posOffset>
            </wp:positionV>
            <wp:extent cx="6536690" cy="8255"/>
            <wp:wrapNone/>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620">
                      <a:extLst>
                        <a:ext uri="{28A0092B-C50C-407E-A947-70E740481C1C}"/>
                      </a:extLst>
                    </a:blip>
                    <a:srcRect/>
                    <a:stretch>
                      <a:fillRect/>
                    </a:stretch>
                  </pic:blipFill>
                  <pic:spPr bwMode="auto">
                    <a:xfrm>
                      <a:off x="0" y="0"/>
                      <a:ext cx="653669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-36830</wp:posOffset>
            </wp:positionV>
            <wp:extent cx="4483100" cy="8255"/>
            <wp:wrapNone/>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621">
                      <a:extLst>
                        <a:ext uri="{28A0092B-C50C-407E-A947-70E740481C1C}"/>
                      </a:extLst>
                    </a:blip>
                    <a:srcRect/>
                    <a:stretch>
                      <a:fillRect/>
                    </a:stretch>
                  </pic:blipFill>
                  <pic:spPr bwMode="auto">
                    <a:xfrm>
                      <a:off x="0" y="0"/>
                      <a:ext cx="4483100" cy="8255"/>
                    </a:xfrm>
                    <a:prstGeom prst="rect">
                      <a:avLst/>
                    </a:prstGeom>
                    <a:noFill/>
                  </pic:spPr>
                </pic:pic>
              </a:graphicData>
            </a:graphic>
          </wp:anchor>
        </w:drawing>
      </w:r>
    </w:p>
    <w:p>
      <w:pPr>
        <w:spacing w:after="0" w:line="65" w:lineRule="exact"/>
        <w:rPr>
          <w:rFonts w:ascii="Times New Roman" w:cs="Times New Roman" w:eastAsia="Times New Roman" w:hAnsi="Times New Roman"/>
          <w:sz w:val="18"/>
          <w:szCs w:val="18"/>
          <w:u w:val="single" w:color="auto"/>
          <w:color w:val="0000FF"/>
        </w:rPr>
      </w:pPr>
    </w:p>
    <w:p>
      <w:pPr>
        <w:spacing w:after="0"/>
        <w:tabs>
          <w:tab w:leader="none" w:pos="880" w:val="left"/>
        </w:tabs>
        <w:rPr>
          <w:sz w:val="20"/>
          <w:szCs w:val="20"/>
          <w:color w:val="auto"/>
        </w:rPr>
      </w:pPr>
      <w:r>
        <w:rPr>
          <w:rFonts w:ascii="Times New Roman" w:cs="Times New Roman" w:eastAsia="Times New Roman" w:hAnsi="Times New Roman"/>
          <w:sz w:val="18"/>
          <w:szCs w:val="18"/>
          <w:color w:val="auto"/>
        </w:rPr>
        <w:t>10.37†</w:t>
      </w:r>
      <w:r>
        <w:rPr>
          <w:sz w:val="20"/>
          <w:szCs w:val="20"/>
          <w:color w:val="auto"/>
        </w:rPr>
        <w:tab/>
      </w:r>
      <w:r>
        <w:rPr>
          <w:rFonts w:ascii="Times New Roman" w:cs="Times New Roman" w:eastAsia="Times New Roman" w:hAnsi="Times New Roman"/>
          <w:sz w:val="18"/>
          <w:szCs w:val="18"/>
          <w:u w:val="single" w:color="auto"/>
          <w:color w:val="0000FF"/>
        </w:rPr>
        <w:t>Summary of Perquisites and Associated Other Compensation Arrangements for Named Executive Officers.</w:t>
      </w:r>
    </w:p>
    <w:p>
      <w:pPr>
        <w:spacing w:after="0" w:line="20" w:lineRule="exact"/>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u w:val="single" w:color="auto"/>
          <w:color w:val="0000FF"/>
        </w:rPr>
        <w:drawing>
          <wp:anchor simplePos="0" relativeHeight="251657728" behindDoc="1" locked="0" layoutInCell="0" allowOverlap="1">
            <wp:simplePos x="0" y="0"/>
            <wp:positionH relativeFrom="column">
              <wp:posOffset>575310</wp:posOffset>
            </wp:positionH>
            <wp:positionV relativeFrom="paragraph">
              <wp:posOffset>-7620</wp:posOffset>
            </wp:positionV>
            <wp:extent cx="4968875" cy="8255"/>
            <wp:wrapNone/>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622">
                      <a:extLst>
                        <a:ext uri="{28A0092B-C50C-407E-A947-70E740481C1C}"/>
                      </a:extLst>
                    </a:blip>
                    <a:srcRect/>
                    <a:stretch>
                      <a:fillRect/>
                    </a:stretch>
                  </pic:blipFill>
                  <pic:spPr bwMode="auto">
                    <a:xfrm>
                      <a:off x="0" y="0"/>
                      <a:ext cx="4968875" cy="8255"/>
                    </a:xfrm>
                    <a:prstGeom prst="rect">
                      <a:avLst/>
                    </a:prstGeom>
                    <a:noFill/>
                  </pic:spPr>
                </pic:pic>
              </a:graphicData>
            </a:graphic>
          </wp:anchor>
        </w:drawing>
      </w:r>
    </w:p>
    <w:p>
      <w:pPr>
        <w:spacing w:after="0" w:line="111" w:lineRule="exact"/>
        <w:rPr>
          <w:rFonts w:ascii="Times New Roman" w:cs="Times New Roman" w:eastAsia="Times New Roman" w:hAnsi="Times New Roman"/>
          <w:sz w:val="18"/>
          <w:szCs w:val="18"/>
          <w:u w:val="single" w:color="auto"/>
          <w:color w:val="0000FF"/>
        </w:rPr>
      </w:pPr>
    </w:p>
    <w:p>
      <w:pPr>
        <w:spacing w:after="0"/>
        <w:tabs>
          <w:tab w:leader="none" w:pos="880" w:val="left"/>
        </w:tabs>
        <w:rPr>
          <w:sz w:val="20"/>
          <w:szCs w:val="20"/>
          <w:color w:val="auto"/>
        </w:rPr>
      </w:pPr>
      <w:r>
        <w:rPr>
          <w:rFonts w:ascii="Times New Roman" w:cs="Times New Roman" w:eastAsia="Times New Roman" w:hAnsi="Times New Roman"/>
          <w:sz w:val="18"/>
          <w:szCs w:val="18"/>
          <w:color w:val="auto"/>
        </w:rPr>
        <w:t>10.38†</w:t>
      </w:r>
      <w:r>
        <w:rPr>
          <w:sz w:val="20"/>
          <w:szCs w:val="20"/>
          <w:color w:val="auto"/>
        </w:rPr>
        <w:tab/>
      </w:r>
      <w:r>
        <w:rPr>
          <w:rFonts w:ascii="Times New Roman" w:cs="Times New Roman" w:eastAsia="Times New Roman" w:hAnsi="Times New Roman"/>
          <w:sz w:val="18"/>
          <w:szCs w:val="18"/>
          <w:u w:val="single" w:color="auto"/>
          <w:color w:val="0000FF"/>
        </w:rPr>
        <w:t>Summary of Director Fees, Equity Grants, Perquisites, and Associated Other Compensation Arrangements for Non-Employee Directors.</w:t>
      </w:r>
    </w:p>
    <w:p>
      <w:pPr>
        <w:spacing w:after="0" w:line="20" w:lineRule="exact"/>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u w:val="single" w:color="auto"/>
          <w:color w:val="0000FF"/>
        </w:rPr>
        <w:drawing>
          <wp:anchor simplePos="0" relativeHeight="251657728" behindDoc="1" locked="0" layoutInCell="0" allowOverlap="1">
            <wp:simplePos x="0" y="0"/>
            <wp:positionH relativeFrom="column">
              <wp:posOffset>575310</wp:posOffset>
            </wp:positionH>
            <wp:positionV relativeFrom="paragraph">
              <wp:posOffset>-7620</wp:posOffset>
            </wp:positionV>
            <wp:extent cx="6273165" cy="8255"/>
            <wp:wrapNone/>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623">
                      <a:extLst>
                        <a:ext uri="{28A0092B-C50C-407E-A947-70E740481C1C}"/>
                      </a:extLst>
                    </a:blip>
                    <a:srcRect/>
                    <a:stretch>
                      <a:fillRect/>
                    </a:stretch>
                  </pic:blipFill>
                  <pic:spPr bwMode="auto">
                    <a:xfrm>
                      <a:off x="0" y="0"/>
                      <a:ext cx="6273165" cy="8255"/>
                    </a:xfrm>
                    <a:prstGeom prst="rect">
                      <a:avLst/>
                    </a:prstGeom>
                    <a:noFill/>
                  </pic:spPr>
                </pic:pic>
              </a:graphicData>
            </a:graphic>
          </wp:anchor>
        </w:drawing>
      </w:r>
    </w:p>
    <w:p>
      <w:pPr>
        <w:spacing w:after="0" w:line="111" w:lineRule="exact"/>
        <w:rPr>
          <w:rFonts w:ascii="Times New Roman" w:cs="Times New Roman" w:eastAsia="Times New Roman" w:hAnsi="Times New Roman"/>
          <w:sz w:val="18"/>
          <w:szCs w:val="18"/>
          <w:u w:val="single" w:color="auto"/>
          <w:color w:val="0000FF"/>
        </w:rPr>
      </w:pPr>
    </w:p>
    <w:p>
      <w:pPr>
        <w:jc w:val="both"/>
        <w:ind w:left="900" w:hanging="904"/>
        <w:spacing w:after="0" w:line="266"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10.39†</w:t>
      </w:r>
      <w:r>
        <w:rPr>
          <w:sz w:val="20"/>
          <w:szCs w:val="20"/>
          <w:color w:val="auto"/>
        </w:rPr>
        <w:tab/>
      </w:r>
      <w:hyperlink r:id="rId624">
        <w:r>
          <w:rPr>
            <w:rFonts w:ascii="Times New Roman" w:cs="Times New Roman" w:eastAsia="Times New Roman" w:hAnsi="Times New Roman"/>
            <w:sz w:val="18"/>
            <w:szCs w:val="18"/>
            <w:u w:val="single" w:color="auto"/>
            <w:color w:val="0000FF"/>
          </w:rPr>
          <w:t>Sublease Agreement, dated as of January 31, 2011, by and between the Company and Aeromar Management Company, LLC (incorporated</w:t>
        </w:r>
      </w:hyperlink>
      <w:r>
        <w:rPr>
          <w:rFonts w:ascii="Times New Roman" w:cs="Times New Roman" w:eastAsia="Times New Roman" w:hAnsi="Times New Roman"/>
          <w:sz w:val="18"/>
          <w:szCs w:val="18"/>
          <w:u w:val="single" w:color="auto"/>
          <w:color w:val="0000FF"/>
        </w:rPr>
        <w:t xml:space="preserve"> </w:t>
      </w:r>
      <w:hyperlink r:id="rId624">
        <w:r>
          <w:rPr>
            <w:rFonts w:ascii="Times New Roman" w:cs="Times New Roman" w:eastAsia="Times New Roman" w:hAnsi="Times New Roman"/>
            <w:sz w:val="18"/>
            <w:szCs w:val="18"/>
            <w:u w:val="single" w:color="auto"/>
            <w:color w:val="0000FF"/>
          </w:rPr>
          <w:t>herein by reference to Exhibit 10.14 to the registrant’s Annual Report on Form 10-K for the fiscal year ended December 31, 2010 (File No.</w:t>
        </w:r>
      </w:hyperlink>
      <w:r>
        <w:rPr>
          <w:rFonts w:ascii="Times New Roman" w:cs="Times New Roman" w:eastAsia="Times New Roman" w:hAnsi="Times New Roman"/>
          <w:sz w:val="18"/>
          <w:szCs w:val="18"/>
          <w:u w:val="single" w:color="auto"/>
          <w:color w:val="0000FF"/>
        </w:rPr>
        <w:t xml:space="preserve"> </w:t>
      </w:r>
      <w:hyperlink r:id="rId624">
        <w:r>
          <w:rPr>
            <w:rFonts w:ascii="Times New Roman" w:cs="Times New Roman" w:eastAsia="Times New Roman" w:hAnsi="Times New Roman"/>
            <w:sz w:val="18"/>
            <w:szCs w:val="18"/>
            <w:u w:val="single" w:color="auto"/>
            <w:color w:val="0000FF"/>
          </w:rPr>
          <w:t>000-24435)).</w:t>
        </w:r>
      </w:hyperlink>
    </w:p>
    <w:p>
      <w:pPr>
        <w:spacing w:after="0" w:line="20" w:lineRule="exact"/>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u w:val="single" w:color="auto"/>
          <w:color w:val="0000FF"/>
        </w:rPr>
        <w:drawing>
          <wp:anchor simplePos="0" relativeHeight="251657728" behindDoc="1" locked="0" layoutInCell="0" allowOverlap="1">
            <wp:simplePos x="0" y="0"/>
            <wp:positionH relativeFrom="column">
              <wp:posOffset>575310</wp:posOffset>
            </wp:positionH>
            <wp:positionV relativeFrom="paragraph">
              <wp:posOffset>-313055</wp:posOffset>
            </wp:positionV>
            <wp:extent cx="6536055" cy="8255"/>
            <wp:wrapNone/>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625">
                      <a:extLst>
                        <a:ext uri="{28A0092B-C50C-407E-A947-70E740481C1C}"/>
                      </a:extLst>
                    </a:blip>
                    <a:srcRect/>
                    <a:stretch>
                      <a:fillRect/>
                    </a:stretch>
                  </pic:blipFill>
                  <pic:spPr bwMode="auto">
                    <a:xfrm>
                      <a:off x="0" y="0"/>
                      <a:ext cx="6536055"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-175895</wp:posOffset>
            </wp:positionV>
            <wp:extent cx="6536055" cy="8890"/>
            <wp:wrapNone/>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626">
                      <a:extLst>
                        <a:ext uri="{28A0092B-C50C-407E-A947-70E740481C1C}"/>
                      </a:extLst>
                    </a:blip>
                    <a:srcRect/>
                    <a:stretch>
                      <a:fillRect/>
                    </a:stretch>
                  </pic:blipFill>
                  <pic:spPr bwMode="auto">
                    <a:xfrm>
                      <a:off x="0" y="0"/>
                      <a:ext cx="6536055"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-38735</wp:posOffset>
            </wp:positionV>
            <wp:extent cx="599440" cy="8890"/>
            <wp:wrapNone/>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627">
                      <a:extLst>
                        <a:ext uri="{28A0092B-C50C-407E-A947-70E740481C1C}"/>
                      </a:extLst>
                    </a:blip>
                    <a:srcRect/>
                    <a:stretch>
                      <a:fillRect/>
                    </a:stretch>
                  </pic:blipFill>
                  <pic:spPr bwMode="auto">
                    <a:xfrm>
                      <a:off x="0" y="0"/>
                      <a:ext cx="599440" cy="8890"/>
                    </a:xfrm>
                    <a:prstGeom prst="rect">
                      <a:avLst/>
                    </a:prstGeom>
                    <a:noFill/>
                  </pic:spPr>
                </pic:pic>
              </a:graphicData>
            </a:graphic>
          </wp:anchor>
        </w:drawing>
      </w:r>
    </w:p>
    <w:p>
      <w:pPr>
        <w:spacing w:after="0" w:line="61" w:lineRule="exact"/>
        <w:rPr>
          <w:rFonts w:ascii="Times New Roman" w:cs="Times New Roman" w:eastAsia="Times New Roman" w:hAnsi="Times New Roman"/>
          <w:sz w:val="18"/>
          <w:szCs w:val="18"/>
          <w:u w:val="single" w:color="auto"/>
          <w:color w:val="0000FF"/>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10.40†</w:t>
      </w:r>
      <w:r>
        <w:rPr>
          <w:sz w:val="20"/>
          <w:szCs w:val="20"/>
          <w:color w:val="auto"/>
        </w:rPr>
        <w:tab/>
      </w:r>
      <w:hyperlink r:id="rId628">
        <w:r>
          <w:rPr>
            <w:rFonts w:ascii="Times New Roman" w:cs="Times New Roman" w:eastAsia="Times New Roman" w:hAnsi="Times New Roman"/>
            <w:sz w:val="18"/>
            <w:szCs w:val="18"/>
            <w:u w:val="single" w:color="auto"/>
            <w:color w:val="0000FF"/>
          </w:rPr>
          <w:t>Summary of Designated Company Vehicles Policy (incorporated herein by reference to Exhibit 10.1 to the registrant’s Quarterly Report on</w:t>
        </w:r>
      </w:hyperlink>
      <w:r>
        <w:rPr>
          <w:rFonts w:ascii="Times New Roman" w:cs="Times New Roman" w:eastAsia="Times New Roman" w:hAnsi="Times New Roman"/>
          <w:sz w:val="18"/>
          <w:szCs w:val="18"/>
          <w:u w:val="single" w:color="auto"/>
          <w:color w:val="0000FF"/>
        </w:rPr>
        <w:t xml:space="preserve"> </w:t>
      </w:r>
      <w:hyperlink r:id="rId628">
        <w:r>
          <w:rPr>
            <w:rFonts w:ascii="Times New Roman" w:cs="Times New Roman" w:eastAsia="Times New Roman" w:hAnsi="Times New Roman"/>
            <w:sz w:val="18"/>
            <w:szCs w:val="18"/>
            <w:u w:val="single" w:color="auto"/>
            <w:color w:val="0000FF"/>
          </w:rPr>
          <w:t>Form 10-Q for the fiscal quarter ended June 30, 2007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7325" cy="8890"/>
            <wp:wrapNone/>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629">
                      <a:extLst>
                        <a:ext uri="{28A0092B-C50C-407E-A947-70E740481C1C}"/>
                      </a:extLst>
                    </a:blip>
                    <a:srcRect/>
                    <a:stretch>
                      <a:fillRect/>
                    </a:stretch>
                  </pic:blipFill>
                  <pic:spPr bwMode="auto">
                    <a:xfrm>
                      <a:off x="0" y="0"/>
                      <a:ext cx="6537325"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3505835" cy="8255"/>
            <wp:wrapNone/>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630">
                      <a:extLst>
                        <a:ext uri="{28A0092B-C50C-407E-A947-70E740481C1C}"/>
                      </a:extLst>
                    </a:blip>
                    <a:srcRect/>
                    <a:stretch>
                      <a:fillRect/>
                    </a:stretch>
                  </pic:blipFill>
                  <pic:spPr bwMode="auto">
                    <a:xfrm>
                      <a:off x="0" y="0"/>
                      <a:ext cx="3505835"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10.41†</w:t>
      </w:r>
      <w:r>
        <w:rPr>
          <w:sz w:val="20"/>
          <w:szCs w:val="20"/>
          <w:color w:val="auto"/>
        </w:rPr>
        <w:tab/>
      </w:r>
      <w:hyperlink r:id="rId631">
        <w:r>
          <w:rPr>
            <w:rFonts w:ascii="Times New Roman" w:cs="Times New Roman" w:eastAsia="Times New Roman" w:hAnsi="Times New Roman"/>
            <w:sz w:val="18"/>
            <w:szCs w:val="18"/>
            <w:u w:val="single" w:color="auto"/>
            <w:color w:val="0000FF"/>
          </w:rPr>
          <w:t>Summary of Cash Bonus and Salary Determinations for Certain Executive Officers (incorporated herein by reference to Item 9B to the</w:t>
        </w:r>
      </w:hyperlink>
      <w:r>
        <w:rPr>
          <w:rFonts w:ascii="Times New Roman" w:cs="Times New Roman" w:eastAsia="Times New Roman" w:hAnsi="Times New Roman"/>
          <w:sz w:val="18"/>
          <w:szCs w:val="18"/>
          <w:u w:val="single" w:color="auto"/>
          <w:color w:val="0000FF"/>
        </w:rPr>
        <w:t xml:space="preserve"> </w:t>
      </w:r>
      <w:hyperlink r:id="rId631">
        <w:r>
          <w:rPr>
            <w:rFonts w:ascii="Times New Roman" w:cs="Times New Roman" w:eastAsia="Times New Roman" w:hAnsi="Times New Roman"/>
            <w:sz w:val="18"/>
            <w:szCs w:val="18"/>
            <w:u w:val="single" w:color="auto"/>
            <w:color w:val="0000FF"/>
          </w:rPr>
          <w:t>registrant’s Annual Report on Form 10-K for the fiscal year ended December 31,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32880" cy="8255"/>
            <wp:wrapNone/>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632">
                      <a:extLst>
                        <a:ext uri="{28A0092B-C50C-407E-A947-70E740481C1C}"/>
                      </a:extLst>
                    </a:blip>
                    <a:srcRect/>
                    <a:stretch>
                      <a:fillRect/>
                    </a:stretch>
                  </pic:blipFill>
                  <pic:spPr bwMode="auto">
                    <a:xfrm>
                      <a:off x="0" y="0"/>
                      <a:ext cx="6532880" cy="8255"/>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5029200" cy="8255"/>
            <wp:wrapNone/>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633">
                      <a:extLst>
                        <a:ext uri="{28A0092B-C50C-407E-A947-70E740481C1C}"/>
                      </a:extLst>
                    </a:blip>
                    <a:srcRect/>
                    <a:stretch>
                      <a:fillRect/>
                    </a:stretch>
                  </pic:blipFill>
                  <pic:spPr bwMode="auto">
                    <a:xfrm>
                      <a:off x="0" y="0"/>
                      <a:ext cx="5029200" cy="8255"/>
                    </a:xfrm>
                    <a:prstGeom prst="rect">
                      <a:avLst/>
                    </a:prstGeom>
                    <a:noFill/>
                  </pic:spPr>
                </pic:pic>
              </a:graphicData>
            </a:graphic>
          </wp:anchor>
        </w:drawing>
      </w:r>
    </w:p>
    <w:p>
      <w:pPr>
        <w:spacing w:after="0" w:line="47" w:lineRule="exact"/>
        <w:rPr>
          <w:sz w:val="20"/>
          <w:szCs w:val="20"/>
          <w:color w:val="auto"/>
        </w:rPr>
      </w:pPr>
    </w:p>
    <w:p>
      <w:pPr>
        <w:jc w:val="both"/>
        <w:ind w:left="900" w:hanging="904"/>
        <w:spacing w:after="0" w:line="282" w:lineRule="auto"/>
        <w:tabs>
          <w:tab w:leader="none" w:pos="880"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10.42†</w:t>
      </w:r>
      <w:r>
        <w:rPr>
          <w:sz w:val="20"/>
          <w:szCs w:val="20"/>
          <w:color w:val="auto"/>
        </w:rPr>
        <w:tab/>
      </w:r>
      <w:hyperlink r:id="rId634">
        <w:r>
          <w:rPr>
            <w:rFonts w:ascii="Times New Roman" w:cs="Times New Roman" w:eastAsia="Times New Roman" w:hAnsi="Times New Roman"/>
            <w:sz w:val="18"/>
            <w:szCs w:val="18"/>
            <w:u w:val="single" w:color="auto"/>
            <w:color w:val="0000FF"/>
          </w:rPr>
          <w:t>Summary of Certain Provisions of CFO Offer Letter (incorporated herein by reference to Exhibit 10.2 to the registrant’s Quarterly Report on</w:t>
        </w:r>
      </w:hyperlink>
      <w:r>
        <w:rPr>
          <w:rFonts w:ascii="Times New Roman" w:cs="Times New Roman" w:eastAsia="Times New Roman" w:hAnsi="Times New Roman"/>
          <w:sz w:val="18"/>
          <w:szCs w:val="18"/>
          <w:u w:val="single" w:color="auto"/>
          <w:color w:val="0000FF"/>
        </w:rPr>
        <w:t xml:space="preserve"> </w:t>
      </w:r>
      <w:hyperlink r:id="rId634">
        <w:r>
          <w:rPr>
            <w:rFonts w:ascii="Times New Roman" w:cs="Times New Roman" w:eastAsia="Times New Roman" w:hAnsi="Times New Roman"/>
            <w:sz w:val="18"/>
            <w:szCs w:val="18"/>
            <w:u w:val="single" w:color="auto"/>
            <w:color w:val="0000FF"/>
          </w:rPr>
          <w:t>Form 10-Q for the fiscal quarter ended March 31,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575310</wp:posOffset>
            </wp:positionH>
            <wp:positionV relativeFrom="paragraph">
              <wp:posOffset>-185420</wp:posOffset>
            </wp:positionV>
            <wp:extent cx="6540500" cy="8890"/>
            <wp:wrapNone/>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635">
                      <a:extLst>
                        <a:ext uri="{28A0092B-C50C-407E-A947-70E740481C1C}"/>
                      </a:extLst>
                    </a:blip>
                    <a:srcRect/>
                    <a:stretch>
                      <a:fillRect/>
                    </a:stretch>
                  </pic:blipFill>
                  <pic:spPr bwMode="auto">
                    <a:xfrm>
                      <a:off x="0" y="0"/>
                      <a:ext cx="6540500" cy="8890"/>
                    </a:xfrm>
                    <a:prstGeom prst="rect">
                      <a:avLst/>
                    </a:prstGeom>
                    <a:noFill/>
                  </pic:spPr>
                </pic:pic>
              </a:graphicData>
            </a:graphic>
          </wp:anchor>
        </w:drawing>
        <w:drawing>
          <wp:anchor simplePos="0" relativeHeight="251657728" behindDoc="1" locked="0" layoutInCell="0" allowOverlap="1">
            <wp:simplePos x="0" y="0"/>
            <wp:positionH relativeFrom="column">
              <wp:posOffset>575310</wp:posOffset>
            </wp:positionH>
            <wp:positionV relativeFrom="paragraph">
              <wp:posOffset>-48260</wp:posOffset>
            </wp:positionV>
            <wp:extent cx="3594735" cy="8890"/>
            <wp:wrapNone/>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636">
                      <a:extLst>
                        <a:ext uri="{28A0092B-C50C-407E-A947-70E740481C1C}"/>
                      </a:extLst>
                    </a:blip>
                    <a:srcRect/>
                    <a:stretch>
                      <a:fillRect/>
                    </a:stretch>
                  </pic:blipFill>
                  <pic:spPr bwMode="auto">
                    <a:xfrm>
                      <a:off x="0" y="0"/>
                      <a:ext cx="3594735" cy="8890"/>
                    </a:xfrm>
                    <a:prstGeom prst="rect">
                      <a:avLst/>
                    </a:prstGeom>
                    <a:noFill/>
                  </pic:spPr>
                </pic:pic>
              </a:graphicData>
            </a:graphic>
          </wp:anchor>
        </w:drawing>
      </w:r>
    </w:p>
    <w:p>
      <w:pPr>
        <w:spacing w:after="0" w:line="26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121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-19685</wp:posOffset>
            </wp:positionH>
            <wp:positionV relativeFrom="paragraph">
              <wp:posOffset>484505</wp:posOffset>
            </wp:positionV>
            <wp:extent cx="7157720" cy="42545"/>
            <wp:wrapNone/>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63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00"/>
          </w:cols>
          <w:pgMar w:left="340" w:top="1107" w:right="359" w:bottom="1440" w:gutter="0" w:footer="0" w:header="0"/>
        </w:sectPr>
      </w:pPr>
    </w:p>
    <w:bookmarkStart w:id="121" w:name="page122"/>
    <w:bookmarkEnd w:id="121"/>
    <w:p>
      <w:pPr>
        <w:jc w:val="both"/>
        <w:ind w:left="912" w:hanging="904"/>
        <w:spacing w:after="0" w:line="282" w:lineRule="auto"/>
        <w:tabs>
          <w:tab w:leader="none" w:pos="892"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10.43†</w:t>
      </w:r>
      <w:r>
        <w:rPr>
          <w:sz w:val="20"/>
          <w:szCs w:val="20"/>
          <w:color w:val="auto"/>
        </w:rPr>
        <w:tab/>
      </w:r>
      <w:hyperlink r:id="rId638">
        <w:r>
          <w:rPr>
            <w:rFonts w:ascii="Times New Roman" w:cs="Times New Roman" w:eastAsia="Times New Roman" w:hAnsi="Times New Roman"/>
            <w:sz w:val="18"/>
            <w:szCs w:val="18"/>
            <w:u w:val="single" w:color="auto"/>
            <w:color w:val="0000FF"/>
          </w:rPr>
          <w:t>MicroStrategy Incorporated 2021 Employee Stock Purchase Plan (incorporated herein by reference to Exhibit 99.1 to the registrant’s</w:t>
        </w:r>
      </w:hyperlink>
      <w:r>
        <w:rPr>
          <w:rFonts w:ascii="Times New Roman" w:cs="Times New Roman" w:eastAsia="Times New Roman" w:hAnsi="Times New Roman"/>
          <w:sz w:val="18"/>
          <w:szCs w:val="18"/>
          <w:u w:val="single" w:color="auto"/>
          <w:color w:val="0000FF"/>
        </w:rPr>
        <w:t xml:space="preserve"> </w:t>
      </w:r>
      <w:hyperlink r:id="rId638">
        <w:r>
          <w:rPr>
            <w:rFonts w:ascii="Times New Roman" w:cs="Times New Roman" w:eastAsia="Times New Roman" w:hAnsi="Times New Roman"/>
            <w:sz w:val="18"/>
            <w:szCs w:val="18"/>
            <w:u w:val="single" w:color="auto"/>
            <w:color w:val="0000FF"/>
          </w:rPr>
          <w:t>Registration Statement on Form S-8 filed with the SEC on February 1, 2021 (File No. 333-252608)).</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582930</wp:posOffset>
            </wp:positionH>
            <wp:positionV relativeFrom="paragraph">
              <wp:posOffset>-185420</wp:posOffset>
            </wp:positionV>
            <wp:extent cx="6538595" cy="8255"/>
            <wp:wrapNone/>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639">
                      <a:extLst>
                        <a:ext uri="{28A0092B-C50C-407E-A947-70E740481C1C}"/>
                      </a:extLst>
                    </a:blip>
                    <a:srcRect/>
                    <a:stretch>
                      <a:fillRect/>
                    </a:stretch>
                  </pic:blipFill>
                  <pic:spPr bwMode="auto">
                    <a:xfrm>
                      <a:off x="0" y="0"/>
                      <a:ext cx="6538595" cy="8255"/>
                    </a:xfrm>
                    <a:prstGeom prst="rect">
                      <a:avLst/>
                    </a:prstGeom>
                    <a:noFill/>
                  </pic:spPr>
                </pic:pic>
              </a:graphicData>
            </a:graphic>
          </wp:anchor>
        </w:drawing>
        <w:drawing>
          <wp:anchor simplePos="0" relativeHeight="251657728" behindDoc="1" locked="0" layoutInCell="0" allowOverlap="1">
            <wp:simplePos x="0" y="0"/>
            <wp:positionH relativeFrom="column">
              <wp:posOffset>582930</wp:posOffset>
            </wp:positionH>
            <wp:positionV relativeFrom="paragraph">
              <wp:posOffset>-48260</wp:posOffset>
            </wp:positionV>
            <wp:extent cx="4607560" cy="8890"/>
            <wp:wrapNone/>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640">
                      <a:extLst>
                        <a:ext uri="{28A0092B-C50C-407E-A947-70E740481C1C}"/>
                      </a:extLst>
                    </a:blip>
                    <a:srcRect/>
                    <a:stretch>
                      <a:fillRect/>
                    </a:stretch>
                  </pic:blipFill>
                  <pic:spPr bwMode="auto">
                    <a:xfrm>
                      <a:off x="0" y="0"/>
                      <a:ext cx="4607560" cy="8890"/>
                    </a:xfrm>
                    <a:prstGeom prst="rect">
                      <a:avLst/>
                    </a:prstGeom>
                    <a:noFill/>
                  </pic:spPr>
                </pic:pic>
              </a:graphicData>
            </a:graphic>
          </wp:anchor>
        </w:drawing>
      </w:r>
    </w:p>
    <w:p>
      <w:pPr>
        <w:spacing w:after="0" w:line="47" w:lineRule="exact"/>
        <w:rPr>
          <w:sz w:val="20"/>
          <w:szCs w:val="20"/>
          <w:color w:val="auto"/>
        </w:rPr>
      </w:pPr>
    </w:p>
    <w:p>
      <w:pPr>
        <w:jc w:val="both"/>
        <w:ind w:left="912" w:hanging="904"/>
        <w:spacing w:after="0" w:line="282" w:lineRule="auto"/>
        <w:tabs>
          <w:tab w:leader="none" w:pos="892"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10.44†*</w:t>
      </w:r>
      <w:r>
        <w:rPr>
          <w:sz w:val="20"/>
          <w:szCs w:val="20"/>
          <w:color w:val="auto"/>
        </w:rPr>
        <w:tab/>
      </w:r>
      <w:hyperlink r:id="rId641">
        <w:r>
          <w:rPr>
            <w:rFonts w:ascii="Times New Roman" w:cs="Times New Roman" w:eastAsia="Times New Roman" w:hAnsi="Times New Roman"/>
            <w:sz w:val="18"/>
            <w:szCs w:val="18"/>
            <w:u w:val="single" w:color="auto"/>
            <w:color w:val="0000FF"/>
          </w:rPr>
          <w:t>Indemnification Agreement, effective as of June 12, 2023, by and between the registrant and Michael J. Saylor (incorporated herein by</w:t>
        </w:r>
      </w:hyperlink>
      <w:r>
        <w:rPr>
          <w:rFonts w:ascii="Times New Roman" w:cs="Times New Roman" w:eastAsia="Times New Roman" w:hAnsi="Times New Roman"/>
          <w:sz w:val="18"/>
          <w:szCs w:val="18"/>
          <w:u w:val="single" w:color="auto"/>
          <w:color w:val="0000FF"/>
        </w:rPr>
        <w:t xml:space="preserve"> </w:t>
      </w:r>
      <w:hyperlink r:id="rId641">
        <w:r>
          <w:rPr>
            <w:rFonts w:ascii="Times New Roman" w:cs="Times New Roman" w:eastAsia="Times New Roman" w:hAnsi="Times New Roman"/>
            <w:sz w:val="18"/>
            <w:szCs w:val="18"/>
            <w:u w:val="single" w:color="auto"/>
            <w:color w:val="0000FF"/>
          </w:rPr>
          <w:t>reference to Exhibit 10.1 to the registrant’s Quarterly Report on Form 10-Q for the fiscal quarter ended June 30, 2023 (File No. 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582930</wp:posOffset>
            </wp:positionH>
            <wp:positionV relativeFrom="paragraph">
              <wp:posOffset>-185420</wp:posOffset>
            </wp:positionV>
            <wp:extent cx="6532880" cy="8890"/>
            <wp:wrapNone/>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642">
                      <a:extLst>
                        <a:ext uri="{28A0092B-C50C-407E-A947-70E740481C1C}"/>
                      </a:extLst>
                    </a:blip>
                    <a:srcRect/>
                    <a:stretch>
                      <a:fillRect/>
                    </a:stretch>
                  </pic:blipFill>
                  <pic:spPr bwMode="auto">
                    <a:xfrm>
                      <a:off x="0" y="0"/>
                      <a:ext cx="6532880" cy="8890"/>
                    </a:xfrm>
                    <a:prstGeom prst="rect">
                      <a:avLst/>
                    </a:prstGeom>
                    <a:noFill/>
                  </pic:spPr>
                </pic:pic>
              </a:graphicData>
            </a:graphic>
          </wp:anchor>
        </w:drawing>
        <w:drawing>
          <wp:anchor simplePos="0" relativeHeight="251657728" behindDoc="1" locked="0" layoutInCell="0" allowOverlap="1">
            <wp:simplePos x="0" y="0"/>
            <wp:positionH relativeFrom="column">
              <wp:posOffset>582930</wp:posOffset>
            </wp:positionH>
            <wp:positionV relativeFrom="paragraph">
              <wp:posOffset>-48260</wp:posOffset>
            </wp:positionV>
            <wp:extent cx="6475730" cy="8255"/>
            <wp:wrapNone/>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643">
                      <a:extLst>
                        <a:ext uri="{28A0092B-C50C-407E-A947-70E740481C1C}"/>
                      </a:extLst>
                    </a:blip>
                    <a:srcRect/>
                    <a:stretch>
                      <a:fillRect/>
                    </a:stretch>
                  </pic:blipFill>
                  <pic:spPr bwMode="auto">
                    <a:xfrm>
                      <a:off x="0" y="0"/>
                      <a:ext cx="6475730" cy="8255"/>
                    </a:xfrm>
                    <a:prstGeom prst="rect">
                      <a:avLst/>
                    </a:prstGeom>
                    <a:noFill/>
                  </pic:spPr>
                </pic:pic>
              </a:graphicData>
            </a:graphic>
          </wp:anchor>
        </w:drawing>
      </w:r>
    </w:p>
    <w:p>
      <w:pPr>
        <w:spacing w:after="0" w:line="47" w:lineRule="exact"/>
        <w:rPr>
          <w:sz w:val="20"/>
          <w:szCs w:val="20"/>
          <w:color w:val="auto"/>
        </w:rPr>
      </w:pPr>
    </w:p>
    <w:p>
      <w:pPr>
        <w:jc w:val="both"/>
        <w:ind w:left="912" w:hanging="904"/>
        <w:spacing w:after="0" w:line="282" w:lineRule="auto"/>
        <w:tabs>
          <w:tab w:leader="none" w:pos="892"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10.45†</w:t>
      </w:r>
      <w:r>
        <w:rPr>
          <w:sz w:val="20"/>
          <w:szCs w:val="20"/>
          <w:color w:val="auto"/>
        </w:rPr>
        <w:tab/>
      </w:r>
      <w:hyperlink r:id="rId644">
        <w:r>
          <w:rPr>
            <w:rFonts w:ascii="Times New Roman" w:cs="Times New Roman" w:eastAsia="Times New Roman" w:hAnsi="Times New Roman"/>
            <w:sz w:val="18"/>
            <w:szCs w:val="18"/>
            <w:u w:val="single" w:color="auto"/>
            <w:color w:val="0000FF"/>
          </w:rPr>
          <w:t>Allocation Agreement dated May 31, 2024 between MicroStrategy Incorporated and Michael J. Saylor (incorporated herein by reference to</w:t>
        </w:r>
      </w:hyperlink>
      <w:r>
        <w:rPr>
          <w:rFonts w:ascii="Times New Roman" w:cs="Times New Roman" w:eastAsia="Times New Roman" w:hAnsi="Times New Roman"/>
          <w:sz w:val="18"/>
          <w:szCs w:val="18"/>
          <w:u w:val="single" w:color="auto"/>
          <w:color w:val="0000FF"/>
        </w:rPr>
        <w:t xml:space="preserve"> </w:t>
      </w:r>
      <w:hyperlink r:id="rId644">
        <w:r>
          <w:rPr>
            <w:rFonts w:ascii="Times New Roman" w:cs="Times New Roman" w:eastAsia="Times New Roman" w:hAnsi="Times New Roman"/>
            <w:sz w:val="18"/>
            <w:szCs w:val="18"/>
            <w:u w:val="single" w:color="auto"/>
            <w:color w:val="0000FF"/>
          </w:rPr>
          <w:t>Exhibit 10.1 to the registrant’s Quarterly Report on Form 10-Q for the fiscal quarter ended June 30, 2024 (File No. 000-024435)).</w:t>
        </w:r>
      </w:hyperlink>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582930</wp:posOffset>
            </wp:positionH>
            <wp:positionV relativeFrom="paragraph">
              <wp:posOffset>-185420</wp:posOffset>
            </wp:positionV>
            <wp:extent cx="6538595" cy="8255"/>
            <wp:wrapNone/>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645">
                      <a:extLst>
                        <a:ext uri="{28A0092B-C50C-407E-A947-70E740481C1C}"/>
                      </a:extLst>
                    </a:blip>
                    <a:srcRect/>
                    <a:stretch>
                      <a:fillRect/>
                    </a:stretch>
                  </pic:blipFill>
                  <pic:spPr bwMode="auto">
                    <a:xfrm>
                      <a:off x="0" y="0"/>
                      <a:ext cx="6538595" cy="8255"/>
                    </a:xfrm>
                    <a:prstGeom prst="rect">
                      <a:avLst/>
                    </a:prstGeom>
                    <a:noFill/>
                  </pic:spPr>
                </pic:pic>
              </a:graphicData>
            </a:graphic>
          </wp:anchor>
        </w:drawing>
        <w:drawing>
          <wp:anchor simplePos="0" relativeHeight="251657728" behindDoc="1" locked="0" layoutInCell="0" allowOverlap="1">
            <wp:simplePos x="0" y="0"/>
            <wp:positionH relativeFrom="column">
              <wp:posOffset>582930</wp:posOffset>
            </wp:positionH>
            <wp:positionV relativeFrom="paragraph">
              <wp:posOffset>-48260</wp:posOffset>
            </wp:positionV>
            <wp:extent cx="5933440" cy="8255"/>
            <wp:wrapNone/>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646">
                      <a:extLst>
                        <a:ext uri="{28A0092B-C50C-407E-A947-70E740481C1C}"/>
                      </a:extLst>
                    </a:blip>
                    <a:srcRect/>
                    <a:stretch>
                      <a:fillRect/>
                    </a:stretch>
                  </pic:blipFill>
                  <pic:spPr bwMode="auto">
                    <a:xfrm>
                      <a:off x="0" y="0"/>
                      <a:ext cx="5933440" cy="8255"/>
                    </a:xfrm>
                    <a:prstGeom prst="rect">
                      <a:avLst/>
                    </a:prstGeom>
                    <a:noFill/>
                  </pic:spPr>
                </pic:pic>
              </a:graphicData>
            </a:graphic>
          </wp:anchor>
        </w:drawing>
      </w:r>
    </w:p>
    <w:p>
      <w:pPr>
        <w:spacing w:after="0" w:line="47" w:lineRule="exact"/>
        <w:rPr>
          <w:sz w:val="20"/>
          <w:szCs w:val="20"/>
          <w:color w:val="auto"/>
        </w:rPr>
      </w:pPr>
    </w:p>
    <w:p>
      <w:pPr>
        <w:jc w:val="both"/>
        <w:ind w:left="912" w:hanging="904"/>
        <w:spacing w:after="0" w:line="266" w:lineRule="auto"/>
        <w:tabs>
          <w:tab w:leader="none" w:pos="892"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10.46</w:t>
      </w:r>
      <w:r>
        <w:rPr>
          <w:sz w:val="20"/>
          <w:szCs w:val="20"/>
          <w:color w:val="auto"/>
        </w:rPr>
        <w:tab/>
      </w:r>
      <w:hyperlink r:id="rId647">
        <w:r>
          <w:rPr>
            <w:rFonts w:ascii="Times New Roman" w:cs="Times New Roman" w:eastAsia="Times New Roman" w:hAnsi="Times New Roman"/>
            <w:sz w:val="18"/>
            <w:szCs w:val="18"/>
            <w:u w:val="single" w:color="auto"/>
            <w:color w:val="0000FF"/>
          </w:rPr>
          <w:t>Sales Agreement, dated as of August 1, 2024, by and among MicroStrategy, TD Securities (USA) LLC, The Benchmark Company, LLC,</w:t>
        </w:r>
      </w:hyperlink>
      <w:r>
        <w:rPr>
          <w:rFonts w:ascii="Times New Roman" w:cs="Times New Roman" w:eastAsia="Times New Roman" w:hAnsi="Times New Roman"/>
          <w:sz w:val="18"/>
          <w:szCs w:val="18"/>
          <w:u w:val="single" w:color="auto"/>
          <w:color w:val="0000FF"/>
        </w:rPr>
        <w:t xml:space="preserve"> </w:t>
      </w:r>
      <w:hyperlink r:id="rId647">
        <w:r>
          <w:rPr>
            <w:rFonts w:ascii="Times New Roman" w:cs="Times New Roman" w:eastAsia="Times New Roman" w:hAnsi="Times New Roman"/>
            <w:sz w:val="18"/>
            <w:szCs w:val="18"/>
            <w:u w:val="single" w:color="auto"/>
            <w:color w:val="0000FF"/>
          </w:rPr>
          <w:t>BTIG, LLC, Canaccord Genuity LLC, Maxim Group LLC and SG Americas Securities, LLC (incorporated herein by reference to Exhibit 1.2</w:t>
        </w:r>
      </w:hyperlink>
      <w:r>
        <w:rPr>
          <w:rFonts w:ascii="Times New Roman" w:cs="Times New Roman" w:eastAsia="Times New Roman" w:hAnsi="Times New Roman"/>
          <w:sz w:val="18"/>
          <w:szCs w:val="18"/>
          <w:u w:val="single" w:color="auto"/>
          <w:color w:val="0000FF"/>
        </w:rPr>
        <w:t xml:space="preserve"> </w:t>
      </w:r>
      <w:hyperlink r:id="rId647">
        <w:r>
          <w:rPr>
            <w:rFonts w:ascii="Times New Roman" w:cs="Times New Roman" w:eastAsia="Times New Roman" w:hAnsi="Times New Roman"/>
            <w:sz w:val="18"/>
            <w:szCs w:val="18"/>
            <w:u w:val="single" w:color="auto"/>
            <w:color w:val="0000FF"/>
          </w:rPr>
          <w:t>to the registrant’s Registration Statement on Form S-3ASR filed with the SEC on August 1, 2024 (File No. 333-281175)).</w:t>
        </w:r>
      </w:hyperlink>
    </w:p>
    <w:p>
      <w:pPr>
        <w:spacing w:after="0" w:line="20" w:lineRule="exact"/>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u w:val="single" w:color="auto"/>
          <w:color w:val="0000FF"/>
        </w:rPr>
        <w:drawing>
          <wp:anchor simplePos="0" relativeHeight="251657728" behindDoc="1" locked="0" layoutInCell="0" allowOverlap="1">
            <wp:simplePos x="0" y="0"/>
            <wp:positionH relativeFrom="column">
              <wp:posOffset>582930</wp:posOffset>
            </wp:positionH>
            <wp:positionV relativeFrom="paragraph">
              <wp:posOffset>-313055</wp:posOffset>
            </wp:positionV>
            <wp:extent cx="6539865" cy="8255"/>
            <wp:wrapNone/>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648">
                      <a:extLst>
                        <a:ext uri="{28A0092B-C50C-407E-A947-70E740481C1C}"/>
                      </a:extLst>
                    </a:blip>
                    <a:srcRect/>
                    <a:stretch>
                      <a:fillRect/>
                    </a:stretch>
                  </pic:blipFill>
                  <pic:spPr bwMode="auto">
                    <a:xfrm>
                      <a:off x="0" y="0"/>
                      <a:ext cx="6539865" cy="8255"/>
                    </a:xfrm>
                    <a:prstGeom prst="rect">
                      <a:avLst/>
                    </a:prstGeom>
                    <a:noFill/>
                  </pic:spPr>
                </pic:pic>
              </a:graphicData>
            </a:graphic>
          </wp:anchor>
        </w:drawing>
        <w:drawing>
          <wp:anchor simplePos="0" relativeHeight="251657728" behindDoc="1" locked="0" layoutInCell="0" allowOverlap="1">
            <wp:simplePos x="0" y="0"/>
            <wp:positionH relativeFrom="column">
              <wp:posOffset>582930</wp:posOffset>
            </wp:positionH>
            <wp:positionV relativeFrom="paragraph">
              <wp:posOffset>-175895</wp:posOffset>
            </wp:positionV>
            <wp:extent cx="6532245" cy="8255"/>
            <wp:wrapNone/>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649">
                      <a:extLst>
                        <a:ext uri="{28A0092B-C50C-407E-A947-70E740481C1C}"/>
                      </a:extLst>
                    </a:blip>
                    <a:srcRect/>
                    <a:stretch>
                      <a:fillRect/>
                    </a:stretch>
                  </pic:blipFill>
                  <pic:spPr bwMode="auto">
                    <a:xfrm>
                      <a:off x="0" y="0"/>
                      <a:ext cx="6532245" cy="8255"/>
                    </a:xfrm>
                    <a:prstGeom prst="rect">
                      <a:avLst/>
                    </a:prstGeom>
                    <a:noFill/>
                  </pic:spPr>
                </pic:pic>
              </a:graphicData>
            </a:graphic>
          </wp:anchor>
        </w:drawing>
        <w:drawing>
          <wp:anchor simplePos="0" relativeHeight="251657728" behindDoc="1" locked="0" layoutInCell="0" allowOverlap="1">
            <wp:simplePos x="0" y="0"/>
            <wp:positionH relativeFrom="column">
              <wp:posOffset>582930</wp:posOffset>
            </wp:positionH>
            <wp:positionV relativeFrom="paragraph">
              <wp:posOffset>-38735</wp:posOffset>
            </wp:positionV>
            <wp:extent cx="5575935" cy="8255"/>
            <wp:wrapNone/>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650">
                      <a:extLst>
                        <a:ext uri="{28A0092B-C50C-407E-A947-70E740481C1C}"/>
                      </a:extLst>
                    </a:blip>
                    <a:srcRect/>
                    <a:stretch>
                      <a:fillRect/>
                    </a:stretch>
                  </pic:blipFill>
                  <pic:spPr bwMode="auto">
                    <a:xfrm>
                      <a:off x="0" y="0"/>
                      <a:ext cx="5575935" cy="8255"/>
                    </a:xfrm>
                    <a:prstGeom prst="rect">
                      <a:avLst/>
                    </a:prstGeom>
                    <a:noFill/>
                  </pic:spPr>
                </pic:pic>
              </a:graphicData>
            </a:graphic>
          </wp:anchor>
        </w:drawing>
      </w:r>
    </w:p>
    <w:p>
      <w:pPr>
        <w:spacing w:after="0" w:line="61" w:lineRule="exact"/>
        <w:rPr>
          <w:rFonts w:ascii="Times New Roman" w:cs="Times New Roman" w:eastAsia="Times New Roman" w:hAnsi="Times New Roman"/>
          <w:sz w:val="18"/>
          <w:szCs w:val="18"/>
          <w:u w:val="single" w:color="auto"/>
          <w:color w:val="0000FF"/>
        </w:rPr>
      </w:pPr>
    </w:p>
    <w:p>
      <w:pPr>
        <w:jc w:val="both"/>
        <w:ind w:left="912" w:hanging="904"/>
        <w:spacing w:after="0" w:line="261" w:lineRule="auto"/>
        <w:tabs>
          <w:tab w:leader="none" w:pos="892" w:val="left"/>
        </w:tabs>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color w:val="auto"/>
        </w:rPr>
        <w:t>10.47</w:t>
      </w:r>
      <w:r>
        <w:rPr>
          <w:sz w:val="20"/>
          <w:szCs w:val="20"/>
          <w:color w:val="auto"/>
        </w:rPr>
        <w:tab/>
      </w:r>
      <w:hyperlink r:id="rId651">
        <w:r>
          <w:rPr>
            <w:rFonts w:ascii="Times New Roman" w:cs="Times New Roman" w:eastAsia="Times New Roman" w:hAnsi="Times New Roman"/>
            <w:sz w:val="18"/>
            <w:szCs w:val="18"/>
            <w:u w:val="single" w:color="auto"/>
            <w:color w:val="0000FF"/>
          </w:rPr>
          <w:t>Sales Agreement, dated as of October 30, 2024, by and among MicroStrategy, TD Securities (USA) LLC, Barclays Capital Inc., The</w:t>
        </w:r>
      </w:hyperlink>
      <w:r>
        <w:rPr>
          <w:rFonts w:ascii="Times New Roman" w:cs="Times New Roman" w:eastAsia="Times New Roman" w:hAnsi="Times New Roman"/>
          <w:sz w:val="18"/>
          <w:szCs w:val="18"/>
          <w:u w:val="single" w:color="auto"/>
          <w:color w:val="0000FF"/>
        </w:rPr>
        <w:t xml:space="preserve"> </w:t>
      </w:r>
      <w:hyperlink r:id="rId651">
        <w:r>
          <w:rPr>
            <w:rFonts w:ascii="Times New Roman" w:cs="Times New Roman" w:eastAsia="Times New Roman" w:hAnsi="Times New Roman"/>
            <w:sz w:val="18"/>
            <w:szCs w:val="18"/>
            <w:u w:val="single" w:color="auto"/>
            <w:color w:val="0000FF"/>
          </w:rPr>
          <w:t>Benchmark Company, LLC, BTIG, LLC, Canaccord Genuity LLC, Cantor Fitzgerald &amp; Co., Maxim Group LLC, Mizuho Securities USA</w:t>
        </w:r>
      </w:hyperlink>
      <w:r>
        <w:rPr>
          <w:rFonts w:ascii="Times New Roman" w:cs="Times New Roman" w:eastAsia="Times New Roman" w:hAnsi="Times New Roman"/>
          <w:sz w:val="18"/>
          <w:szCs w:val="18"/>
          <w:u w:val="single" w:color="auto"/>
          <w:color w:val="0000FF"/>
        </w:rPr>
        <w:t xml:space="preserve"> </w:t>
      </w:r>
      <w:hyperlink r:id="rId651">
        <w:r>
          <w:rPr>
            <w:rFonts w:ascii="Times New Roman" w:cs="Times New Roman" w:eastAsia="Times New Roman" w:hAnsi="Times New Roman"/>
            <w:sz w:val="18"/>
            <w:szCs w:val="18"/>
            <w:u w:val="single" w:color="auto"/>
            <w:color w:val="0000FF"/>
          </w:rPr>
          <w:t>LLC, and SG Americas Securities, LLC (incorporated herein by reference to Exhibit 1.1 to the registrant’s Current Report on Form 8-K filed</w:t>
        </w:r>
      </w:hyperlink>
      <w:r>
        <w:rPr>
          <w:rFonts w:ascii="Times New Roman" w:cs="Times New Roman" w:eastAsia="Times New Roman" w:hAnsi="Times New Roman"/>
          <w:sz w:val="18"/>
          <w:szCs w:val="18"/>
          <w:u w:val="single" w:color="auto"/>
          <w:color w:val="0000FF"/>
        </w:rPr>
        <w:t xml:space="preserve"> </w:t>
      </w:r>
      <w:hyperlink r:id="rId651">
        <w:r>
          <w:rPr>
            <w:rFonts w:ascii="Times New Roman" w:cs="Times New Roman" w:eastAsia="Times New Roman" w:hAnsi="Times New Roman"/>
            <w:sz w:val="18"/>
            <w:szCs w:val="18"/>
            <w:u w:val="single" w:color="auto"/>
            <w:color w:val="0000FF"/>
          </w:rPr>
          <w:t>with the SEC on October 30, 2024 (File No. 000-24435)).</w:t>
        </w:r>
      </w:hyperlink>
    </w:p>
    <w:p>
      <w:pPr>
        <w:spacing w:after="0" w:line="20" w:lineRule="exact"/>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u w:val="single" w:color="auto"/>
          <w:color w:val="0000FF"/>
        </w:rPr>
        <w:drawing>
          <wp:anchor simplePos="0" relativeHeight="251657728" behindDoc="1" locked="0" layoutInCell="0" allowOverlap="1">
            <wp:simplePos x="0" y="0"/>
            <wp:positionH relativeFrom="column">
              <wp:posOffset>582930</wp:posOffset>
            </wp:positionH>
            <wp:positionV relativeFrom="paragraph">
              <wp:posOffset>-448310</wp:posOffset>
            </wp:positionV>
            <wp:extent cx="6537960" cy="8255"/>
            <wp:wrapNone/>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652">
                      <a:extLst>
                        <a:ext uri="{28A0092B-C50C-407E-A947-70E740481C1C}"/>
                      </a:extLst>
                    </a:blip>
                    <a:srcRect/>
                    <a:stretch>
                      <a:fillRect/>
                    </a:stretch>
                  </pic:blipFill>
                  <pic:spPr bwMode="auto">
                    <a:xfrm>
                      <a:off x="0" y="0"/>
                      <a:ext cx="6537960" cy="8255"/>
                    </a:xfrm>
                    <a:prstGeom prst="rect">
                      <a:avLst/>
                    </a:prstGeom>
                    <a:noFill/>
                  </pic:spPr>
                </pic:pic>
              </a:graphicData>
            </a:graphic>
          </wp:anchor>
        </w:drawing>
        <w:drawing>
          <wp:anchor simplePos="0" relativeHeight="251657728" behindDoc="1" locked="0" layoutInCell="0" allowOverlap="1">
            <wp:simplePos x="0" y="0"/>
            <wp:positionH relativeFrom="column">
              <wp:posOffset>582930</wp:posOffset>
            </wp:positionH>
            <wp:positionV relativeFrom="paragraph">
              <wp:posOffset>-311150</wp:posOffset>
            </wp:positionV>
            <wp:extent cx="6538595" cy="8255"/>
            <wp:wrapNone/>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653">
                      <a:extLst>
                        <a:ext uri="{28A0092B-C50C-407E-A947-70E740481C1C}"/>
                      </a:extLst>
                    </a:blip>
                    <a:srcRect/>
                    <a:stretch>
                      <a:fillRect/>
                    </a:stretch>
                  </pic:blipFill>
                  <pic:spPr bwMode="auto">
                    <a:xfrm>
                      <a:off x="0" y="0"/>
                      <a:ext cx="6538595" cy="8255"/>
                    </a:xfrm>
                    <a:prstGeom prst="rect">
                      <a:avLst/>
                    </a:prstGeom>
                    <a:noFill/>
                  </pic:spPr>
                </pic:pic>
              </a:graphicData>
            </a:graphic>
          </wp:anchor>
        </w:drawing>
        <w:drawing>
          <wp:anchor simplePos="0" relativeHeight="251657728" behindDoc="1" locked="0" layoutInCell="0" allowOverlap="1">
            <wp:simplePos x="0" y="0"/>
            <wp:positionH relativeFrom="column">
              <wp:posOffset>582930</wp:posOffset>
            </wp:positionH>
            <wp:positionV relativeFrom="paragraph">
              <wp:posOffset>-173990</wp:posOffset>
            </wp:positionV>
            <wp:extent cx="6532880" cy="8890"/>
            <wp:wrapNone/>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654">
                      <a:extLst>
                        <a:ext uri="{28A0092B-C50C-407E-A947-70E740481C1C}"/>
                      </a:extLst>
                    </a:blip>
                    <a:srcRect/>
                    <a:stretch>
                      <a:fillRect/>
                    </a:stretch>
                  </pic:blipFill>
                  <pic:spPr bwMode="auto">
                    <a:xfrm>
                      <a:off x="0" y="0"/>
                      <a:ext cx="6532880" cy="8890"/>
                    </a:xfrm>
                    <a:prstGeom prst="rect">
                      <a:avLst/>
                    </a:prstGeom>
                    <a:noFill/>
                  </pic:spPr>
                </pic:pic>
              </a:graphicData>
            </a:graphic>
          </wp:anchor>
        </w:drawing>
        <w:drawing>
          <wp:anchor simplePos="0" relativeHeight="251657728" behindDoc="1" locked="0" layoutInCell="0" allowOverlap="1">
            <wp:simplePos x="0" y="0"/>
            <wp:positionH relativeFrom="column">
              <wp:posOffset>582930</wp:posOffset>
            </wp:positionH>
            <wp:positionV relativeFrom="paragraph">
              <wp:posOffset>-36830</wp:posOffset>
            </wp:positionV>
            <wp:extent cx="2646680" cy="8255"/>
            <wp:wrapNone/>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655">
                      <a:extLst>
                        <a:ext uri="{28A0092B-C50C-407E-A947-70E740481C1C}"/>
                      </a:extLst>
                    </a:blip>
                    <a:srcRect/>
                    <a:stretch>
                      <a:fillRect/>
                    </a:stretch>
                  </pic:blipFill>
                  <pic:spPr bwMode="auto">
                    <a:xfrm>
                      <a:off x="0" y="0"/>
                      <a:ext cx="2646680" cy="8255"/>
                    </a:xfrm>
                    <a:prstGeom prst="rect">
                      <a:avLst/>
                    </a:prstGeom>
                    <a:noFill/>
                  </pic:spPr>
                </pic:pic>
              </a:graphicData>
            </a:graphic>
          </wp:anchor>
        </w:drawing>
      </w:r>
    </w:p>
    <w:p>
      <w:pPr>
        <w:spacing w:after="0" w:line="65" w:lineRule="exact"/>
        <w:rPr>
          <w:rFonts w:ascii="Times New Roman" w:cs="Times New Roman" w:eastAsia="Times New Roman" w:hAnsi="Times New Roman"/>
          <w:sz w:val="18"/>
          <w:szCs w:val="18"/>
          <w:u w:val="single" w:color="auto"/>
          <w:color w:val="0000FF"/>
        </w:rPr>
      </w:pPr>
    </w:p>
    <w:p>
      <w:pPr>
        <w:ind w:left="912" w:hanging="899"/>
        <w:spacing w:after="0"/>
        <w:tabs>
          <w:tab w:leader="none" w:pos="912" w:val="left"/>
        </w:tabs>
        <w:numPr>
          <w:ilvl w:val="0"/>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0000FF"/>
        </w:rPr>
        <w:t>MicroStrategy Incorporated Insider Trading Policy</w:t>
      </w:r>
    </w:p>
    <w:p>
      <w:pPr>
        <w:spacing w:after="0" w:line="20" w:lineRule="exact"/>
        <w:rPr>
          <w:rFonts w:ascii="Times New Roman" w:cs="Times New Roman" w:eastAsia="Times New Roman" w:hAnsi="Times New Roman"/>
          <w:sz w:val="18"/>
          <w:szCs w:val="18"/>
          <w:u w:val="single" w:color="auto"/>
          <w:color w:val="0000FF"/>
        </w:rPr>
      </w:pPr>
      <w:r>
        <w:rPr>
          <w:rFonts w:ascii="Times New Roman" w:cs="Times New Roman" w:eastAsia="Times New Roman" w:hAnsi="Times New Roman"/>
          <w:sz w:val="18"/>
          <w:szCs w:val="18"/>
          <w:u w:val="single" w:color="auto"/>
          <w:color w:val="0000FF"/>
        </w:rPr>
        <w:drawing>
          <wp:anchor simplePos="0" relativeHeight="251657728" behindDoc="1" locked="0" layoutInCell="0" allowOverlap="1">
            <wp:simplePos x="0" y="0"/>
            <wp:positionH relativeFrom="column">
              <wp:posOffset>582930</wp:posOffset>
            </wp:positionH>
            <wp:positionV relativeFrom="paragraph">
              <wp:posOffset>-7620</wp:posOffset>
            </wp:positionV>
            <wp:extent cx="2328545" cy="8255"/>
            <wp:wrapNone/>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656">
                      <a:extLst>
                        <a:ext uri="{28A0092B-C50C-407E-A947-70E740481C1C}"/>
                      </a:extLst>
                    </a:blip>
                    <a:srcRect/>
                    <a:stretch>
                      <a:fillRect/>
                    </a:stretch>
                  </pic:blipFill>
                  <pic:spPr bwMode="auto">
                    <a:xfrm>
                      <a:off x="0" y="0"/>
                      <a:ext cx="2328545" cy="8255"/>
                    </a:xfrm>
                    <a:prstGeom prst="rect">
                      <a:avLst/>
                    </a:prstGeom>
                    <a:noFill/>
                  </pic:spPr>
                </pic:pic>
              </a:graphicData>
            </a:graphic>
          </wp:anchor>
        </w:drawing>
      </w:r>
    </w:p>
    <w:p>
      <w:pPr>
        <w:spacing w:after="0" w:line="97" w:lineRule="exact"/>
        <w:rPr>
          <w:rFonts w:ascii="Times New Roman" w:cs="Times New Roman" w:eastAsia="Times New Roman" w:hAnsi="Times New Roman"/>
          <w:sz w:val="18"/>
          <w:szCs w:val="18"/>
          <w:u w:val="single" w:color="auto"/>
          <w:color w:val="0000FF"/>
        </w:rPr>
      </w:pPr>
    </w:p>
    <w:tbl>
      <w:tblPr>
        <w:tblLayout w:type="fixed"/>
        <w:tblInd w:w="12" w:type="dxa"/>
        <w:tblCellMar>
          <w:top w:w="0" w:type="dxa"/>
          <w:left w:w="0" w:type="dxa"/>
          <w:bottom w:w="0" w:type="dxa"/>
          <w:right w:w="0" w:type="dxa"/>
        </w:tblCellMar>
      </w:tblPr>
      <w:tr>
        <w:trPr>
          <w:trHeight w:val="207"/>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21.1</w:t>
            </w:r>
          </w:p>
        </w:tc>
        <w:tc>
          <w:tcPr>
            <w:tcW w:w="2120" w:type="dxa"/>
            <w:vAlign w:val="bottom"/>
            <w:tcBorders>
              <w:bottom w:val="single" w:sz="8" w:color="0000FF"/>
            </w:tcBorders>
            <w:gridSpan w:val="2"/>
          </w:tcPr>
          <w:p>
            <w:pPr>
              <w:spacing w:after="0"/>
              <w:rPr>
                <w:sz w:val="20"/>
                <w:szCs w:val="20"/>
                <w:color w:val="auto"/>
              </w:rPr>
            </w:pPr>
            <w:r>
              <w:rPr>
                <w:rFonts w:ascii="Times New Roman" w:cs="Times New Roman" w:eastAsia="Times New Roman" w:hAnsi="Times New Roman"/>
                <w:sz w:val="18"/>
                <w:szCs w:val="18"/>
                <w:color w:val="0000FF"/>
                <w:w w:val="99"/>
              </w:rPr>
              <w:t>Subsidiaries of the registrant.</w:t>
            </w:r>
          </w:p>
        </w:tc>
        <w:tc>
          <w:tcPr>
            <w:tcW w:w="8180" w:type="dxa"/>
            <w:vAlign w:val="bottom"/>
            <w:gridSpan w:val="5"/>
          </w:tcPr>
          <w:p>
            <w:pPr>
              <w:spacing w:after="0"/>
              <w:rPr>
                <w:sz w:val="17"/>
                <w:szCs w:val="17"/>
                <w:color w:val="auto"/>
              </w:rPr>
            </w:pPr>
          </w:p>
        </w:tc>
      </w:tr>
      <w:tr>
        <w:trPr>
          <w:trHeight w:val="318"/>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23.1</w:t>
            </w:r>
          </w:p>
        </w:tc>
        <w:tc>
          <w:tcPr>
            <w:tcW w:w="10300" w:type="dxa"/>
            <w:vAlign w:val="bottom"/>
            <w:gridSpan w:val="7"/>
          </w:tcPr>
          <w:p>
            <w:pPr>
              <w:spacing w:after="0"/>
              <w:rPr>
                <w:sz w:val="20"/>
                <w:szCs w:val="20"/>
                <w:color w:val="auto"/>
              </w:rPr>
            </w:pPr>
            <w:r>
              <w:rPr>
                <w:rFonts w:ascii="Times New Roman" w:cs="Times New Roman" w:eastAsia="Times New Roman" w:hAnsi="Times New Roman"/>
                <w:sz w:val="18"/>
                <w:szCs w:val="18"/>
                <w:color w:val="0000FF"/>
              </w:rPr>
              <w:t>Consent of KPMG LLP.</w:t>
            </w:r>
          </w:p>
        </w:tc>
      </w:tr>
      <w:tr>
        <w:trPr>
          <w:trHeight w:val="20"/>
        </w:trPr>
        <w:tc>
          <w:tcPr>
            <w:tcW w:w="900" w:type="dxa"/>
            <w:vAlign w:val="bottom"/>
          </w:tcPr>
          <w:p>
            <w:pPr>
              <w:spacing w:after="0" w:line="20" w:lineRule="exact"/>
              <w:rPr>
                <w:sz w:val="1"/>
                <w:szCs w:val="1"/>
                <w:color w:val="auto"/>
              </w:rPr>
            </w:pPr>
          </w:p>
        </w:tc>
        <w:tc>
          <w:tcPr>
            <w:tcW w:w="1760" w:type="dxa"/>
            <w:vAlign w:val="bottom"/>
            <w:shd w:val="clear" w:color="auto" w:fill="0000FF"/>
          </w:tcPr>
          <w:p>
            <w:pPr>
              <w:spacing w:after="0" w:line="20" w:lineRule="exact"/>
              <w:rPr>
                <w:sz w:val="1"/>
                <w:szCs w:val="1"/>
                <w:color w:val="auto"/>
              </w:rPr>
            </w:pPr>
          </w:p>
        </w:tc>
        <w:tc>
          <w:tcPr>
            <w:tcW w:w="3100" w:type="dxa"/>
            <w:vAlign w:val="bottom"/>
            <w:gridSpan w:val="2"/>
          </w:tcPr>
          <w:p>
            <w:pPr>
              <w:spacing w:after="0" w:line="20" w:lineRule="exact"/>
              <w:rPr>
                <w:sz w:val="1"/>
                <w:szCs w:val="1"/>
                <w:color w:val="auto"/>
              </w:rPr>
            </w:pPr>
          </w:p>
        </w:tc>
        <w:tc>
          <w:tcPr>
            <w:tcW w:w="184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960" w:type="dxa"/>
            <w:vAlign w:val="bottom"/>
          </w:tcPr>
          <w:p>
            <w:pPr>
              <w:spacing w:after="0" w:line="20" w:lineRule="exact"/>
              <w:rPr>
                <w:sz w:val="1"/>
                <w:szCs w:val="1"/>
                <w:color w:val="auto"/>
              </w:rPr>
            </w:pPr>
          </w:p>
        </w:tc>
        <w:tc>
          <w:tcPr>
            <w:tcW w:w="1580" w:type="dxa"/>
            <w:vAlign w:val="bottom"/>
          </w:tcPr>
          <w:p>
            <w:pPr>
              <w:spacing w:after="0" w:line="20" w:lineRule="exact"/>
              <w:rPr>
                <w:sz w:val="1"/>
                <w:szCs w:val="1"/>
                <w:color w:val="auto"/>
              </w:rPr>
            </w:pPr>
          </w:p>
        </w:tc>
      </w:tr>
      <w:tr>
        <w:trPr>
          <w:trHeight w:val="318"/>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31.1</w:t>
            </w:r>
          </w:p>
        </w:tc>
        <w:tc>
          <w:tcPr>
            <w:tcW w:w="6760" w:type="dxa"/>
            <w:vAlign w:val="bottom"/>
            <w:tcBorders>
              <w:bottom w:val="single" w:sz="8" w:color="0000FF"/>
            </w:tcBorders>
            <w:gridSpan w:val="5"/>
          </w:tcPr>
          <w:p>
            <w:pPr>
              <w:spacing w:after="0"/>
              <w:rPr>
                <w:sz w:val="20"/>
                <w:szCs w:val="20"/>
                <w:color w:val="auto"/>
              </w:rPr>
            </w:pPr>
            <w:r>
              <w:rPr>
                <w:rFonts w:ascii="Times New Roman" w:cs="Times New Roman" w:eastAsia="Times New Roman" w:hAnsi="Times New Roman"/>
                <w:sz w:val="18"/>
                <w:szCs w:val="18"/>
                <w:color w:val="0000FF"/>
                <w:w w:val="99"/>
              </w:rPr>
              <w:t>Certification pursuant to Rule 13a-14(a) or Rule 15d-14(a) of the Principal Executive Officer.</w:t>
            </w:r>
          </w:p>
        </w:tc>
        <w:tc>
          <w:tcPr>
            <w:tcW w:w="3540" w:type="dxa"/>
            <w:vAlign w:val="bottom"/>
            <w:gridSpan w:val="2"/>
          </w:tcPr>
          <w:p>
            <w:pPr>
              <w:spacing w:after="0"/>
              <w:rPr>
                <w:sz w:val="24"/>
                <w:szCs w:val="24"/>
                <w:color w:val="auto"/>
              </w:rPr>
            </w:pPr>
          </w:p>
        </w:tc>
      </w:tr>
      <w:tr>
        <w:trPr>
          <w:trHeight w:val="318"/>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31.2</w:t>
            </w:r>
          </w:p>
        </w:tc>
        <w:tc>
          <w:tcPr>
            <w:tcW w:w="10300" w:type="dxa"/>
            <w:vAlign w:val="bottom"/>
            <w:gridSpan w:val="7"/>
          </w:tcPr>
          <w:p>
            <w:pPr>
              <w:spacing w:after="0"/>
              <w:rPr>
                <w:sz w:val="20"/>
                <w:szCs w:val="20"/>
                <w:color w:val="auto"/>
              </w:rPr>
            </w:pPr>
            <w:r>
              <w:rPr>
                <w:rFonts w:ascii="Times New Roman" w:cs="Times New Roman" w:eastAsia="Times New Roman" w:hAnsi="Times New Roman"/>
                <w:sz w:val="18"/>
                <w:szCs w:val="18"/>
                <w:color w:val="0000FF"/>
              </w:rPr>
              <w:t>Certification pursuant to Rule 13a-14(a) or Rule 15d-14(a) of the Principal Financial Officer.</w:t>
            </w:r>
          </w:p>
        </w:tc>
      </w:tr>
      <w:tr>
        <w:trPr>
          <w:trHeight w:val="20"/>
        </w:trPr>
        <w:tc>
          <w:tcPr>
            <w:tcW w:w="900" w:type="dxa"/>
            <w:vAlign w:val="bottom"/>
          </w:tcPr>
          <w:p>
            <w:pPr>
              <w:spacing w:after="0" w:line="20" w:lineRule="exact"/>
              <w:rPr>
                <w:sz w:val="1"/>
                <w:szCs w:val="1"/>
                <w:color w:val="auto"/>
              </w:rPr>
            </w:pPr>
          </w:p>
        </w:tc>
        <w:tc>
          <w:tcPr>
            <w:tcW w:w="4860" w:type="dxa"/>
            <w:vAlign w:val="bottom"/>
            <w:tcBorders>
              <w:right w:val="single" w:sz="8" w:color="0000FF"/>
            </w:tcBorders>
            <w:gridSpan w:val="3"/>
            <w:shd w:val="clear" w:color="auto" w:fill="0000FF"/>
          </w:tcPr>
          <w:p>
            <w:pPr>
              <w:spacing w:after="0" w:line="20" w:lineRule="exact"/>
              <w:rPr>
                <w:sz w:val="1"/>
                <w:szCs w:val="1"/>
                <w:color w:val="auto"/>
              </w:rPr>
            </w:pPr>
          </w:p>
        </w:tc>
        <w:tc>
          <w:tcPr>
            <w:tcW w:w="1840" w:type="dxa"/>
            <w:vAlign w:val="bottom"/>
            <w:shd w:val="clear" w:color="auto" w:fill="0000FF"/>
          </w:tcPr>
          <w:p>
            <w:pPr>
              <w:spacing w:after="0" w:line="20" w:lineRule="exact"/>
              <w:rPr>
                <w:sz w:val="1"/>
                <w:szCs w:val="1"/>
                <w:color w:val="auto"/>
              </w:rPr>
            </w:pPr>
          </w:p>
        </w:tc>
        <w:tc>
          <w:tcPr>
            <w:tcW w:w="2020" w:type="dxa"/>
            <w:vAlign w:val="bottom"/>
            <w:gridSpan w:val="2"/>
          </w:tcPr>
          <w:p>
            <w:pPr>
              <w:spacing w:after="0" w:line="20" w:lineRule="exact"/>
              <w:rPr>
                <w:sz w:val="1"/>
                <w:szCs w:val="1"/>
                <w:color w:val="auto"/>
              </w:rPr>
            </w:pPr>
          </w:p>
        </w:tc>
        <w:tc>
          <w:tcPr>
            <w:tcW w:w="1580" w:type="dxa"/>
            <w:vAlign w:val="bottom"/>
          </w:tcPr>
          <w:p>
            <w:pPr>
              <w:spacing w:after="0" w:line="20" w:lineRule="exact"/>
              <w:rPr>
                <w:sz w:val="1"/>
                <w:szCs w:val="1"/>
                <w:color w:val="auto"/>
              </w:rPr>
            </w:pPr>
          </w:p>
        </w:tc>
      </w:tr>
      <w:tr>
        <w:trPr>
          <w:trHeight w:val="318"/>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32.1</w:t>
            </w:r>
          </w:p>
        </w:tc>
        <w:tc>
          <w:tcPr>
            <w:tcW w:w="8720" w:type="dxa"/>
            <w:vAlign w:val="bottom"/>
            <w:tcBorders>
              <w:bottom w:val="single" w:sz="8" w:color="0000FF"/>
            </w:tcBorders>
            <w:gridSpan w:val="6"/>
          </w:tcPr>
          <w:p>
            <w:pPr>
              <w:spacing w:after="0"/>
              <w:rPr>
                <w:sz w:val="20"/>
                <w:szCs w:val="20"/>
                <w:color w:val="auto"/>
              </w:rPr>
            </w:pPr>
            <w:r>
              <w:rPr>
                <w:rFonts w:ascii="Times New Roman" w:cs="Times New Roman" w:eastAsia="Times New Roman" w:hAnsi="Times New Roman"/>
                <w:sz w:val="18"/>
                <w:szCs w:val="18"/>
                <w:color w:val="0000FF"/>
                <w:w w:val="99"/>
              </w:rPr>
              <w:t>Certification pursuant to 18 U.S.C. Section 1350, as adopted pursuant to Section 906 of the Sarbanes-Oxley Act of 2002.</w:t>
            </w:r>
          </w:p>
        </w:tc>
        <w:tc>
          <w:tcPr>
            <w:tcW w:w="1580" w:type="dxa"/>
            <w:vAlign w:val="bottom"/>
          </w:tcPr>
          <w:p>
            <w:pPr>
              <w:spacing w:after="0"/>
              <w:rPr>
                <w:sz w:val="24"/>
                <w:szCs w:val="24"/>
                <w:color w:val="auto"/>
              </w:rPr>
            </w:pPr>
          </w:p>
        </w:tc>
      </w:tr>
      <w:tr>
        <w:trPr>
          <w:trHeight w:val="318"/>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97.1</w:t>
            </w:r>
          </w:p>
        </w:tc>
        <w:tc>
          <w:tcPr>
            <w:tcW w:w="10300" w:type="dxa"/>
            <w:vAlign w:val="bottom"/>
            <w:tcBorders>
              <w:bottom w:val="single" w:sz="8" w:color="0000FF"/>
            </w:tcBorders>
            <w:gridSpan w:val="7"/>
          </w:tcPr>
          <w:p>
            <w:pPr>
              <w:spacing w:after="0"/>
              <w:rPr>
                <w:rFonts w:ascii="Times New Roman" w:cs="Times New Roman" w:eastAsia="Times New Roman" w:hAnsi="Times New Roman"/>
                <w:sz w:val="18"/>
                <w:szCs w:val="18"/>
                <w:color w:val="0000FF"/>
              </w:rPr>
            </w:pPr>
            <w:hyperlink r:id="rId657">
              <w:r>
                <w:rPr>
                  <w:rFonts w:ascii="Times New Roman" w:cs="Times New Roman" w:eastAsia="Times New Roman" w:hAnsi="Times New Roman"/>
                  <w:sz w:val="18"/>
                  <w:szCs w:val="18"/>
                  <w:color w:val="0000FF"/>
                </w:rPr>
                <w:t>Dodd-Frank Compensation Recovery Policy (incorporated herein by reference to Exhibit 97.1 to the registrant’s Annual Report on Form 10-K</w:t>
              </w:r>
            </w:hyperlink>
          </w:p>
        </w:tc>
      </w:tr>
      <w:tr>
        <w:trPr>
          <w:trHeight w:val="196"/>
        </w:trPr>
        <w:tc>
          <w:tcPr>
            <w:tcW w:w="900" w:type="dxa"/>
            <w:vAlign w:val="bottom"/>
          </w:tcPr>
          <w:p>
            <w:pPr>
              <w:spacing w:after="0"/>
              <w:rPr>
                <w:sz w:val="17"/>
                <w:szCs w:val="17"/>
                <w:color w:val="auto"/>
              </w:rPr>
            </w:pPr>
          </w:p>
        </w:tc>
        <w:tc>
          <w:tcPr>
            <w:tcW w:w="10300" w:type="dxa"/>
            <w:vAlign w:val="bottom"/>
            <w:gridSpan w:val="7"/>
          </w:tcPr>
          <w:p>
            <w:pPr>
              <w:spacing w:after="0" w:line="196" w:lineRule="exact"/>
              <w:rPr>
                <w:rFonts w:ascii="Times New Roman" w:cs="Times New Roman" w:eastAsia="Times New Roman" w:hAnsi="Times New Roman"/>
                <w:sz w:val="18"/>
                <w:szCs w:val="18"/>
                <w:color w:val="0000FF"/>
              </w:rPr>
            </w:pPr>
            <w:hyperlink r:id="rId657">
              <w:r>
                <w:rPr>
                  <w:rFonts w:ascii="Times New Roman" w:cs="Times New Roman" w:eastAsia="Times New Roman" w:hAnsi="Times New Roman"/>
                  <w:sz w:val="18"/>
                  <w:szCs w:val="18"/>
                  <w:color w:val="0000FF"/>
                </w:rPr>
                <w:t>for the fiscal year ended December 31, 2023 (File No. 000-24435))</w:t>
              </w:r>
            </w:hyperlink>
          </w:p>
        </w:tc>
      </w:tr>
      <w:tr>
        <w:trPr>
          <w:trHeight w:val="20"/>
        </w:trPr>
        <w:tc>
          <w:tcPr>
            <w:tcW w:w="900" w:type="dxa"/>
            <w:vAlign w:val="bottom"/>
          </w:tcPr>
          <w:p>
            <w:pPr>
              <w:spacing w:after="0" w:line="20" w:lineRule="exact"/>
              <w:rPr>
                <w:sz w:val="1"/>
                <w:szCs w:val="1"/>
                <w:color w:val="auto"/>
              </w:rPr>
            </w:pPr>
          </w:p>
        </w:tc>
        <w:tc>
          <w:tcPr>
            <w:tcW w:w="4860" w:type="dxa"/>
            <w:vAlign w:val="bottom"/>
            <w:tcBorders>
              <w:right w:val="single" w:sz="8" w:color="0000EE"/>
            </w:tcBorders>
            <w:gridSpan w:val="3"/>
            <w:shd w:val="clear" w:color="auto" w:fill="0000FF"/>
          </w:tcPr>
          <w:p>
            <w:pPr>
              <w:spacing w:after="0" w:line="20" w:lineRule="exact"/>
              <w:rPr>
                <w:sz w:val="1"/>
                <w:szCs w:val="1"/>
                <w:color w:val="auto"/>
              </w:rPr>
            </w:pPr>
          </w:p>
        </w:tc>
        <w:tc>
          <w:tcPr>
            <w:tcW w:w="5440" w:type="dxa"/>
            <w:vAlign w:val="bottom"/>
            <w:gridSpan w:val="4"/>
          </w:tcPr>
          <w:p>
            <w:pPr>
              <w:spacing w:after="0" w:line="20" w:lineRule="exact"/>
              <w:rPr>
                <w:sz w:val="1"/>
                <w:szCs w:val="1"/>
                <w:color w:val="auto"/>
              </w:rPr>
            </w:pPr>
          </w:p>
        </w:tc>
      </w:tr>
      <w:tr>
        <w:trPr>
          <w:trHeight w:val="340"/>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101.INS</w:t>
            </w:r>
          </w:p>
        </w:tc>
        <w:tc>
          <w:tcPr>
            <w:tcW w:w="10300" w:type="dxa"/>
            <w:vAlign w:val="bottom"/>
            <w:gridSpan w:val="7"/>
          </w:tcPr>
          <w:p>
            <w:pPr>
              <w:spacing w:after="0"/>
              <w:rPr>
                <w:sz w:val="20"/>
                <w:szCs w:val="20"/>
                <w:color w:val="auto"/>
              </w:rPr>
            </w:pPr>
            <w:r>
              <w:rPr>
                <w:rFonts w:ascii="Times New Roman" w:cs="Times New Roman" w:eastAsia="Times New Roman" w:hAnsi="Times New Roman"/>
                <w:sz w:val="18"/>
                <w:szCs w:val="18"/>
                <w:color w:val="auto"/>
              </w:rPr>
              <w:t>Inline XBRL Instance Document. The instance document does not appear in the Interactive Data File because its XBRL tags are embedded</w:t>
            </w:r>
          </w:p>
        </w:tc>
      </w:tr>
      <w:tr>
        <w:trPr>
          <w:trHeight w:val="234"/>
        </w:trPr>
        <w:tc>
          <w:tcPr>
            <w:tcW w:w="900" w:type="dxa"/>
            <w:vAlign w:val="bottom"/>
          </w:tcPr>
          <w:p>
            <w:pPr>
              <w:spacing w:after="0"/>
              <w:rPr>
                <w:sz w:val="20"/>
                <w:szCs w:val="20"/>
                <w:color w:val="auto"/>
              </w:rPr>
            </w:pPr>
          </w:p>
        </w:tc>
        <w:tc>
          <w:tcPr>
            <w:tcW w:w="10300" w:type="dxa"/>
            <w:vAlign w:val="bottom"/>
            <w:gridSpan w:val="7"/>
          </w:tcPr>
          <w:p>
            <w:pPr>
              <w:spacing w:after="0"/>
              <w:rPr>
                <w:sz w:val="20"/>
                <w:szCs w:val="20"/>
                <w:color w:val="auto"/>
              </w:rPr>
            </w:pPr>
            <w:r>
              <w:rPr>
                <w:rFonts w:ascii="Times New Roman" w:cs="Times New Roman" w:eastAsia="Times New Roman" w:hAnsi="Times New Roman"/>
                <w:sz w:val="18"/>
                <w:szCs w:val="18"/>
                <w:color w:val="auto"/>
              </w:rPr>
              <w:t>within the Inline XBRL document.</w:t>
            </w:r>
          </w:p>
        </w:tc>
      </w:tr>
      <w:tr>
        <w:trPr>
          <w:trHeight w:val="338"/>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101.SCH</w:t>
            </w:r>
          </w:p>
        </w:tc>
        <w:tc>
          <w:tcPr>
            <w:tcW w:w="10300" w:type="dxa"/>
            <w:vAlign w:val="bottom"/>
            <w:gridSpan w:val="7"/>
          </w:tcPr>
          <w:p>
            <w:pPr>
              <w:spacing w:after="0"/>
              <w:rPr>
                <w:sz w:val="20"/>
                <w:szCs w:val="20"/>
                <w:color w:val="auto"/>
              </w:rPr>
            </w:pPr>
            <w:r>
              <w:rPr>
                <w:rFonts w:ascii="Times New Roman" w:cs="Times New Roman" w:eastAsia="Times New Roman" w:hAnsi="Times New Roman"/>
                <w:sz w:val="18"/>
                <w:szCs w:val="18"/>
                <w:color w:val="auto"/>
              </w:rPr>
              <w:t>Inline XBRL Taxonomy Extension Schema with Embedded Linkbases Document.</w:t>
            </w:r>
          </w:p>
        </w:tc>
      </w:tr>
    </w:tbl>
    <w:p>
      <w:pPr>
        <w:spacing w:after="0" w:line="103" w:lineRule="exact"/>
        <w:rPr>
          <w:sz w:val="20"/>
          <w:szCs w:val="20"/>
          <w:color w:val="auto"/>
        </w:rPr>
      </w:pPr>
    </w:p>
    <w:p>
      <w:pPr>
        <w:ind w:left="912" w:hanging="899"/>
        <w:spacing w:after="0"/>
        <w:tabs>
          <w:tab w:leader="none" w:pos="912"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Cover Page Interactive Data File (formatted as inline XBRL with applicable taxonomy extension information contained in Exhibits 101).</w:t>
      </w:r>
    </w:p>
    <w:p>
      <w:pPr>
        <w:spacing w:after="0" w:line="184" w:lineRule="exact"/>
        <w:rPr>
          <w:rFonts w:ascii="Times New Roman" w:cs="Times New Roman" w:eastAsia="Times New Roman" w:hAnsi="Times New Roman"/>
          <w:sz w:val="18"/>
          <w:szCs w:val="18"/>
          <w:color w:val="auto"/>
        </w:rPr>
      </w:pPr>
    </w:p>
    <w:p>
      <w:pPr>
        <w:ind w:left="132" w:hanging="132"/>
        <w:spacing w:after="0"/>
        <w:tabs>
          <w:tab w:leader="none" w:pos="132" w:val="left"/>
        </w:tabs>
        <w:numPr>
          <w:ilvl w:val="0"/>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Management contracts and compensatory plans or arrangements.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-153670</wp:posOffset>
            </wp:positionV>
            <wp:extent cx="2117090" cy="8255"/>
            <wp:wrapNone/>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658">
                      <a:extLst>
                        <a:ext uri="{28A0092B-C50C-407E-A947-70E740481C1C}"/>
                      </a:extLst>
                    </a:blip>
                    <a:srcRect/>
                    <a:stretch>
                      <a:fillRect/>
                    </a:stretch>
                  </pic:blipFill>
                  <pic:spPr bwMode="auto">
                    <a:xfrm>
                      <a:off x="0" y="0"/>
                      <a:ext cx="2117090" cy="8255"/>
                    </a:xfrm>
                    <a:prstGeom prst="rect">
                      <a:avLst/>
                    </a:prstGeom>
                    <a:noFill/>
                  </pic:spPr>
                </pic:pic>
              </a:graphicData>
            </a:graphic>
          </wp:anchor>
        </w:drawing>
      </w:r>
    </w:p>
    <w:p>
      <w:pPr>
        <w:spacing w:after="0" w:line="30" w:lineRule="exact"/>
        <w:rPr>
          <w:sz w:val="20"/>
          <w:szCs w:val="20"/>
          <w:color w:val="auto"/>
        </w:rPr>
      </w:pPr>
    </w:p>
    <w:p>
      <w:pPr>
        <w:ind w:left="5472" w:right="4360" w:hanging="5472"/>
        <w:spacing w:after="0" w:line="532" w:lineRule="auto"/>
        <w:tabs>
          <w:tab w:leader="none" w:pos="126" w:val="left"/>
        </w:tabs>
        <w:numPr>
          <w:ilvl w:val="0"/>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Portions of this exhibit have been omitted pursuant to Item 601(b)(10)(iv) of Regulation S-K. 122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-12065</wp:posOffset>
            </wp:positionH>
            <wp:positionV relativeFrom="paragraph">
              <wp:posOffset>307975</wp:posOffset>
            </wp:positionV>
            <wp:extent cx="7157720" cy="42545"/>
            <wp:wrapNone/>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65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12"/>
          </w:cols>
          <w:pgMar w:left="328" w:top="985" w:right="359" w:bottom="1440" w:gutter="0" w:footer="0" w:header="0"/>
        </w:sectPr>
      </w:pPr>
    </w:p>
    <w:bookmarkStart w:id="122" w:name="page123"/>
    <w:bookmarkEnd w:id="122"/>
    <w:p>
      <w:pPr>
        <w:jc w:val="center"/>
        <w:spacing w:after="0"/>
        <w:rPr>
          <w:sz w:val="20"/>
          <w:szCs w:val="20"/>
          <w:color w:val="auto"/>
        </w:rPr>
      </w:pPr>
      <w:r>
        <w:rPr>
          <w:rFonts w:ascii="Times New Roman" w:cs="Times New Roman" w:eastAsia="Times New Roman" w:hAnsi="Times New Roman"/>
          <w:sz w:val="18"/>
          <w:szCs w:val="18"/>
          <w:b w:val="1"/>
          <w:bCs w:val="1"/>
          <w:color w:val="auto"/>
        </w:rPr>
        <w:t>SIGNATURES</w:t>
      </w:r>
    </w:p>
    <w:p>
      <w:pPr>
        <w:spacing w:after="0" w:line="227" w:lineRule="exact"/>
        <w:rPr>
          <w:sz w:val="20"/>
          <w:szCs w:val="20"/>
          <w:color w:val="auto"/>
        </w:rPr>
      </w:pPr>
    </w:p>
    <w:p>
      <w:pPr>
        <w:ind w:right="20"/>
        <w:spacing w:after="0" w:line="284" w:lineRule="auto"/>
        <w:rPr>
          <w:sz w:val="20"/>
          <w:szCs w:val="20"/>
          <w:color w:val="auto"/>
        </w:rPr>
      </w:pPr>
      <w:r>
        <w:rPr>
          <w:rFonts w:ascii="Times New Roman" w:cs="Times New Roman" w:eastAsia="Times New Roman" w:hAnsi="Times New Roman"/>
          <w:sz w:val="18"/>
          <w:szCs w:val="18"/>
          <w:i w:val="1"/>
          <w:iCs w:val="1"/>
          <w:color w:val="auto"/>
        </w:rPr>
        <w:t>Pursuant to the requirements of Section 13 or 15(d) of the Securities Exchange Act of 1934, as amended, the registrant has duly caused this report to be signed on its behalf by the undersigned, thereunto duly authorized.</w:t>
      </w:r>
    </w:p>
    <w:p>
      <w:pPr>
        <w:spacing w:after="0" w:line="156" w:lineRule="exact"/>
        <w:rPr>
          <w:sz w:val="20"/>
          <w:szCs w:val="20"/>
          <w:color w:val="auto"/>
        </w:rPr>
      </w:pPr>
    </w:p>
    <w:p>
      <w:pPr>
        <w:ind w:left="5320"/>
        <w:spacing w:after="0"/>
        <w:rPr>
          <w:sz w:val="20"/>
          <w:szCs w:val="20"/>
          <w:color w:val="auto"/>
        </w:rPr>
      </w:pPr>
      <w:r>
        <w:rPr>
          <w:rFonts w:ascii="Times New Roman" w:cs="Times New Roman" w:eastAsia="Times New Roman" w:hAnsi="Times New Roman"/>
          <w:sz w:val="18"/>
          <w:szCs w:val="18"/>
          <w:b w:val="1"/>
          <w:bCs w:val="1"/>
          <w:color w:val="auto"/>
        </w:rPr>
        <w:t>M</w:t>
      </w:r>
      <w:r>
        <w:rPr>
          <w:rFonts w:ascii="Times New Roman" w:cs="Times New Roman" w:eastAsia="Times New Roman" w:hAnsi="Times New Roman"/>
          <w:sz w:val="12"/>
          <w:szCs w:val="12"/>
          <w:b w:val="1"/>
          <w:bCs w:val="1"/>
          <w:color w:val="auto"/>
        </w:rPr>
        <w:t>icro</w:t>
      </w:r>
      <w:r>
        <w:rPr>
          <w:rFonts w:ascii="Times New Roman" w:cs="Times New Roman" w:eastAsia="Times New Roman" w:hAnsi="Times New Roman"/>
          <w:sz w:val="18"/>
          <w:szCs w:val="18"/>
          <w:b w:val="1"/>
          <w:bCs w:val="1"/>
          <w:color w:val="auto"/>
        </w:rPr>
        <w:t>S</w:t>
      </w:r>
      <w:r>
        <w:rPr>
          <w:rFonts w:ascii="Times New Roman" w:cs="Times New Roman" w:eastAsia="Times New Roman" w:hAnsi="Times New Roman"/>
          <w:sz w:val="12"/>
          <w:szCs w:val="12"/>
          <w:b w:val="1"/>
          <w:bCs w:val="1"/>
          <w:color w:val="auto"/>
        </w:rPr>
        <w:t>trategy</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2"/>
          <w:szCs w:val="12"/>
          <w:b w:val="1"/>
          <w:bCs w:val="1"/>
          <w:color w:val="auto"/>
        </w:rPr>
        <w:t>ncorporated</w:t>
      </w:r>
    </w:p>
    <w:p>
      <w:pPr>
        <w:spacing w:after="0" w:line="31" w:lineRule="exact"/>
        <w:rPr>
          <w:sz w:val="20"/>
          <w:szCs w:val="20"/>
          <w:color w:val="auto"/>
        </w:rPr>
      </w:pPr>
    </w:p>
    <w:p>
      <w:pPr>
        <w:jc w:val="center"/>
        <w:ind w:right="-239"/>
        <w:spacing w:after="0"/>
        <w:rPr>
          <w:sz w:val="20"/>
          <w:szCs w:val="20"/>
          <w:color w:val="auto"/>
        </w:rPr>
      </w:pPr>
      <w:r>
        <w:rPr>
          <w:rFonts w:ascii="Times New Roman" w:cs="Times New Roman" w:eastAsia="Times New Roman" w:hAnsi="Times New Roman"/>
          <w:sz w:val="18"/>
          <w:szCs w:val="18"/>
          <w:color w:val="auto"/>
        </w:rPr>
        <w:t>(Registrant)</w:t>
      </w:r>
    </w:p>
    <w:p>
      <w:pPr>
        <w:spacing w:after="0" w:line="234" w:lineRule="exact"/>
        <w:rPr>
          <w:sz w:val="20"/>
          <w:szCs w:val="20"/>
          <w:color w:val="auto"/>
        </w:rPr>
      </w:pPr>
    </w:p>
    <w:tbl>
      <w:tblPr>
        <w:tblLayout w:type="fixed"/>
        <w:tblInd w:w="5320" w:type="dxa"/>
        <w:tblCellMar>
          <w:top w:w="0" w:type="dxa"/>
          <w:left w:w="0" w:type="dxa"/>
          <w:bottom w:w="0" w:type="dxa"/>
          <w:right w:w="0" w:type="dxa"/>
        </w:tblCellMar>
      </w:tblPr>
      <w:tr>
        <w:trPr>
          <w:trHeight w:val="234"/>
        </w:trPr>
        <w:tc>
          <w:tcPr>
            <w:tcW w:w="640" w:type="dxa"/>
            <w:vAlign w:val="bottom"/>
          </w:tcPr>
          <w:p>
            <w:pPr>
              <w:spacing w:after="0"/>
              <w:rPr>
                <w:sz w:val="20"/>
                <w:szCs w:val="20"/>
                <w:color w:val="auto"/>
              </w:rPr>
            </w:pPr>
            <w:r>
              <w:rPr>
                <w:rFonts w:ascii="Times New Roman" w:cs="Times New Roman" w:eastAsia="Times New Roman" w:hAnsi="Times New Roman"/>
                <w:sz w:val="18"/>
                <w:szCs w:val="18"/>
                <w:color w:val="auto"/>
              </w:rPr>
              <w:t>By:</w:t>
            </w:r>
          </w:p>
        </w:tc>
        <w:tc>
          <w:tcPr>
            <w:tcW w:w="5280" w:type="dxa"/>
            <w:vAlign w:val="bottom"/>
            <w:tcBorders>
              <w:bottom w:val="single" w:sz="8" w:color="auto"/>
            </w:tcBorders>
            <w:gridSpan w:val="2"/>
          </w:tcPr>
          <w:p>
            <w:pPr>
              <w:ind w:left="20"/>
              <w:spacing w:after="0"/>
              <w:rPr>
                <w:sz w:val="20"/>
                <w:szCs w:val="20"/>
                <w:color w:val="auto"/>
              </w:rPr>
            </w:pPr>
            <w:r>
              <w:rPr>
                <w:rFonts w:ascii="Times New Roman" w:cs="Times New Roman" w:eastAsia="Times New Roman" w:hAnsi="Times New Roman"/>
                <w:sz w:val="18"/>
                <w:szCs w:val="18"/>
                <w:color w:val="auto"/>
              </w:rPr>
              <w:t>/s/ Phong Le</w:t>
            </w:r>
          </w:p>
        </w:tc>
      </w:tr>
      <w:tr>
        <w:trPr>
          <w:trHeight w:val="117"/>
        </w:trPr>
        <w:tc>
          <w:tcPr>
            <w:tcW w:w="640" w:type="dxa"/>
            <w:vAlign w:val="bottom"/>
          </w:tcPr>
          <w:p>
            <w:pPr>
              <w:spacing w:after="0"/>
              <w:rPr>
                <w:sz w:val="10"/>
                <w:szCs w:val="10"/>
                <w:color w:val="auto"/>
              </w:rPr>
            </w:pPr>
          </w:p>
        </w:tc>
        <w:tc>
          <w:tcPr>
            <w:tcW w:w="580" w:type="dxa"/>
            <w:vAlign w:val="bottom"/>
          </w:tcPr>
          <w:p>
            <w:pPr>
              <w:ind w:left="20"/>
              <w:spacing w:after="0" w:line="118" w:lineRule="exact"/>
              <w:rPr>
                <w:sz w:val="20"/>
                <w:szCs w:val="20"/>
                <w:color w:val="auto"/>
              </w:rPr>
            </w:pPr>
            <w:r>
              <w:rPr>
                <w:rFonts w:ascii="Times New Roman" w:cs="Times New Roman" w:eastAsia="Times New Roman" w:hAnsi="Times New Roman"/>
                <w:sz w:val="13"/>
                <w:szCs w:val="13"/>
                <w:b w:val="1"/>
                <w:bCs w:val="1"/>
                <w:color w:val="auto"/>
              </w:rPr>
              <w:t>Name:</w:t>
            </w:r>
          </w:p>
        </w:tc>
        <w:tc>
          <w:tcPr>
            <w:tcW w:w="4700" w:type="dxa"/>
            <w:vAlign w:val="bottom"/>
          </w:tcPr>
          <w:p>
            <w:pPr>
              <w:ind w:left="160"/>
              <w:spacing w:after="0" w:line="118" w:lineRule="exact"/>
              <w:rPr>
                <w:sz w:val="20"/>
                <w:szCs w:val="20"/>
                <w:color w:val="auto"/>
              </w:rPr>
            </w:pPr>
            <w:r>
              <w:rPr>
                <w:rFonts w:ascii="Times New Roman" w:cs="Times New Roman" w:eastAsia="Times New Roman" w:hAnsi="Times New Roman"/>
                <w:sz w:val="13"/>
                <w:szCs w:val="13"/>
                <w:b w:val="1"/>
                <w:bCs w:val="1"/>
                <w:color w:val="auto"/>
              </w:rPr>
              <w:t>Phong Le</w:t>
            </w:r>
          </w:p>
        </w:tc>
      </w:tr>
      <w:tr>
        <w:trPr>
          <w:trHeight w:val="190"/>
        </w:trPr>
        <w:tc>
          <w:tcPr>
            <w:tcW w:w="640" w:type="dxa"/>
            <w:vAlign w:val="bottom"/>
          </w:tcPr>
          <w:p>
            <w:pPr>
              <w:spacing w:after="0"/>
              <w:rPr>
                <w:sz w:val="16"/>
                <w:szCs w:val="16"/>
                <w:color w:val="auto"/>
              </w:rPr>
            </w:pPr>
          </w:p>
        </w:tc>
        <w:tc>
          <w:tcPr>
            <w:tcW w:w="58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Title:</w:t>
            </w:r>
          </w:p>
        </w:tc>
        <w:tc>
          <w:tcPr>
            <w:tcW w:w="4700" w:type="dxa"/>
            <w:vAlign w:val="bottom"/>
          </w:tcPr>
          <w:p>
            <w:pPr>
              <w:ind w:left="160"/>
              <w:spacing w:after="0"/>
              <w:rPr>
                <w:sz w:val="20"/>
                <w:szCs w:val="20"/>
                <w:color w:val="auto"/>
              </w:rPr>
            </w:pPr>
            <w:r>
              <w:rPr>
                <w:rFonts w:ascii="Times New Roman" w:cs="Times New Roman" w:eastAsia="Times New Roman" w:hAnsi="Times New Roman"/>
                <w:sz w:val="14"/>
                <w:szCs w:val="14"/>
                <w:b w:val="1"/>
                <w:bCs w:val="1"/>
                <w:color w:val="auto"/>
              </w:rPr>
              <w:t>President &amp; Chief Executive Officer</w:t>
            </w:r>
          </w:p>
        </w:tc>
      </w:tr>
    </w:tbl>
    <w:p>
      <w:pPr>
        <w:spacing w:after="0" w:line="208"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Date: February 18, 2025</w:t>
      </w:r>
    </w:p>
    <w:p>
      <w:pPr>
        <w:spacing w:after="0" w:line="264" w:lineRule="exact"/>
        <w:rPr>
          <w:sz w:val="20"/>
          <w:szCs w:val="20"/>
          <w:color w:val="auto"/>
        </w:rPr>
      </w:pPr>
    </w:p>
    <w:p>
      <w:pPr>
        <w:jc w:val="both"/>
        <w:spacing w:after="0" w:line="284" w:lineRule="auto"/>
        <w:rPr>
          <w:sz w:val="20"/>
          <w:szCs w:val="20"/>
          <w:color w:val="auto"/>
        </w:rPr>
      </w:pPr>
      <w:r>
        <w:rPr>
          <w:rFonts w:ascii="Times New Roman" w:cs="Times New Roman" w:eastAsia="Times New Roman" w:hAnsi="Times New Roman"/>
          <w:sz w:val="18"/>
          <w:szCs w:val="18"/>
          <w:i w:val="1"/>
          <w:iCs w:val="1"/>
          <w:color w:val="auto"/>
        </w:rPr>
        <w:t>Pursuant to the requirements of the Securities Exchange Act of 1934, as amended, this report has been signed below by the following persons on behalf of the registrant and in the capacities and on the dates indicated.</w:t>
      </w:r>
    </w:p>
    <w:p>
      <w:pPr>
        <w:sectPr>
          <w:pgSz w:w="11900" w:h="16838" w:orient="portrait"/>
          <w:cols w:equalWidth="0" w:num="1">
            <w:col w:w="11240"/>
          </w:cols>
          <w:pgMar w:left="320" w:top="981" w:right="339" w:bottom="1440" w:gutter="0" w:footer="0" w:header="0"/>
        </w:sectPr>
      </w:pPr>
    </w:p>
    <w:p>
      <w:pPr>
        <w:spacing w:after="0" w:line="154"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u w:val="single" w:color="auto"/>
          <w:color w:val="auto"/>
        </w:rPr>
        <w:t>Name</w:t>
      </w:r>
    </w:p>
    <w:p>
      <w:pPr>
        <w:spacing w:after="0" w:line="115"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P</w:t>
      </w:r>
      <w:r>
        <w:rPr>
          <w:rFonts w:ascii="Times New Roman" w:cs="Times New Roman" w:eastAsia="Times New Roman" w:hAnsi="Times New Roman"/>
          <w:sz w:val="12"/>
          <w:szCs w:val="12"/>
          <w:color w:val="auto"/>
        </w:rPr>
        <w:t>hong</w:t>
      </w:r>
      <w:r>
        <w:rPr>
          <w:rFonts w:ascii="Times New Roman" w:cs="Times New Roman" w:eastAsia="Times New Roman" w:hAnsi="Times New Roman"/>
          <w:sz w:val="18"/>
          <w:szCs w:val="18"/>
          <w:color w:val="auto"/>
        </w:rPr>
        <w:t xml:space="preserve"> L</w:t>
      </w:r>
      <w:r>
        <w:rPr>
          <w:rFonts w:ascii="Times New Roman" w:cs="Times New Roman" w:eastAsia="Times New Roman" w:hAnsi="Times New Roman"/>
          <w:sz w:val="12"/>
          <w:szCs w:val="12"/>
          <w:color w:val="auto"/>
        </w:rPr>
        <w:t>e</w:t>
      </w:r>
    </w:p>
    <w:p>
      <w:pPr>
        <w:spacing w:after="0" w:line="30"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Phong Le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13335</wp:posOffset>
            </wp:positionH>
            <wp:positionV relativeFrom="paragraph">
              <wp:posOffset>-94615</wp:posOffset>
            </wp:positionV>
            <wp:extent cx="2434590" cy="8255"/>
            <wp:wrapNone/>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660">
                      <a:extLst>
                        <a:ext uri="{28A0092B-C50C-407E-A947-70E740481C1C}"/>
                      </a:extLst>
                    </a:blip>
                    <a:srcRect/>
                    <a:stretch>
                      <a:fillRect/>
                    </a:stretch>
                  </pic:blipFill>
                  <pic:spPr bwMode="auto">
                    <a:xfrm>
                      <a:off x="0" y="0"/>
                      <a:ext cx="2434590" cy="8255"/>
                    </a:xfrm>
                    <a:prstGeom prst="rect">
                      <a:avLst/>
                    </a:prstGeom>
                    <a:noFill/>
                  </pic:spPr>
                </pic:pic>
              </a:graphicData>
            </a:graphic>
          </wp:anchor>
        </w:drawing>
      </w:r>
    </w:p>
    <w:p>
      <w:pPr>
        <w:spacing w:after="0" w:line="136"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A</w:t>
      </w:r>
      <w:r>
        <w:rPr>
          <w:rFonts w:ascii="Times New Roman" w:cs="Times New Roman" w:eastAsia="Times New Roman" w:hAnsi="Times New Roman"/>
          <w:sz w:val="12"/>
          <w:szCs w:val="12"/>
          <w:color w:val="auto"/>
        </w:rPr>
        <w:t>ndrew</w:t>
      </w:r>
      <w:r>
        <w:rPr>
          <w:rFonts w:ascii="Times New Roman" w:cs="Times New Roman" w:eastAsia="Times New Roman" w:hAnsi="Times New Roman"/>
          <w:sz w:val="18"/>
          <w:szCs w:val="18"/>
          <w:color w:val="auto"/>
        </w:rPr>
        <w:t xml:space="preserve"> K</w:t>
      </w:r>
      <w:r>
        <w:rPr>
          <w:rFonts w:ascii="Times New Roman" w:cs="Times New Roman" w:eastAsia="Times New Roman" w:hAnsi="Times New Roman"/>
          <w:sz w:val="12"/>
          <w:szCs w:val="12"/>
          <w:color w:val="auto"/>
        </w:rPr>
        <w:t>ang</w:t>
      </w:r>
    </w:p>
    <w:p>
      <w:pPr>
        <w:spacing w:after="0" w:line="30"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13335</wp:posOffset>
            </wp:positionH>
            <wp:positionV relativeFrom="paragraph">
              <wp:posOffset>-94615</wp:posOffset>
            </wp:positionV>
            <wp:extent cx="2434590" cy="8255"/>
            <wp:wrapNone/>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661">
                      <a:extLst>
                        <a:ext uri="{28A0092B-C50C-407E-A947-70E740481C1C}"/>
                      </a:extLst>
                    </a:blip>
                    <a:srcRect/>
                    <a:stretch>
                      <a:fillRect/>
                    </a:stretch>
                  </pic:blipFill>
                  <pic:spPr bwMode="auto">
                    <a:xfrm>
                      <a:off x="0" y="0"/>
                      <a:ext cx="2434590" cy="8255"/>
                    </a:xfrm>
                    <a:prstGeom prst="rect">
                      <a:avLst/>
                    </a:prstGeom>
                    <a:noFill/>
                  </pic:spPr>
                </pic:pic>
              </a:graphicData>
            </a:graphic>
          </wp:anchor>
        </w:drawing>
      </w:r>
    </w:p>
    <w:p>
      <w:pPr>
        <w:spacing w:after="0" w:line="136"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J</w:t>
      </w:r>
      <w:r>
        <w:rPr>
          <w:rFonts w:ascii="Times New Roman" w:cs="Times New Roman" w:eastAsia="Times New Roman" w:hAnsi="Times New Roman"/>
          <w:sz w:val="12"/>
          <w:szCs w:val="12"/>
          <w:color w:val="auto"/>
        </w:rPr>
        <w:t>eanine</w:t>
      </w:r>
      <w:r>
        <w:rPr>
          <w:rFonts w:ascii="Times New Roman" w:cs="Times New Roman" w:eastAsia="Times New Roman" w:hAnsi="Times New Roman"/>
          <w:sz w:val="18"/>
          <w:szCs w:val="18"/>
          <w:color w:val="auto"/>
        </w:rPr>
        <w:t xml:space="preserve"> M</w:t>
      </w:r>
      <w:r>
        <w:rPr>
          <w:rFonts w:ascii="Times New Roman" w:cs="Times New Roman" w:eastAsia="Times New Roman" w:hAnsi="Times New Roman"/>
          <w:sz w:val="12"/>
          <w:szCs w:val="12"/>
          <w:color w:val="auto"/>
        </w:rPr>
        <w:t>ontgomery</w:t>
      </w:r>
    </w:p>
    <w:p>
      <w:pPr>
        <w:spacing w:after="0" w:line="30"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Jeanine Montgomery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13335</wp:posOffset>
            </wp:positionH>
            <wp:positionV relativeFrom="paragraph">
              <wp:posOffset>-94615</wp:posOffset>
            </wp:positionV>
            <wp:extent cx="2434590" cy="8255"/>
            <wp:wrapNone/>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662">
                      <a:extLst>
                        <a:ext uri="{28A0092B-C50C-407E-A947-70E740481C1C}"/>
                      </a:extLst>
                    </a:blip>
                    <a:srcRect/>
                    <a:stretch>
                      <a:fillRect/>
                    </a:stretch>
                  </pic:blipFill>
                  <pic:spPr bwMode="auto">
                    <a:xfrm>
                      <a:off x="0" y="0"/>
                      <a:ext cx="2434590" cy="8255"/>
                    </a:xfrm>
                    <a:prstGeom prst="rect">
                      <a:avLst/>
                    </a:prstGeom>
                    <a:noFill/>
                  </pic:spPr>
                </pic:pic>
              </a:graphicData>
            </a:graphic>
          </wp:anchor>
        </w:drawing>
      </w:r>
    </w:p>
    <w:p>
      <w:pPr>
        <w:spacing w:after="0" w:line="136"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M</w:t>
      </w:r>
      <w:r>
        <w:rPr>
          <w:rFonts w:ascii="Times New Roman" w:cs="Times New Roman" w:eastAsia="Times New Roman" w:hAnsi="Times New Roman"/>
          <w:sz w:val="12"/>
          <w:szCs w:val="12"/>
          <w:color w:val="auto"/>
        </w:rPr>
        <w:t>ichael</w:t>
      </w:r>
      <w:r>
        <w:rPr>
          <w:rFonts w:ascii="Times New Roman" w:cs="Times New Roman" w:eastAsia="Times New Roman" w:hAnsi="Times New Roman"/>
          <w:sz w:val="18"/>
          <w:szCs w:val="18"/>
          <w:color w:val="auto"/>
        </w:rPr>
        <w:t xml:space="preserve"> J. S</w:t>
      </w:r>
      <w:r>
        <w:rPr>
          <w:rFonts w:ascii="Times New Roman" w:cs="Times New Roman" w:eastAsia="Times New Roman" w:hAnsi="Times New Roman"/>
          <w:sz w:val="12"/>
          <w:szCs w:val="12"/>
          <w:color w:val="auto"/>
        </w:rPr>
        <w:t>aylor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17145</wp:posOffset>
            </wp:positionV>
            <wp:extent cx="2451735" cy="8255"/>
            <wp:wrapNone/>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663">
                      <a:extLst>
                        <a:ext uri="{28A0092B-C50C-407E-A947-70E740481C1C}"/>
                      </a:extLst>
                    </a:blip>
                    <a:srcRect/>
                    <a:stretch>
                      <a:fillRect/>
                    </a:stretch>
                  </pic:blipFill>
                  <pic:spPr bwMode="auto">
                    <a:xfrm>
                      <a:off x="0" y="0"/>
                      <a:ext cx="2451735" cy="8255"/>
                    </a:xfrm>
                    <a:prstGeom prst="rect">
                      <a:avLst/>
                    </a:prstGeom>
                    <a:noFill/>
                  </pic:spPr>
                </pic:pic>
              </a:graphicData>
            </a:graphic>
          </wp:anchor>
        </w:drawing>
      </w:r>
    </w:p>
    <w:p>
      <w:pPr>
        <w:spacing w:after="0" w:line="7"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Michael J. Saylor</w:t>
      </w:r>
    </w:p>
    <w:p>
      <w:pPr>
        <w:spacing w:after="0" w:line="104"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BRIAN BROOKS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17145</wp:posOffset>
            </wp:positionV>
            <wp:extent cx="2451735" cy="8255"/>
            <wp:wrapNone/>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664">
                      <a:extLst>
                        <a:ext uri="{28A0092B-C50C-407E-A947-70E740481C1C}"/>
                      </a:extLst>
                    </a:blip>
                    <a:srcRect/>
                    <a:stretch>
                      <a:fillRect/>
                    </a:stretch>
                  </pic:blipFill>
                  <pic:spPr bwMode="auto">
                    <a:xfrm>
                      <a:off x="0" y="0"/>
                      <a:ext cx="2451735" cy="8255"/>
                    </a:xfrm>
                    <a:prstGeom prst="rect">
                      <a:avLst/>
                    </a:prstGeom>
                    <a:noFill/>
                  </pic:spPr>
                </pic:pic>
              </a:graphicData>
            </a:graphic>
          </wp:anchor>
        </w:drawing>
      </w:r>
    </w:p>
    <w:p>
      <w:pPr>
        <w:spacing w:after="0" w:line="64"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Brian Brooks</w:t>
      </w:r>
    </w:p>
    <w:p>
      <w:pPr>
        <w:spacing w:after="0" w:line="115"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J</w:t>
      </w:r>
      <w:r>
        <w:rPr>
          <w:rFonts w:ascii="Times New Roman" w:cs="Times New Roman" w:eastAsia="Times New Roman" w:hAnsi="Times New Roman"/>
          <w:sz w:val="12"/>
          <w:szCs w:val="12"/>
          <w:color w:val="auto"/>
        </w:rPr>
        <w:t>ane</w:t>
      </w:r>
      <w:r>
        <w:rPr>
          <w:rFonts w:ascii="Times New Roman" w:cs="Times New Roman" w:eastAsia="Times New Roman" w:hAnsi="Times New Roman"/>
          <w:sz w:val="18"/>
          <w:szCs w:val="18"/>
          <w:color w:val="auto"/>
        </w:rPr>
        <w:t xml:space="preserve"> D</w:t>
      </w:r>
      <w:r>
        <w:rPr>
          <w:rFonts w:ascii="Times New Roman" w:cs="Times New Roman" w:eastAsia="Times New Roman" w:hAnsi="Times New Roman"/>
          <w:sz w:val="12"/>
          <w:szCs w:val="12"/>
          <w:color w:val="auto"/>
        </w:rPr>
        <w:t>ietze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17145</wp:posOffset>
            </wp:positionV>
            <wp:extent cx="2451735" cy="8890"/>
            <wp:wrapNone/>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665">
                      <a:extLst>
                        <a:ext uri="{28A0092B-C50C-407E-A947-70E740481C1C}"/>
                      </a:extLst>
                    </a:blip>
                    <a:srcRect/>
                    <a:stretch>
                      <a:fillRect/>
                    </a:stretch>
                  </pic:blipFill>
                  <pic:spPr bwMode="auto">
                    <a:xfrm>
                      <a:off x="0" y="0"/>
                      <a:ext cx="2451735" cy="8890"/>
                    </a:xfrm>
                    <a:prstGeom prst="rect">
                      <a:avLst/>
                    </a:prstGeom>
                    <a:noFill/>
                  </pic:spPr>
                </pic:pic>
              </a:graphicData>
            </a:graphic>
          </wp:anchor>
        </w:drawing>
      </w:r>
    </w:p>
    <w:p>
      <w:pPr>
        <w:spacing w:after="0" w:line="64"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Jane Dietze</w:t>
      </w:r>
    </w:p>
    <w:p>
      <w:pPr>
        <w:spacing w:after="0" w:line="115" w:lineRule="exact"/>
        <w:rPr>
          <w:sz w:val="20"/>
          <w:szCs w:val="20"/>
          <w:color w:val="auto"/>
        </w:rPr>
      </w:pPr>
    </w:p>
    <w:p>
      <w:pPr>
        <w:ind w:left="110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S</w:t>
      </w:r>
      <w:r>
        <w:rPr>
          <w:rFonts w:ascii="Times New Roman" w:cs="Times New Roman" w:eastAsia="Times New Roman" w:hAnsi="Times New Roman"/>
          <w:sz w:val="12"/>
          <w:szCs w:val="12"/>
          <w:color w:val="auto"/>
        </w:rPr>
        <w:t>tephen</w:t>
      </w:r>
      <w:r>
        <w:rPr>
          <w:rFonts w:ascii="Times New Roman" w:cs="Times New Roman" w:eastAsia="Times New Roman" w:hAnsi="Times New Roman"/>
          <w:sz w:val="18"/>
          <w:szCs w:val="18"/>
          <w:color w:val="auto"/>
        </w:rPr>
        <w:t xml:space="preserve"> X. G</w:t>
      </w:r>
      <w:r>
        <w:rPr>
          <w:rFonts w:ascii="Times New Roman" w:cs="Times New Roman" w:eastAsia="Times New Roman" w:hAnsi="Times New Roman"/>
          <w:sz w:val="12"/>
          <w:szCs w:val="12"/>
          <w:color w:val="auto"/>
        </w:rPr>
        <w:t>raham</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17145</wp:posOffset>
            </wp:positionV>
            <wp:extent cx="2451735" cy="8255"/>
            <wp:wrapNone/>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666">
                      <a:extLst>
                        <a:ext uri="{28A0092B-C50C-407E-A947-70E740481C1C}"/>
                      </a:extLst>
                    </a:blip>
                    <a:srcRect/>
                    <a:stretch>
                      <a:fillRect/>
                    </a:stretch>
                  </pic:blipFill>
                  <pic:spPr bwMode="auto">
                    <a:xfrm>
                      <a:off x="0" y="0"/>
                      <a:ext cx="2451735" cy="8255"/>
                    </a:xfrm>
                    <a:prstGeom prst="rect">
                      <a:avLst/>
                    </a:prstGeom>
                    <a:noFill/>
                  </pic:spPr>
                </pic:pic>
              </a:graphicData>
            </a:graphic>
          </wp:anchor>
        </w:drawing>
      </w:r>
    </w:p>
    <w:p>
      <w:pPr>
        <w:spacing w:after="0" w:line="7"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Stephen X. Graham</w:t>
      </w:r>
    </w:p>
    <w:p>
      <w:pPr>
        <w:spacing w:after="0" w:line="104"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J</w:t>
      </w:r>
      <w:r>
        <w:rPr>
          <w:rFonts w:ascii="Times New Roman" w:cs="Times New Roman" w:eastAsia="Times New Roman" w:hAnsi="Times New Roman"/>
          <w:sz w:val="12"/>
          <w:szCs w:val="12"/>
          <w:color w:val="auto"/>
        </w:rPr>
        <w:t>arrod</w:t>
      </w:r>
      <w:r>
        <w:rPr>
          <w:rFonts w:ascii="Times New Roman" w:cs="Times New Roman" w:eastAsia="Times New Roman" w:hAnsi="Times New Roman"/>
          <w:sz w:val="18"/>
          <w:szCs w:val="18"/>
          <w:color w:val="auto"/>
        </w:rPr>
        <w:t xml:space="preserve"> M. P</w:t>
      </w:r>
      <w:r>
        <w:rPr>
          <w:rFonts w:ascii="Times New Roman" w:cs="Times New Roman" w:eastAsia="Times New Roman" w:hAnsi="Times New Roman"/>
          <w:sz w:val="12"/>
          <w:szCs w:val="12"/>
          <w:color w:val="auto"/>
        </w:rPr>
        <w:t>atten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17145</wp:posOffset>
            </wp:positionV>
            <wp:extent cx="2451735" cy="8255"/>
            <wp:wrapNone/>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667">
                      <a:extLst>
                        <a:ext uri="{28A0092B-C50C-407E-A947-70E740481C1C}"/>
                      </a:extLst>
                    </a:blip>
                    <a:srcRect/>
                    <a:stretch>
                      <a:fillRect/>
                    </a:stretch>
                  </pic:blipFill>
                  <pic:spPr bwMode="auto">
                    <a:xfrm>
                      <a:off x="0" y="0"/>
                      <a:ext cx="2451735" cy="8255"/>
                    </a:xfrm>
                    <a:prstGeom prst="rect">
                      <a:avLst/>
                    </a:prstGeom>
                    <a:noFill/>
                  </pic:spPr>
                </pic:pic>
              </a:graphicData>
            </a:graphic>
          </wp:anchor>
        </w:drawing>
      </w:r>
    </w:p>
    <w:p>
      <w:pPr>
        <w:spacing w:after="0" w:line="7"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Jarrod M. Patten</w:t>
      </w:r>
    </w:p>
    <w:p>
      <w:pPr>
        <w:spacing w:after="0" w:line="158"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L</w:t>
      </w:r>
      <w:r>
        <w:rPr>
          <w:rFonts w:ascii="Times New Roman" w:cs="Times New Roman" w:eastAsia="Times New Roman" w:hAnsi="Times New Roman"/>
          <w:sz w:val="12"/>
          <w:szCs w:val="12"/>
          <w:color w:val="auto"/>
        </w:rPr>
        <w:t>eslie</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2"/>
          <w:szCs w:val="12"/>
          <w:color w:val="auto"/>
        </w:rPr>
        <w:t>echan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17145</wp:posOffset>
            </wp:positionV>
            <wp:extent cx="2451735" cy="8255"/>
            <wp:wrapNone/>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668">
                      <a:extLst>
                        <a:ext uri="{28A0092B-C50C-407E-A947-70E740481C1C}"/>
                      </a:extLst>
                    </a:blip>
                    <a:srcRect/>
                    <a:stretch>
                      <a:fillRect/>
                    </a:stretch>
                  </pic:blipFill>
                  <pic:spPr bwMode="auto">
                    <a:xfrm>
                      <a:off x="0" y="0"/>
                      <a:ext cx="2451735" cy="8255"/>
                    </a:xfrm>
                    <a:prstGeom prst="rect">
                      <a:avLst/>
                    </a:prstGeom>
                    <a:noFill/>
                  </pic:spPr>
                </pic:pic>
              </a:graphicData>
            </a:graphic>
          </wp:anchor>
        </w:drawing>
      </w:r>
    </w:p>
    <w:p>
      <w:pPr>
        <w:spacing w:after="0" w:line="7"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Leslie Rechan</w:t>
      </w:r>
    </w:p>
    <w:p>
      <w:pPr>
        <w:spacing w:after="0" w:line="104"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C</w:t>
      </w:r>
      <w:r>
        <w:rPr>
          <w:rFonts w:ascii="Times New Roman" w:cs="Times New Roman" w:eastAsia="Times New Roman" w:hAnsi="Times New Roman"/>
          <w:sz w:val="12"/>
          <w:szCs w:val="12"/>
          <w:color w:val="auto"/>
        </w:rPr>
        <w:t>arl</w:t>
      </w:r>
      <w:r>
        <w:rPr>
          <w:rFonts w:ascii="Times New Roman" w:cs="Times New Roman" w:eastAsia="Times New Roman" w:hAnsi="Times New Roman"/>
          <w:sz w:val="18"/>
          <w:szCs w:val="18"/>
          <w:color w:val="auto"/>
        </w:rPr>
        <w:t xml:space="preserve"> J. R</w:t>
      </w:r>
      <w:r>
        <w:rPr>
          <w:rFonts w:ascii="Times New Roman" w:cs="Times New Roman" w:eastAsia="Times New Roman" w:hAnsi="Times New Roman"/>
          <w:sz w:val="12"/>
          <w:szCs w:val="12"/>
          <w:color w:val="auto"/>
        </w:rPr>
        <w:t>ickertsen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17145</wp:posOffset>
            </wp:positionV>
            <wp:extent cx="2451735" cy="8255"/>
            <wp:wrapNone/>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669">
                      <a:extLst>
                        <a:ext uri="{28A0092B-C50C-407E-A947-70E740481C1C}"/>
                      </a:extLst>
                    </a:blip>
                    <a:srcRect/>
                    <a:stretch>
                      <a:fillRect/>
                    </a:stretch>
                  </pic:blipFill>
                  <pic:spPr bwMode="auto">
                    <a:xfrm>
                      <a:off x="0" y="0"/>
                      <a:ext cx="2451735" cy="8255"/>
                    </a:xfrm>
                    <a:prstGeom prst="rect">
                      <a:avLst/>
                    </a:prstGeom>
                    <a:noFill/>
                  </pic:spPr>
                </pic:pic>
              </a:graphicData>
            </a:graphic>
          </wp:anchor>
        </w:drawing>
      </w:r>
    </w:p>
    <w:p>
      <w:pPr>
        <w:spacing w:after="0" w:line="7"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4"/>
          <w:szCs w:val="14"/>
          <w:b w:val="1"/>
          <w:bCs w:val="1"/>
          <w:color w:val="auto"/>
        </w:rPr>
        <w:t>Carl J. Rickertsen</w:t>
      </w:r>
    </w:p>
    <w:p>
      <w:pPr>
        <w:spacing w:after="0" w:line="104" w:lineRule="exact"/>
        <w:rPr>
          <w:sz w:val="20"/>
          <w:szCs w:val="20"/>
          <w:color w:val="auto"/>
        </w:rPr>
      </w:pPr>
    </w:p>
    <w:p>
      <w:pPr>
        <w:jc w:val="center"/>
        <w:ind w:left="42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2"/>
          <w:szCs w:val="12"/>
          <w:color w:val="auto"/>
        </w:rPr>
        <w:t>s</w:t>
      </w:r>
      <w:r>
        <w:rPr>
          <w:rFonts w:ascii="Times New Roman" w:cs="Times New Roman" w:eastAsia="Times New Roman" w:hAnsi="Times New Roman"/>
          <w:sz w:val="18"/>
          <w:szCs w:val="18"/>
          <w:color w:val="auto"/>
        </w:rPr>
        <w:t>/ G</w:t>
      </w:r>
      <w:r>
        <w:rPr>
          <w:rFonts w:ascii="Times New Roman" w:cs="Times New Roman" w:eastAsia="Times New Roman" w:hAnsi="Times New Roman"/>
          <w:sz w:val="12"/>
          <w:szCs w:val="12"/>
          <w:color w:val="auto"/>
        </w:rPr>
        <w:t>regg</w:t>
      </w:r>
      <w:r>
        <w:rPr>
          <w:rFonts w:ascii="Times New Roman" w:cs="Times New Roman" w:eastAsia="Times New Roman" w:hAnsi="Times New Roman"/>
          <w:sz w:val="18"/>
          <w:szCs w:val="18"/>
          <w:color w:val="auto"/>
        </w:rPr>
        <w:t xml:space="preserve"> W</w:t>
      </w:r>
      <w:r>
        <w:rPr>
          <w:rFonts w:ascii="Times New Roman" w:cs="Times New Roman" w:eastAsia="Times New Roman" w:hAnsi="Times New Roman"/>
          <w:sz w:val="12"/>
          <w:szCs w:val="12"/>
          <w:color w:val="auto"/>
        </w:rPr>
        <w:t>iniarski</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17145</wp:posOffset>
            </wp:positionV>
            <wp:extent cx="2451735" cy="8890"/>
            <wp:wrapNone/>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670">
                      <a:extLst>
                        <a:ext uri="{28A0092B-C50C-407E-A947-70E740481C1C}"/>
                      </a:extLst>
                    </a:blip>
                    <a:srcRect/>
                    <a:stretch>
                      <a:fillRect/>
                    </a:stretch>
                  </pic:blipFill>
                  <pic:spPr bwMode="auto">
                    <a:xfrm>
                      <a:off x="0" y="0"/>
                      <a:ext cx="2451735" cy="8890"/>
                    </a:xfrm>
                    <a:prstGeom prst="rect">
                      <a:avLst/>
                    </a:prstGeom>
                    <a:noFill/>
                  </pic:spPr>
                </pic:pic>
              </a:graphicData>
            </a:graphic>
          </wp:anchor>
        </w:drawing>
      </w:r>
    </w:p>
    <w:p>
      <w:pPr>
        <w:spacing w:after="0" w:line="7" w:lineRule="exact"/>
        <w:rPr>
          <w:sz w:val="20"/>
          <w:szCs w:val="20"/>
          <w:color w:val="auto"/>
        </w:rPr>
      </w:pPr>
    </w:p>
    <w:p>
      <w:pPr>
        <w:ind w:left="1420"/>
        <w:spacing w:after="0"/>
        <w:rPr>
          <w:sz w:val="20"/>
          <w:szCs w:val="20"/>
          <w:color w:val="auto"/>
        </w:rPr>
      </w:pPr>
      <w:r>
        <w:rPr>
          <w:rFonts w:ascii="Times New Roman" w:cs="Times New Roman" w:eastAsia="Times New Roman" w:hAnsi="Times New Roman"/>
          <w:sz w:val="14"/>
          <w:szCs w:val="14"/>
          <w:b w:val="1"/>
          <w:bCs w:val="1"/>
          <w:color w:val="auto"/>
        </w:rPr>
        <w:t>Gregg Winiarski</w:t>
      </w:r>
    </w:p>
    <w:p>
      <w:pPr>
        <w:spacing w:after="0" w:line="20" w:lineRule="exact"/>
        <w:rPr>
          <w:sz w:val="20"/>
          <w:szCs w:val="20"/>
          <w:color w:val="auto"/>
        </w:rPr>
      </w:pPr>
      <w:r>
        <w:rPr>
          <w:sz w:val="20"/>
          <w:szCs w:val="20"/>
          <w:color w:val="auto"/>
        </w:rPr>
        <w:br w:type="column"/>
      </w:r>
    </w:p>
    <w:p>
      <w:pPr>
        <w:spacing w:after="0" w:line="132" w:lineRule="exact"/>
        <w:rPr>
          <w:sz w:val="20"/>
          <w:szCs w:val="20"/>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61"/>
        </w:trPr>
        <w:tc>
          <w:tcPr>
            <w:tcW w:w="2220" w:type="dxa"/>
            <w:vAlign w:val="bottom"/>
          </w:tcPr>
          <w:p>
            <w:pPr>
              <w:spacing w:after="0"/>
              <w:rPr>
                <w:sz w:val="13"/>
                <w:szCs w:val="13"/>
                <w:color w:val="auto"/>
              </w:rPr>
            </w:pPr>
          </w:p>
        </w:tc>
        <w:tc>
          <w:tcPr>
            <w:tcW w:w="2860" w:type="dxa"/>
            <w:vAlign w:val="bottom"/>
            <w:gridSpan w:val="2"/>
          </w:tcPr>
          <w:p>
            <w:pPr>
              <w:spacing w:after="0"/>
              <w:rPr>
                <w:sz w:val="20"/>
                <w:szCs w:val="20"/>
                <w:color w:val="auto"/>
              </w:rPr>
            </w:pPr>
            <w:r>
              <w:rPr>
                <w:rFonts w:ascii="Times New Roman" w:cs="Times New Roman" w:eastAsia="Times New Roman" w:hAnsi="Times New Roman"/>
                <w:sz w:val="14"/>
                <w:szCs w:val="14"/>
                <w:b w:val="1"/>
                <w:bCs w:val="1"/>
                <w:color w:val="auto"/>
              </w:rPr>
              <w:t>Position</w:t>
            </w:r>
          </w:p>
        </w:tc>
        <w:tc>
          <w:tcPr>
            <w:tcW w:w="1640" w:type="dxa"/>
            <w:vAlign w:val="bottom"/>
            <w:gridSpan w:val="3"/>
          </w:tcPr>
          <w:p>
            <w:pPr>
              <w:jc w:val="center"/>
              <w:ind w:left="252"/>
              <w:spacing w:after="0"/>
              <w:rPr>
                <w:sz w:val="20"/>
                <w:szCs w:val="20"/>
                <w:color w:val="auto"/>
              </w:rPr>
            </w:pPr>
            <w:r>
              <w:rPr>
                <w:rFonts w:ascii="Times New Roman" w:cs="Times New Roman" w:eastAsia="Times New Roman" w:hAnsi="Times New Roman"/>
                <w:sz w:val="14"/>
                <w:szCs w:val="14"/>
                <w:b w:val="1"/>
                <w:bCs w:val="1"/>
                <w:color w:val="auto"/>
              </w:rPr>
              <w:t>Date</w:t>
            </w:r>
          </w:p>
        </w:tc>
      </w:tr>
      <w:tr>
        <w:trPr>
          <w:trHeight w:val="20"/>
        </w:trPr>
        <w:tc>
          <w:tcPr>
            <w:tcW w:w="2220" w:type="dxa"/>
            <w:vAlign w:val="bottom"/>
          </w:tcPr>
          <w:p>
            <w:pPr>
              <w:spacing w:after="0" w:line="20" w:lineRule="exact"/>
              <w:rPr>
                <w:sz w:val="1"/>
                <w:szCs w:val="1"/>
                <w:color w:val="auto"/>
              </w:rPr>
            </w:pPr>
          </w:p>
        </w:tc>
        <w:tc>
          <w:tcPr>
            <w:tcW w:w="500" w:type="dxa"/>
            <w:vAlign w:val="bottom"/>
            <w:shd w:val="clear" w:color="auto" w:fill="000000"/>
          </w:tcPr>
          <w:p>
            <w:pPr>
              <w:spacing w:after="0" w:line="20" w:lineRule="exact"/>
              <w:rPr>
                <w:sz w:val="1"/>
                <w:szCs w:val="1"/>
                <w:color w:val="auto"/>
              </w:rPr>
            </w:pPr>
          </w:p>
        </w:tc>
        <w:tc>
          <w:tcPr>
            <w:tcW w:w="2360" w:type="dxa"/>
            <w:vAlign w:val="bottom"/>
          </w:tcPr>
          <w:p>
            <w:pPr>
              <w:spacing w:after="0" w:line="20" w:lineRule="exact"/>
              <w:rPr>
                <w:sz w:val="1"/>
                <w:szCs w:val="1"/>
                <w:color w:val="auto"/>
              </w:rPr>
            </w:pPr>
          </w:p>
        </w:tc>
        <w:tc>
          <w:tcPr>
            <w:tcW w:w="840" w:type="dxa"/>
            <w:vAlign w:val="bottom"/>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500" w:type="dxa"/>
            <w:vAlign w:val="bottom"/>
          </w:tcPr>
          <w:p>
            <w:pPr>
              <w:spacing w:after="0" w:line="20" w:lineRule="exact"/>
              <w:rPr>
                <w:sz w:val="1"/>
                <w:szCs w:val="1"/>
                <w:color w:val="auto"/>
              </w:rPr>
            </w:pPr>
          </w:p>
        </w:tc>
      </w:tr>
      <w:tr>
        <w:trPr>
          <w:trHeight w:val="313"/>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President &amp; Chief Executive Officer and Director (Principal</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234"/>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Executive Officer)</w:t>
            </w:r>
          </w:p>
        </w:tc>
        <w:tc>
          <w:tcPr>
            <w:tcW w:w="84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500" w:type="dxa"/>
            <w:vAlign w:val="bottom"/>
          </w:tcPr>
          <w:p>
            <w:pPr>
              <w:spacing w:after="0"/>
              <w:rPr>
                <w:sz w:val="20"/>
                <w:szCs w:val="20"/>
                <w:color w:val="auto"/>
              </w:rPr>
            </w:pPr>
          </w:p>
        </w:tc>
      </w:tr>
      <w:tr>
        <w:trPr>
          <w:trHeight w:val="319"/>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Executive Vice President &amp; Chief Financial Officer (Principal</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234"/>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Financial Officer)</w:t>
            </w:r>
          </w:p>
        </w:tc>
        <w:tc>
          <w:tcPr>
            <w:tcW w:w="84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500" w:type="dxa"/>
            <w:vAlign w:val="bottom"/>
          </w:tcPr>
          <w:p>
            <w:pPr>
              <w:spacing w:after="0"/>
              <w:rPr>
                <w:sz w:val="20"/>
                <w:szCs w:val="20"/>
                <w:color w:val="auto"/>
              </w:rPr>
            </w:pPr>
          </w:p>
        </w:tc>
      </w:tr>
      <w:tr>
        <w:trPr>
          <w:trHeight w:val="319"/>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Vice President &amp; Chief Accounting Officer (Principal Accounting</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234"/>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Officer)</w:t>
            </w:r>
          </w:p>
        </w:tc>
        <w:tc>
          <w:tcPr>
            <w:tcW w:w="84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500" w:type="dxa"/>
            <w:vAlign w:val="bottom"/>
          </w:tcPr>
          <w:p>
            <w:pPr>
              <w:spacing w:after="0"/>
              <w:rPr>
                <w:sz w:val="20"/>
                <w:szCs w:val="20"/>
                <w:color w:val="auto"/>
              </w:rPr>
            </w:pPr>
          </w:p>
        </w:tc>
      </w:tr>
      <w:tr>
        <w:trPr>
          <w:trHeight w:val="338"/>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Chairman of the Board of Directors &amp; Executive Chairman</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513"/>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Director</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567"/>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Director</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567"/>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Director</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500"/>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Director</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553"/>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Director</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500"/>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Director</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r>
        <w:trPr>
          <w:trHeight w:val="486"/>
        </w:trPr>
        <w:tc>
          <w:tcPr>
            <w:tcW w:w="508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Director</w:t>
            </w:r>
          </w:p>
        </w:tc>
        <w:tc>
          <w:tcPr>
            <w:tcW w:w="1640" w:type="dxa"/>
            <w:vAlign w:val="bottom"/>
            <w:gridSpan w:val="3"/>
          </w:tcPr>
          <w:p>
            <w:pPr>
              <w:jc w:val="center"/>
              <w:ind w:left="232"/>
              <w:spacing w:after="0"/>
              <w:rPr>
                <w:sz w:val="20"/>
                <w:szCs w:val="20"/>
                <w:color w:val="auto"/>
              </w:rPr>
            </w:pPr>
            <w:r>
              <w:rPr>
                <w:rFonts w:ascii="Times New Roman" w:cs="Times New Roman" w:eastAsia="Times New Roman" w:hAnsi="Times New Roman"/>
                <w:sz w:val="18"/>
                <w:szCs w:val="18"/>
                <w:color w:val="auto"/>
                <w:w w:val="99"/>
              </w:rPr>
              <w:t>February 18, 2025</w:t>
            </w:r>
          </w:p>
        </w:tc>
      </w:tr>
    </w:tbl>
    <w:p>
      <w:pPr>
        <w:spacing w:after="0" w:line="360" w:lineRule="exact"/>
        <w:rPr>
          <w:sz w:val="20"/>
          <w:szCs w:val="20"/>
          <w:color w:val="auto"/>
        </w:rPr>
      </w:pPr>
    </w:p>
    <w:p>
      <w:pPr>
        <w:sectPr>
          <w:pgSz w:w="11900" w:h="16838" w:orient="portrait"/>
          <w:cols w:equalWidth="0" w:num="2">
            <w:col w:w="3460" w:space="720"/>
            <w:col w:w="7060"/>
          </w:cols>
          <w:pgMar w:left="320" w:top="981" w:right="339" w:bottom="1440" w:gutter="0" w:footer="0" w:header="0"/>
          <w:type w:val="continuous"/>
        </w:sectPr>
      </w:pPr>
    </w:p>
    <w:p>
      <w:pPr>
        <w:spacing w:after="0" w:line="21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123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67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type w:val="continuous"/>
        </w:sectPr>
      </w:pPr>
    </w:p>
    <w:bookmarkStart w:id="123" w:name="page124"/>
    <w:bookmarkEnd w:id="123"/>
    <w:p>
      <w:pPr>
        <w:jc w:val="center"/>
        <w:ind w:right="-551"/>
        <w:spacing w:after="0"/>
        <w:rPr>
          <w:sz w:val="20"/>
          <w:szCs w:val="20"/>
          <w:color w:val="auto"/>
        </w:rPr>
      </w:pPr>
      <w:r>
        <w:rPr>
          <w:rFonts w:ascii="Times New Roman" w:cs="Times New Roman" w:eastAsia="Times New Roman" w:hAnsi="Times New Roman"/>
          <w:sz w:val="18"/>
          <w:szCs w:val="18"/>
          <w:b w:val="1"/>
          <w:bCs w:val="1"/>
          <w:color w:val="auto"/>
        </w:rPr>
        <w:t>SCHEDULE II</w:t>
      </w:r>
    </w:p>
    <w:p>
      <w:pPr>
        <w:spacing w:after="0" w:line="31" w:lineRule="exact"/>
        <w:rPr>
          <w:sz w:val="20"/>
          <w:szCs w:val="20"/>
          <w:color w:val="auto"/>
        </w:rPr>
      </w:pPr>
    </w:p>
    <w:p>
      <w:pPr>
        <w:jc w:val="center"/>
        <w:ind w:right="-551"/>
        <w:spacing w:after="0"/>
        <w:rPr>
          <w:sz w:val="20"/>
          <w:szCs w:val="20"/>
          <w:color w:val="auto"/>
        </w:rPr>
      </w:pPr>
      <w:r>
        <w:rPr>
          <w:rFonts w:ascii="Times New Roman" w:cs="Times New Roman" w:eastAsia="Times New Roman" w:hAnsi="Times New Roman"/>
          <w:sz w:val="18"/>
          <w:szCs w:val="18"/>
          <w:b w:val="1"/>
          <w:bCs w:val="1"/>
          <w:color w:val="auto"/>
        </w:rPr>
        <w:t>VALUATION AND QUALIFYING ACCOUNTS</w:t>
      </w:r>
    </w:p>
    <w:p>
      <w:pPr>
        <w:spacing w:after="0" w:line="9" w:lineRule="exact"/>
        <w:rPr>
          <w:sz w:val="20"/>
          <w:szCs w:val="20"/>
          <w:color w:val="auto"/>
        </w:rPr>
      </w:pPr>
    </w:p>
    <w:p>
      <w:pPr>
        <w:jc w:val="center"/>
        <w:ind w:right="-551"/>
        <w:spacing w:after="0"/>
        <w:rPr>
          <w:sz w:val="20"/>
          <w:szCs w:val="20"/>
          <w:color w:val="auto"/>
        </w:rPr>
      </w:pPr>
      <w:r>
        <w:rPr>
          <w:rFonts w:ascii="Times New Roman" w:cs="Times New Roman" w:eastAsia="Times New Roman" w:hAnsi="Times New Roman"/>
          <w:sz w:val="18"/>
          <w:szCs w:val="18"/>
          <w:b w:val="1"/>
          <w:bCs w:val="1"/>
          <w:color w:val="auto"/>
        </w:rPr>
        <w:t>For the years ended December 31, 2024, 2023, and 2022</w:t>
      </w:r>
    </w:p>
    <w:p>
      <w:pPr>
        <w:spacing w:after="0" w:line="9" w:lineRule="exact"/>
        <w:rPr>
          <w:sz w:val="20"/>
          <w:szCs w:val="20"/>
          <w:color w:val="auto"/>
        </w:rPr>
      </w:pPr>
    </w:p>
    <w:p>
      <w:pPr>
        <w:jc w:val="center"/>
        <w:ind w:right="-551"/>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188" w:lineRule="exact"/>
        <w:rPr>
          <w:sz w:val="20"/>
          <w:szCs w:val="20"/>
          <w:color w:val="auto"/>
        </w:rPr>
      </w:pPr>
    </w:p>
    <w:tbl>
      <w:tblPr>
        <w:tblLayout w:type="fixed"/>
        <w:tblInd w:w="572" w:type="dxa"/>
        <w:tblCellMar>
          <w:top w:w="0" w:type="dxa"/>
          <w:left w:w="0" w:type="dxa"/>
          <w:bottom w:w="0" w:type="dxa"/>
          <w:right w:w="0" w:type="dxa"/>
        </w:tblCellMar>
      </w:tblPr>
      <w:tr>
        <w:trPr>
          <w:trHeight w:val="161"/>
        </w:trPr>
        <w:tc>
          <w:tcPr>
            <w:tcW w:w="5220" w:type="dxa"/>
            <w:vAlign w:val="bottom"/>
          </w:tcPr>
          <w:p>
            <w:pPr>
              <w:spacing w:after="0"/>
              <w:rPr>
                <w:sz w:val="13"/>
                <w:szCs w:val="13"/>
                <w:color w:val="auto"/>
              </w:rPr>
            </w:pPr>
          </w:p>
        </w:tc>
        <w:tc>
          <w:tcPr>
            <w:tcW w:w="1040" w:type="dxa"/>
            <w:vAlign w:val="bottom"/>
            <w:gridSpan w:val="2"/>
          </w:tcPr>
          <w:p>
            <w:pPr>
              <w:jc w:val="center"/>
              <w:spacing w:after="0"/>
              <w:rPr>
                <w:sz w:val="20"/>
                <w:szCs w:val="20"/>
                <w:color w:val="auto"/>
              </w:rPr>
            </w:pPr>
            <w:r>
              <w:rPr>
                <w:rFonts w:ascii="Times New Roman" w:cs="Times New Roman" w:eastAsia="Times New Roman" w:hAnsi="Times New Roman"/>
                <w:sz w:val="14"/>
                <w:szCs w:val="14"/>
                <w:b w:val="1"/>
                <w:bCs w:val="1"/>
                <w:color w:val="auto"/>
              </w:rPr>
              <w:t>Balance at the</w:t>
            </w:r>
          </w:p>
        </w:tc>
        <w:tc>
          <w:tcPr>
            <w:tcW w:w="180" w:type="dxa"/>
            <w:vAlign w:val="bottom"/>
          </w:tcPr>
          <w:p>
            <w:pPr>
              <w:spacing w:after="0"/>
              <w:rPr>
                <w:sz w:val="13"/>
                <w:szCs w:val="13"/>
                <w:color w:val="auto"/>
              </w:rPr>
            </w:pPr>
          </w:p>
        </w:tc>
        <w:tc>
          <w:tcPr>
            <w:tcW w:w="104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000" w:type="dxa"/>
            <w:vAlign w:val="bottom"/>
            <w:gridSpan w:val="2"/>
          </w:tcPr>
          <w:p>
            <w:pPr>
              <w:ind w:left="60"/>
              <w:spacing w:after="0"/>
              <w:rPr>
                <w:sz w:val="20"/>
                <w:szCs w:val="20"/>
                <w:color w:val="auto"/>
              </w:rPr>
            </w:pPr>
            <w:r>
              <w:rPr>
                <w:rFonts w:ascii="Times New Roman" w:cs="Times New Roman" w:eastAsia="Times New Roman" w:hAnsi="Times New Roman"/>
                <w:sz w:val="14"/>
                <w:szCs w:val="14"/>
                <w:b w:val="1"/>
                <w:bCs w:val="1"/>
                <w:color w:val="auto"/>
              </w:rPr>
              <w:t>Balance at</w:t>
            </w:r>
          </w:p>
        </w:tc>
        <w:tc>
          <w:tcPr>
            <w:tcW w:w="0" w:type="dxa"/>
            <w:vAlign w:val="bottom"/>
          </w:tcPr>
          <w:p>
            <w:pPr>
              <w:spacing w:after="0"/>
              <w:rPr>
                <w:sz w:val="1"/>
                <w:szCs w:val="1"/>
                <w:color w:val="auto"/>
              </w:rPr>
            </w:pPr>
          </w:p>
        </w:tc>
      </w:tr>
      <w:tr>
        <w:trPr>
          <w:trHeight w:val="148"/>
        </w:trPr>
        <w:tc>
          <w:tcPr>
            <w:tcW w:w="5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920" w:type="dxa"/>
            <w:vAlign w:val="bottom"/>
          </w:tcPr>
          <w:p>
            <w:pPr>
              <w:jc w:val="center"/>
              <w:ind w:right="35"/>
              <w:spacing w:after="0" w:line="149" w:lineRule="exact"/>
              <w:rPr>
                <w:sz w:val="20"/>
                <w:szCs w:val="20"/>
                <w:color w:val="auto"/>
              </w:rPr>
            </w:pPr>
            <w:r>
              <w:rPr>
                <w:rFonts w:ascii="Times New Roman" w:cs="Times New Roman" w:eastAsia="Times New Roman" w:hAnsi="Times New Roman"/>
                <w:sz w:val="14"/>
                <w:szCs w:val="14"/>
                <w:b w:val="1"/>
                <w:bCs w:val="1"/>
                <w:color w:val="auto"/>
              </w:rPr>
              <w:t>beginning of</w:t>
            </w:r>
          </w:p>
        </w:tc>
        <w:tc>
          <w:tcPr>
            <w:tcW w:w="180" w:type="dxa"/>
            <w:vAlign w:val="bottom"/>
          </w:tcPr>
          <w:p>
            <w:pPr>
              <w:spacing w:after="0"/>
              <w:rPr>
                <w:sz w:val="12"/>
                <w:szCs w:val="12"/>
                <w:color w:val="auto"/>
              </w:rPr>
            </w:pPr>
          </w:p>
        </w:tc>
        <w:tc>
          <w:tcPr>
            <w:tcW w:w="1040" w:type="dxa"/>
            <w:vAlign w:val="bottom"/>
            <w:vMerge w:val="restart"/>
          </w:tcPr>
          <w:p>
            <w:pPr>
              <w:jc w:val="right"/>
              <w:ind w:right="48"/>
              <w:spacing w:after="0"/>
              <w:rPr>
                <w:sz w:val="20"/>
                <w:szCs w:val="20"/>
                <w:color w:val="auto"/>
              </w:rPr>
            </w:pPr>
            <w:r>
              <w:rPr>
                <w:rFonts w:ascii="Times New Roman" w:cs="Times New Roman" w:eastAsia="Times New Roman" w:hAnsi="Times New Roman"/>
                <w:sz w:val="14"/>
                <w:szCs w:val="14"/>
                <w:b w:val="1"/>
                <w:bCs w:val="1"/>
                <w:color w:val="auto"/>
              </w:rPr>
              <w:t>Additions (1)</w:t>
            </w:r>
          </w:p>
        </w:tc>
        <w:tc>
          <w:tcPr>
            <w:tcW w:w="200" w:type="dxa"/>
            <w:vAlign w:val="bottom"/>
          </w:tcPr>
          <w:p>
            <w:pPr>
              <w:spacing w:after="0"/>
              <w:rPr>
                <w:sz w:val="12"/>
                <w:szCs w:val="12"/>
                <w:color w:val="auto"/>
              </w:rPr>
            </w:pPr>
          </w:p>
        </w:tc>
        <w:tc>
          <w:tcPr>
            <w:tcW w:w="1280" w:type="dxa"/>
            <w:vAlign w:val="bottom"/>
            <w:gridSpan w:val="2"/>
            <w:vMerge w:val="restart"/>
          </w:tcPr>
          <w:p>
            <w:pPr>
              <w:jc w:val="right"/>
              <w:ind w:right="420"/>
              <w:spacing w:after="0"/>
              <w:rPr>
                <w:sz w:val="20"/>
                <w:szCs w:val="20"/>
                <w:color w:val="auto"/>
              </w:rPr>
            </w:pPr>
            <w:r>
              <w:rPr>
                <w:rFonts w:ascii="Times New Roman" w:cs="Times New Roman" w:eastAsia="Times New Roman" w:hAnsi="Times New Roman"/>
                <w:sz w:val="14"/>
                <w:szCs w:val="14"/>
                <w:b w:val="1"/>
                <w:bCs w:val="1"/>
                <w:color w:val="auto"/>
              </w:rPr>
              <w:t>Deductions</w:t>
            </w:r>
          </w:p>
        </w:tc>
        <w:tc>
          <w:tcPr>
            <w:tcW w:w="140" w:type="dxa"/>
            <w:vAlign w:val="bottom"/>
          </w:tcPr>
          <w:p>
            <w:pPr>
              <w:spacing w:after="0"/>
              <w:rPr>
                <w:sz w:val="12"/>
                <w:szCs w:val="12"/>
                <w:color w:val="auto"/>
              </w:rPr>
            </w:pPr>
          </w:p>
        </w:tc>
        <w:tc>
          <w:tcPr>
            <w:tcW w:w="1000" w:type="dxa"/>
            <w:vAlign w:val="bottom"/>
            <w:gridSpan w:val="2"/>
          </w:tcPr>
          <w:p>
            <w:pPr>
              <w:ind w:left="60"/>
              <w:spacing w:after="0" w:line="149" w:lineRule="exact"/>
              <w:rPr>
                <w:sz w:val="20"/>
                <w:szCs w:val="20"/>
                <w:color w:val="auto"/>
              </w:rPr>
            </w:pPr>
            <w:r>
              <w:rPr>
                <w:rFonts w:ascii="Times New Roman" w:cs="Times New Roman" w:eastAsia="Times New Roman" w:hAnsi="Times New Roman"/>
                <w:sz w:val="14"/>
                <w:szCs w:val="14"/>
                <w:b w:val="1"/>
                <w:bCs w:val="1"/>
                <w:color w:val="auto"/>
              </w:rPr>
              <w:t>the end of</w:t>
            </w:r>
          </w:p>
        </w:tc>
        <w:tc>
          <w:tcPr>
            <w:tcW w:w="0" w:type="dxa"/>
            <w:vAlign w:val="bottom"/>
          </w:tcPr>
          <w:p>
            <w:pPr>
              <w:spacing w:after="0"/>
              <w:rPr>
                <w:sz w:val="1"/>
                <w:szCs w:val="1"/>
                <w:color w:val="auto"/>
              </w:rPr>
            </w:pPr>
          </w:p>
        </w:tc>
      </w:tr>
      <w:tr>
        <w:trPr>
          <w:trHeight w:val="173"/>
        </w:trPr>
        <w:tc>
          <w:tcPr>
            <w:tcW w:w="522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920" w:type="dxa"/>
            <w:vAlign w:val="bottom"/>
          </w:tcPr>
          <w:p>
            <w:pPr>
              <w:jc w:val="center"/>
              <w:ind w:right="55"/>
              <w:spacing w:after="0"/>
              <w:rPr>
                <w:sz w:val="20"/>
                <w:szCs w:val="20"/>
                <w:color w:val="auto"/>
              </w:rPr>
            </w:pPr>
            <w:r>
              <w:rPr>
                <w:rFonts w:ascii="Times New Roman" w:cs="Times New Roman" w:eastAsia="Times New Roman" w:hAnsi="Times New Roman"/>
                <w:sz w:val="14"/>
                <w:szCs w:val="14"/>
                <w:b w:val="1"/>
                <w:bCs w:val="1"/>
                <w:color w:val="auto"/>
              </w:rPr>
              <w:t>the period</w:t>
            </w:r>
          </w:p>
        </w:tc>
        <w:tc>
          <w:tcPr>
            <w:tcW w:w="180" w:type="dxa"/>
            <w:vAlign w:val="bottom"/>
          </w:tcPr>
          <w:p>
            <w:pPr>
              <w:spacing w:after="0"/>
              <w:rPr>
                <w:sz w:val="15"/>
                <w:szCs w:val="15"/>
                <w:color w:val="auto"/>
              </w:rPr>
            </w:pPr>
          </w:p>
        </w:tc>
        <w:tc>
          <w:tcPr>
            <w:tcW w:w="1040" w:type="dxa"/>
            <w:vAlign w:val="bottom"/>
            <w:vMerge w:val="continue"/>
          </w:tcPr>
          <w:p>
            <w:pPr>
              <w:spacing w:after="0"/>
              <w:rPr>
                <w:sz w:val="15"/>
                <w:szCs w:val="15"/>
                <w:color w:val="auto"/>
              </w:rPr>
            </w:pPr>
          </w:p>
        </w:tc>
        <w:tc>
          <w:tcPr>
            <w:tcW w:w="200" w:type="dxa"/>
            <w:vAlign w:val="bottom"/>
          </w:tcPr>
          <w:p>
            <w:pPr>
              <w:spacing w:after="0"/>
              <w:rPr>
                <w:sz w:val="15"/>
                <w:szCs w:val="15"/>
                <w:color w:val="auto"/>
              </w:rPr>
            </w:pPr>
          </w:p>
        </w:tc>
        <w:tc>
          <w:tcPr>
            <w:tcW w:w="1280" w:type="dxa"/>
            <w:vAlign w:val="bottom"/>
            <w:gridSpan w:val="2"/>
            <w:vMerge w:val="continue"/>
          </w:tcPr>
          <w:p>
            <w:pPr>
              <w:spacing w:after="0"/>
              <w:rPr>
                <w:sz w:val="15"/>
                <w:szCs w:val="15"/>
                <w:color w:val="auto"/>
              </w:rPr>
            </w:pPr>
          </w:p>
        </w:tc>
        <w:tc>
          <w:tcPr>
            <w:tcW w:w="140" w:type="dxa"/>
            <w:vAlign w:val="bottom"/>
          </w:tcPr>
          <w:p>
            <w:pPr>
              <w:spacing w:after="0"/>
              <w:rPr>
                <w:sz w:val="15"/>
                <w:szCs w:val="15"/>
                <w:color w:val="auto"/>
              </w:rPr>
            </w:pPr>
          </w:p>
        </w:tc>
        <w:tc>
          <w:tcPr>
            <w:tcW w:w="1000" w:type="dxa"/>
            <w:vAlign w:val="bottom"/>
            <w:gridSpan w:val="2"/>
          </w:tcPr>
          <w:p>
            <w:pPr>
              <w:ind w:left="60"/>
              <w:spacing w:after="0"/>
              <w:rPr>
                <w:sz w:val="20"/>
                <w:szCs w:val="20"/>
                <w:color w:val="auto"/>
              </w:rPr>
            </w:pPr>
            <w:r>
              <w:rPr>
                <w:rFonts w:ascii="Times New Roman" w:cs="Times New Roman" w:eastAsia="Times New Roman" w:hAnsi="Times New Roman"/>
                <w:sz w:val="14"/>
                <w:szCs w:val="14"/>
                <w:b w:val="1"/>
                <w:bCs w:val="1"/>
                <w:color w:val="auto"/>
              </w:rPr>
              <w:t>the period</w:t>
            </w:r>
          </w:p>
        </w:tc>
        <w:tc>
          <w:tcPr>
            <w:tcW w:w="0" w:type="dxa"/>
            <w:vAlign w:val="bottom"/>
          </w:tcPr>
          <w:p>
            <w:pPr>
              <w:spacing w:after="0"/>
              <w:rPr>
                <w:sz w:val="1"/>
                <w:szCs w:val="1"/>
                <w:color w:val="auto"/>
              </w:rPr>
            </w:pPr>
          </w:p>
        </w:tc>
      </w:tr>
      <w:tr>
        <w:trPr>
          <w:trHeight w:val="210"/>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Allowance for credit losses:</w:t>
            </w:r>
          </w:p>
        </w:tc>
        <w:tc>
          <w:tcPr>
            <w:tcW w:w="120" w:type="dxa"/>
            <w:vAlign w:val="bottom"/>
            <w:tcBorders>
              <w:top w:val="single" w:sz="8" w:color="auto"/>
            </w:tcBorders>
            <w:shd w:val="clear" w:color="auto" w:fill="CFF0FC"/>
          </w:tcPr>
          <w:p>
            <w:pPr>
              <w:spacing w:after="0"/>
              <w:rPr>
                <w:sz w:val="18"/>
                <w:szCs w:val="18"/>
                <w:color w:val="auto"/>
              </w:rPr>
            </w:pPr>
          </w:p>
        </w:tc>
        <w:tc>
          <w:tcPr>
            <w:tcW w:w="920" w:type="dxa"/>
            <w:vAlign w:val="bottom"/>
            <w:tcBorders>
              <w:top w:val="single" w:sz="8" w:color="auto"/>
            </w:tcBorders>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1040" w:type="dxa"/>
            <w:vAlign w:val="bottom"/>
            <w:tcBorders>
              <w:top w:val="single" w:sz="8" w:color="auto"/>
            </w:tcBorders>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060" w:type="dxa"/>
            <w:vAlign w:val="bottom"/>
            <w:tcBorders>
              <w:top w:val="single" w:sz="8" w:color="auto"/>
            </w:tcBorders>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40" w:type="dxa"/>
            <w:vAlign w:val="bottom"/>
            <w:tcBorders>
              <w:top w:val="single" w:sz="8" w:color="auto"/>
            </w:tcBorders>
            <w:shd w:val="clear" w:color="auto" w:fill="CFF0FC"/>
          </w:tcPr>
          <w:p>
            <w:pPr>
              <w:spacing w:after="0"/>
              <w:rPr>
                <w:sz w:val="18"/>
                <w:szCs w:val="18"/>
                <w:color w:val="auto"/>
              </w:rPr>
            </w:pPr>
          </w:p>
        </w:tc>
        <w:tc>
          <w:tcPr>
            <w:tcW w:w="900" w:type="dxa"/>
            <w:vAlign w:val="bottom"/>
            <w:tcBorders>
              <w:top w:val="single" w:sz="8" w:color="auto"/>
            </w:tcBorders>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220" w:type="dxa"/>
            <w:vAlign w:val="bottom"/>
          </w:tcPr>
          <w:p>
            <w:pPr>
              <w:spacing w:after="0"/>
              <w:rPr>
                <w:sz w:val="20"/>
                <w:szCs w:val="20"/>
                <w:color w:val="auto"/>
              </w:rPr>
            </w:pPr>
            <w:r>
              <w:rPr>
                <w:rFonts w:ascii="Times New Roman" w:cs="Times New Roman" w:eastAsia="Times New Roman" w:hAnsi="Times New Roman"/>
                <w:sz w:val="18"/>
                <w:szCs w:val="18"/>
                <w:color w:val="auto"/>
              </w:rPr>
              <w:t>December 31, 2024</w:t>
            </w: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3,069</w:t>
            </w:r>
          </w:p>
        </w:tc>
        <w:tc>
          <w:tcPr>
            <w:tcW w:w="12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722</w:t>
            </w:r>
          </w:p>
        </w:tc>
        <w:tc>
          <w:tcPr>
            <w:tcW w:w="1480" w:type="dxa"/>
            <w:vAlign w:val="bottom"/>
            <w:gridSpan w:val="3"/>
          </w:tcPr>
          <w:p>
            <w:pPr>
              <w:jc w:val="right"/>
              <w:ind w:right="140"/>
              <w:spacing w:after="0"/>
              <w:rPr>
                <w:sz w:val="20"/>
                <w:szCs w:val="20"/>
                <w:color w:val="auto"/>
              </w:rPr>
            </w:pPr>
            <w:r>
              <w:rPr>
                <w:rFonts w:ascii="Times New Roman" w:cs="Times New Roman" w:eastAsia="Times New Roman" w:hAnsi="Times New Roman"/>
                <w:sz w:val="18"/>
                <w:szCs w:val="18"/>
                <w:color w:val="auto"/>
              </w:rPr>
              <w:t>(1,603 )</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2,188</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December 31, 2023</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2,564</w:t>
            </w:r>
          </w:p>
        </w:tc>
        <w:tc>
          <w:tcPr>
            <w:tcW w:w="12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797</w:t>
            </w:r>
          </w:p>
        </w:tc>
        <w:tc>
          <w:tcPr>
            <w:tcW w:w="1480" w:type="dxa"/>
            <w:vAlign w:val="bottom"/>
            <w:gridSpan w:val="3"/>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(292 )</w:t>
            </w: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3,069</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220" w:type="dxa"/>
            <w:vAlign w:val="bottom"/>
          </w:tcPr>
          <w:p>
            <w:pPr>
              <w:spacing w:after="0"/>
              <w:rPr>
                <w:sz w:val="20"/>
                <w:szCs w:val="20"/>
                <w:color w:val="auto"/>
              </w:rPr>
            </w:pPr>
            <w:r>
              <w:rPr>
                <w:rFonts w:ascii="Times New Roman" w:cs="Times New Roman" w:eastAsia="Times New Roman" w:hAnsi="Times New Roman"/>
                <w:sz w:val="18"/>
                <w:szCs w:val="18"/>
                <w:color w:val="auto"/>
              </w:rPr>
              <w:t>December 31, 2022</w:t>
            </w: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2,775</w:t>
            </w:r>
          </w:p>
        </w:tc>
        <w:tc>
          <w:tcPr>
            <w:tcW w:w="12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383</w:t>
            </w:r>
          </w:p>
        </w:tc>
        <w:tc>
          <w:tcPr>
            <w:tcW w:w="1480" w:type="dxa"/>
            <w:vAlign w:val="bottom"/>
            <w:gridSpan w:val="3"/>
          </w:tcPr>
          <w:p>
            <w:pPr>
              <w:jc w:val="right"/>
              <w:ind w:right="140"/>
              <w:spacing w:after="0"/>
              <w:rPr>
                <w:sz w:val="20"/>
                <w:szCs w:val="20"/>
                <w:color w:val="auto"/>
              </w:rPr>
            </w:pPr>
            <w:r>
              <w:rPr>
                <w:rFonts w:ascii="Times New Roman" w:cs="Times New Roman" w:eastAsia="Times New Roman" w:hAnsi="Times New Roman"/>
                <w:sz w:val="18"/>
                <w:szCs w:val="18"/>
                <w:color w:val="auto"/>
              </w:rPr>
              <w:t>(594 )</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2,564</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tax valuation allowance:</w:t>
            </w:r>
          </w:p>
        </w:tc>
        <w:tc>
          <w:tcPr>
            <w:tcW w:w="120" w:type="dxa"/>
            <w:vAlign w:val="bottom"/>
            <w:shd w:val="clear" w:color="auto" w:fill="CFF0FC"/>
          </w:tcPr>
          <w:p>
            <w:pPr>
              <w:spacing w:after="0"/>
              <w:rPr>
                <w:sz w:val="18"/>
                <w:szCs w:val="18"/>
                <w:color w:val="auto"/>
              </w:rPr>
            </w:pPr>
          </w:p>
        </w:tc>
        <w:tc>
          <w:tcPr>
            <w:tcW w:w="92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104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06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9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220" w:type="dxa"/>
            <w:vAlign w:val="bottom"/>
          </w:tcPr>
          <w:p>
            <w:pPr>
              <w:spacing w:after="0"/>
              <w:rPr>
                <w:sz w:val="20"/>
                <w:szCs w:val="20"/>
                <w:color w:val="auto"/>
              </w:rPr>
            </w:pPr>
            <w:r>
              <w:rPr>
                <w:rFonts w:ascii="Times New Roman" w:cs="Times New Roman" w:eastAsia="Times New Roman" w:hAnsi="Times New Roman"/>
                <w:sz w:val="18"/>
                <w:szCs w:val="18"/>
                <w:color w:val="auto"/>
              </w:rPr>
              <w:t>December 31, 2024</w:t>
            </w: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1,427</w:t>
            </w:r>
          </w:p>
        </w:tc>
        <w:tc>
          <w:tcPr>
            <w:tcW w:w="12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480" w:type="dxa"/>
            <w:vAlign w:val="bottom"/>
            <w:gridSpan w:val="3"/>
          </w:tcPr>
          <w:p>
            <w:pPr>
              <w:jc w:val="right"/>
              <w:ind w:right="140"/>
              <w:spacing w:after="0"/>
              <w:rPr>
                <w:sz w:val="20"/>
                <w:szCs w:val="20"/>
                <w:color w:val="auto"/>
              </w:rPr>
            </w:pPr>
            <w:r>
              <w:rPr>
                <w:rFonts w:ascii="Times New Roman" w:cs="Times New Roman" w:eastAsia="Times New Roman" w:hAnsi="Times New Roman"/>
                <w:sz w:val="18"/>
                <w:szCs w:val="18"/>
                <w:color w:val="auto"/>
              </w:rPr>
              <w:t>(933 )</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494</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December 31, 2023</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511,412</w:t>
            </w:r>
          </w:p>
        </w:tc>
        <w:tc>
          <w:tcPr>
            <w:tcW w:w="12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193</w:t>
            </w:r>
          </w:p>
        </w:tc>
        <w:tc>
          <w:tcPr>
            <w:tcW w:w="1480" w:type="dxa"/>
            <w:vAlign w:val="bottom"/>
            <w:gridSpan w:val="3"/>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(510,178 )</w:t>
            </w: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1,427</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34"/>
        </w:trPr>
        <w:tc>
          <w:tcPr>
            <w:tcW w:w="5220" w:type="dxa"/>
            <w:vAlign w:val="bottom"/>
          </w:tcPr>
          <w:p>
            <w:pPr>
              <w:spacing w:after="0"/>
              <w:rPr>
                <w:sz w:val="20"/>
                <w:szCs w:val="20"/>
                <w:color w:val="auto"/>
              </w:rPr>
            </w:pPr>
            <w:r>
              <w:rPr>
                <w:rFonts w:ascii="Times New Roman" w:cs="Times New Roman" w:eastAsia="Times New Roman" w:hAnsi="Times New Roman"/>
                <w:sz w:val="18"/>
                <w:szCs w:val="18"/>
                <w:color w:val="auto"/>
              </w:rPr>
              <w:t>December 31, 2022</w:t>
            </w: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999</w:t>
            </w:r>
          </w:p>
        </w:tc>
        <w:tc>
          <w:tcPr>
            <w:tcW w:w="12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510,488</w:t>
            </w:r>
          </w:p>
        </w:tc>
        <w:tc>
          <w:tcPr>
            <w:tcW w:w="1480" w:type="dxa"/>
            <w:vAlign w:val="bottom"/>
            <w:gridSpan w:val="3"/>
          </w:tcPr>
          <w:p>
            <w:pPr>
              <w:jc w:val="right"/>
              <w:ind w:right="140"/>
              <w:spacing w:after="0"/>
              <w:rPr>
                <w:sz w:val="20"/>
                <w:szCs w:val="20"/>
                <w:color w:val="auto"/>
              </w:rPr>
            </w:pPr>
            <w:r>
              <w:rPr>
                <w:rFonts w:ascii="Times New Roman" w:cs="Times New Roman" w:eastAsia="Times New Roman" w:hAnsi="Times New Roman"/>
                <w:sz w:val="18"/>
                <w:szCs w:val="18"/>
                <w:color w:val="auto"/>
              </w:rPr>
              <w:t>(75 )</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511,412</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177" w:lineRule="exact"/>
        <w:rPr>
          <w:sz w:val="20"/>
          <w:szCs w:val="20"/>
          <w:color w:val="auto"/>
        </w:rPr>
      </w:pPr>
    </w:p>
    <w:p>
      <w:pPr>
        <w:ind w:left="512" w:hanging="512"/>
        <w:spacing w:after="0"/>
        <w:tabs>
          <w:tab w:leader="none" w:pos="512" w:val="left"/>
        </w:tabs>
        <w:numPr>
          <w:ilvl w:val="0"/>
          <w:numId w:val="55"/>
        </w:numPr>
        <w:rPr>
          <w:rFonts w:ascii="Times New Roman" w:cs="Times New Roman" w:eastAsia="Times New Roman" w:hAnsi="Times New Roman"/>
          <w:sz w:val="18"/>
          <w:szCs w:val="18"/>
          <w:i w:val="1"/>
          <w:iCs w:val="1"/>
          <w:color w:val="auto"/>
        </w:rPr>
      </w:pPr>
      <w:r>
        <w:rPr>
          <w:rFonts w:ascii="Times New Roman" w:cs="Times New Roman" w:eastAsia="Times New Roman" w:hAnsi="Times New Roman"/>
          <w:sz w:val="18"/>
          <w:szCs w:val="18"/>
          <w:i w:val="1"/>
          <w:iCs w:val="1"/>
          <w:color w:val="auto"/>
        </w:rPr>
        <w:t>Reductions in/charges to revenues and expenses.</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left="5472"/>
        <w:spacing w:after="0"/>
        <w:rPr>
          <w:sz w:val="20"/>
          <w:szCs w:val="20"/>
          <w:color w:val="auto"/>
        </w:rPr>
      </w:pPr>
      <w:r>
        <w:rPr>
          <w:rFonts w:ascii="Times New Roman" w:cs="Times New Roman" w:eastAsia="Times New Roman" w:hAnsi="Times New Roman"/>
          <w:sz w:val="18"/>
          <w:szCs w:val="18"/>
          <w:color w:val="auto"/>
        </w:rPr>
        <w:t>124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-12065</wp:posOffset>
            </wp:positionH>
            <wp:positionV relativeFrom="paragraph">
              <wp:posOffset>484505</wp:posOffset>
            </wp:positionV>
            <wp:extent cx="7157720" cy="42545"/>
            <wp:wrapNone/>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67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672"/>
          </w:cols>
          <w:pgMar w:left="328" w:top="981" w:right="899" w:bottom="1440" w:gutter="0" w:footer="0" w:header="0"/>
        </w:sectPr>
      </w:pPr>
    </w:p>
    <w:bookmarkStart w:id="124" w:name="page125"/>
    <w:bookmarkEnd w:id="124"/>
    <w:p>
      <w:pPr>
        <w:jc w:val="right"/>
        <w:spacing w:after="0"/>
        <w:rPr>
          <w:sz w:val="20"/>
          <w:szCs w:val="20"/>
          <w:color w:val="auto"/>
        </w:rPr>
      </w:pPr>
      <w:r>
        <w:rPr>
          <w:rFonts w:ascii="Times New Roman" w:cs="Times New Roman" w:eastAsia="Times New Roman" w:hAnsi="Times New Roman"/>
          <w:sz w:val="18"/>
          <w:szCs w:val="18"/>
          <w:b w:val="1"/>
          <w:bCs w:val="1"/>
          <w:color w:val="auto"/>
        </w:rPr>
        <w:t>Exhibit 4.2</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DESCRIPTION OF THE REGISTRANT’S REGISTERED SECURITIES</w:t>
      </w:r>
    </w:p>
    <w:p>
      <w:pPr>
        <w:spacing w:after="0" w:line="229" w:lineRule="exact"/>
        <w:rPr>
          <w:sz w:val="20"/>
          <w:szCs w:val="20"/>
          <w:color w:val="auto"/>
        </w:rPr>
      </w:pPr>
    </w:p>
    <w:p>
      <w:pPr>
        <w:ind w:right="100"/>
        <w:spacing w:after="0" w:line="253" w:lineRule="auto"/>
        <w:rPr>
          <w:sz w:val="20"/>
          <w:szCs w:val="20"/>
          <w:color w:val="auto"/>
        </w:rPr>
      </w:pPr>
      <w:r>
        <w:rPr>
          <w:rFonts w:ascii="Times New Roman" w:cs="Times New Roman" w:eastAsia="Times New Roman" w:hAnsi="Times New Roman"/>
          <w:sz w:val="18"/>
          <w:szCs w:val="18"/>
          <w:color w:val="auto"/>
        </w:rPr>
        <w:t>Class A common stock, par value $0.001 per share (the “Class A”), and class B common stock, par value $0.001 per share (the “Class B”), constitute the common stock of MicroStrategy Incorporated d/b/a Strategy (the “Company”) and 8.00% Series A Perpetual Strike Preferred Stock, par value $0.001 per share (the “Series A Strike Preferred”), constitutes the outstanding preferred stock of the Company. The following is a description of the Class A and the Series A Strike Preferred, which are the only securities of the Company registered pursuant to Section 12 of the Securities Exchange Act of 1934, as amended (the “Exchange Act”). The following description summarizes certain information regarding the Class A and Series A Strike Preferred set forth in the Company’s Second Restated Certificate of Incorporation, as amended (the “Certificate”), the Certificate of Designations of the Series A Strike Preferred (the “Certificate of Designations”), and the Company’s Amended and Restated By-laws (the “By-laws”), as well as relevant provisions of the Delaware General Corporation Law (the “DGCL”). The description is qualified in its entirety by reference to the Certificate, the Certificate of Designations, and the By-laws, which are incorporated by reference to Exhibits 3.1, 3.2, 3.3, and 3.4 to the Annual Report on Form 10-K of which this Exhibit 4.2 is a part, and the applicable provisions of the DGCL.</w:t>
      </w:r>
    </w:p>
    <w:p>
      <w:pPr>
        <w:spacing w:after="0" w:line="1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Authorized Capital Stock</w:t>
      </w:r>
    </w:p>
    <w:p>
      <w:pPr>
        <w:spacing w:after="0" w:line="229"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The Company’s authorized capital stock consists of 10,330,000,000 shares of Class A, 165,000,000 shares of Class B, and 1,005,000,000 shares of preferred stock, par value $0.001 per share, of which 7,300,000 have been designated as Series A Strike Preferred.</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Class A Common Stock</w:t>
      </w:r>
    </w:p>
    <w:p>
      <w:pPr>
        <w:spacing w:after="0" w:line="225"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b w:val="1"/>
          <w:bCs w:val="1"/>
          <w:i w:val="1"/>
          <w:iCs w:val="1"/>
          <w:color w:val="auto"/>
        </w:rPr>
        <w:t>Voting Rights</w:t>
      </w:r>
      <w:r>
        <w:rPr>
          <w:rFonts w:ascii="Times New Roman" w:cs="Times New Roman" w:eastAsia="Times New Roman" w:hAnsi="Times New Roman"/>
          <w:sz w:val="18"/>
          <w:szCs w:val="18"/>
          <w:color w:val="auto"/>
        </w:rPr>
        <w:t>. Holders of Class A are entitled to one (1) vote per share. Holders of Class A and Class B vote together as a single class on all matters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presented to the stockholders for their vote or approval, except as may be required by Delaware law or as otherwise expressly specified in the Certificate. The Class A does not have cumulative voting. Directors are elected to the Company’s Board of Directors (the “Board”) by a plurality of the votes cast in such election. Any matters other than the election of directors to be voted upon by the stockholders at a meeting are decided by the affirmative vote of a majority of the votes cast by the holders of the Company’s capital stock entitled to vote, except when a different vote is required by law, the Certificate, or the By-laws. The Company may increase or decrease the number of authorized shares of Class A by action of the Board and the affirmative vote of a majority of the voting power of the Company’s capital stock entitled to vote.</w:t>
      </w:r>
    </w:p>
    <w:p>
      <w:pPr>
        <w:spacing w:after="0" w:line="183"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b w:val="1"/>
          <w:bCs w:val="1"/>
          <w:i w:val="1"/>
          <w:iCs w:val="1"/>
          <w:color w:val="auto"/>
        </w:rPr>
        <w:t>Dividends</w:t>
      </w:r>
      <w:r>
        <w:rPr>
          <w:rFonts w:ascii="Times New Roman" w:cs="Times New Roman" w:eastAsia="Times New Roman" w:hAnsi="Times New Roman"/>
          <w:sz w:val="18"/>
          <w:szCs w:val="18"/>
          <w:color w:val="auto"/>
        </w:rPr>
        <w:t>. Holders of Class A are entitled to receive dividends when and if declared by the Board, out of legally available funds. The Company may not</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make any dividend or distribution with respect to any class of the Company’s common stock unless at the same time it makes a ratable dividend or distribution with respect to each outstanding share of the Company’s common stock, regardless of class. In the case of a stock dividend or other distribution payable in shares of a class of common stock, only shares of Class A may be distributed with respect to Class A and only shares of Class B may be distributed with respect to Class B, and the number of shares of common stock payable per share must be equal for each class. The Company’s ability to declare, pay, or set aside dividends on the Company’s common stock is subject to any preferential rights, powers, and preferences of any then-outstanding preferred stock.</w:t>
      </w:r>
    </w:p>
    <w:p>
      <w:pPr>
        <w:spacing w:after="0" w:line="183"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Subdivision, Consolidation, Reclassification, or Other Changes</w:t>
      </w:r>
      <w:r>
        <w:rPr>
          <w:rFonts w:ascii="Times New Roman" w:cs="Times New Roman" w:eastAsia="Times New Roman" w:hAnsi="Times New Roman"/>
          <w:sz w:val="18"/>
          <w:szCs w:val="18"/>
          <w:color w:val="auto"/>
        </w:rPr>
        <w:t>. None of the shares of any class of the Company’s common stock may be subdivided,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consolidated, reclassified, or otherwise changed unless concurrently shares of the other class of common stock are subdivided, consolidated, reclassified, or otherwise changed in the same proportion and manner.</w:t>
      </w:r>
    </w:p>
    <w:p>
      <w:pPr>
        <w:spacing w:after="0" w:line="17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Conversion Rights</w:t>
      </w:r>
      <w:r>
        <w:rPr>
          <w:rFonts w:ascii="Times New Roman" w:cs="Times New Roman" w:eastAsia="Times New Roman" w:hAnsi="Times New Roman"/>
          <w:sz w:val="18"/>
          <w:szCs w:val="18"/>
          <w:color w:val="auto"/>
        </w:rPr>
        <w:t>. Class A has no conversion rights.</w:t>
      </w:r>
    </w:p>
    <w:p>
      <w:pPr>
        <w:spacing w:after="0" w:line="225"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Merger</w:t>
      </w:r>
      <w:r>
        <w:rPr>
          <w:rFonts w:ascii="Times New Roman" w:cs="Times New Roman" w:eastAsia="Times New Roman" w:hAnsi="Times New Roman"/>
          <w:sz w:val="18"/>
          <w:szCs w:val="18"/>
          <w:color w:val="auto"/>
        </w:rPr>
        <w:t>. Upon the Company’s merger or consolidation, holders of each class of common stock will be entitled to receive equal per share payments or</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distributions, except that in any transaction in which shares of capital stock are distributed, such shares may differ only to the extent that the Class A and Class B differ as provided in the Certificate.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975360</wp:posOffset>
            </wp:positionV>
            <wp:extent cx="7157720" cy="42545"/>
            <wp:wrapNone/>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67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00" w:right="339" w:bottom="1440" w:gutter="0" w:footer="0" w:header="0"/>
        </w:sectPr>
      </w:pPr>
    </w:p>
    <w:bookmarkStart w:id="125" w:name="page126"/>
    <w:bookmarkEnd w:id="125"/>
    <w:p>
      <w:pPr>
        <w:spacing w:after="0" w:line="176"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Liquidation</w:t>
      </w:r>
      <w:r>
        <w:rPr>
          <w:rFonts w:ascii="Times New Roman" w:cs="Times New Roman" w:eastAsia="Times New Roman" w:hAnsi="Times New Roman"/>
          <w:sz w:val="18"/>
          <w:szCs w:val="18"/>
          <w:color w:val="auto"/>
        </w:rPr>
        <w:t>. Upon the Company’s dissolution or liquidation, holders of each class of common stock will be entitled to receive ratably all of the Company’s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assets available for distribution to stockholders, subject to any preferential rights, powers, and preferences of any then-outstanding preferred stock.</w:t>
      </w:r>
    </w:p>
    <w:p>
      <w:pPr>
        <w:spacing w:after="0" w:line="155"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Other Provisions</w:t>
      </w:r>
      <w:r>
        <w:rPr>
          <w:rFonts w:ascii="Times New Roman" w:cs="Times New Roman" w:eastAsia="Times New Roman" w:hAnsi="Times New Roman"/>
          <w:sz w:val="18"/>
          <w:szCs w:val="18"/>
          <w:color w:val="auto"/>
        </w:rPr>
        <w:t>. Holders of Class A are not entitled to preemptive rights. The rights of holders of Class A are subject to the rights, powers, and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preferences of holders of shares of any then-outstanding preferred stock.</w:t>
      </w:r>
    </w:p>
    <w:p>
      <w:pPr>
        <w:spacing w:after="0" w:line="15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Preferred Stock</w:t>
      </w:r>
    </w:p>
    <w:p>
      <w:pPr>
        <w:spacing w:after="0" w:line="22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Board is authorized, without further action by the Company’s stockholders, to issue up to 1,005,000,000 shares of preferred stock in one or more series and to fix the voting powers, designations, preferences, and the relative participating, optional, or other special rights, qualifications, limitations, or restrictions of the shares of each series of preferred stock, including the 7,300,000 shares of Series A Strike Preferred that have been authorized by the Board and issued and sold by the Company. The issuance of preferred stock could impede the completion of a merger, tender offer, or other takeover attempt.</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Series A Strike Preferred</w:t>
      </w:r>
    </w:p>
    <w:p>
      <w:pPr>
        <w:spacing w:after="0" w:line="225"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Generally</w:t>
      </w:r>
    </w:p>
    <w:p>
      <w:pPr>
        <w:spacing w:after="0" w:line="121" w:lineRule="exact"/>
        <w:rPr>
          <w:sz w:val="20"/>
          <w:szCs w:val="20"/>
          <w:color w:val="auto"/>
        </w:rPr>
      </w:pPr>
    </w:p>
    <w:p>
      <w:pPr>
        <w:ind w:right="320"/>
        <w:spacing w:after="0" w:line="253" w:lineRule="auto"/>
        <w:rPr>
          <w:sz w:val="20"/>
          <w:szCs w:val="20"/>
          <w:color w:val="auto"/>
        </w:rPr>
      </w:pPr>
      <w:r>
        <w:rPr>
          <w:rFonts w:ascii="Times New Roman" w:cs="Times New Roman" w:eastAsia="Times New Roman" w:hAnsi="Times New Roman"/>
          <w:sz w:val="18"/>
          <w:szCs w:val="18"/>
          <w:color w:val="auto"/>
        </w:rPr>
        <w:t>The Board has designated 7,300,000 shares of the Company’s preferred stock as Series A Strike Preferred and the Company has issued and sold all of these shares. Without the consent of any holder, the Company may, by resolution of the Board, increase the total number of authorized shares of Series A Strike Preferred, except that in no event will such increase be by an amount that exceeds the total number of authorized and undesignated shares of the Company’s preferred stock. In addition, without the consent of any holder of Series A Strike Preferred, the Company may issue additional Series A Strike Preferred with the same terms as the outstanding Series A Strike Preferred (except for certain differences, such as the date as of which regular dividends begin to accumulate on, the first regular dividend payment date for, and transfer restrictions applicable to, such additional Series A Strike Preferred). Furthermore, without the consent of any holder, the Company may resell any Series A Strike Preferred that it or any of its “subsidiaries” (as defined below under the caption “—Definitions”) has purchased or otherwise acquired. However, such additional or resold Series A Strike Preferred must be identified by a separate CUSIP number or by no CUSIP number if they are not fungible, for purposes of federal securities laws or, if applicable, the “depositary procedures” (as defined below under the caption “—Definitions”), with other Series A Strike Preferred that is then outstanding. In addition, without the consent of any holder, the Company may create and issue, or increase the authorized or issued number of, any other class or series of stock (including, for the avoidance of doubt, “dividend senior stock” or “liquidation senior stock” (as those terms are defined below under the caption “— Definitions”)).</w:t>
      </w:r>
    </w:p>
    <w:p>
      <w:pPr>
        <w:spacing w:after="0" w:line="187" w:lineRule="exact"/>
        <w:rPr>
          <w:sz w:val="20"/>
          <w:szCs w:val="20"/>
          <w:color w:val="auto"/>
        </w:rPr>
      </w:pPr>
    </w:p>
    <w:p>
      <w:pPr>
        <w:ind w:right="200"/>
        <w:spacing w:after="0" w:line="282" w:lineRule="auto"/>
        <w:rPr>
          <w:sz w:val="20"/>
          <w:szCs w:val="20"/>
          <w:color w:val="auto"/>
        </w:rPr>
      </w:pPr>
      <w:r>
        <w:rPr>
          <w:rFonts w:ascii="Times New Roman" w:cs="Times New Roman" w:eastAsia="Times New Roman" w:hAnsi="Times New Roman"/>
          <w:sz w:val="18"/>
          <w:szCs w:val="18"/>
          <w:color w:val="auto"/>
        </w:rPr>
        <w:t>Subject to applicable law, the Company or its subsidiaries may directly or indirectly repurchase Series A Strike Preferred in the open market or otherwise, whether through private or public tender or exchange offers, cash-settled swaps or other cash-settled derivatives.</w:t>
      </w:r>
    </w:p>
    <w:p>
      <w:pPr>
        <w:spacing w:after="0" w:line="158"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Transfer Agent, Registrar, Conversion Agent and Paying Agent</w:t>
      </w:r>
    </w:p>
    <w:p>
      <w:pPr>
        <w:spacing w:after="0" w:line="121" w:lineRule="exact"/>
        <w:rPr>
          <w:sz w:val="20"/>
          <w:szCs w:val="20"/>
          <w:color w:val="auto"/>
        </w:rPr>
      </w:pPr>
    </w:p>
    <w:p>
      <w:pPr>
        <w:ind w:right="400"/>
        <w:spacing w:after="0" w:line="258" w:lineRule="auto"/>
        <w:rPr>
          <w:sz w:val="20"/>
          <w:szCs w:val="20"/>
          <w:color w:val="auto"/>
        </w:rPr>
      </w:pPr>
      <w:r>
        <w:rPr>
          <w:rFonts w:ascii="Times New Roman" w:cs="Times New Roman" w:eastAsia="Times New Roman" w:hAnsi="Times New Roman"/>
          <w:sz w:val="18"/>
          <w:szCs w:val="18"/>
          <w:color w:val="auto"/>
        </w:rPr>
        <w:t>U.S. Bank Trust Company, National Association is the initial transfer agent, registrar, conversion agent and paying agent for the Series A Strike Preferred. However, without prior notice to the preferred stockholders, the Company may change the transfer agent, registrar, paying agent and conversion agent and the Company or any of its subsidiaries may choose to act in that capacity as well (except that the transfer agent, registrar, paying agent or conversion agent with respect to any global certificate must at all times be a person that is eligible to act in that capacity under the depositary procedures).</w:t>
      </w:r>
    </w:p>
    <w:p>
      <w:pPr>
        <w:spacing w:after="0" w:line="112"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Registered Holders</w:t>
      </w:r>
    </w:p>
    <w:p>
      <w:pPr>
        <w:spacing w:after="0" w:line="148" w:lineRule="exact"/>
        <w:rPr>
          <w:sz w:val="20"/>
          <w:szCs w:val="20"/>
          <w:color w:val="auto"/>
        </w:rPr>
      </w:pPr>
    </w:p>
    <w:p>
      <w:pPr>
        <w:ind w:right="380"/>
        <w:spacing w:after="0" w:line="282" w:lineRule="auto"/>
        <w:rPr>
          <w:sz w:val="20"/>
          <w:szCs w:val="20"/>
          <w:color w:val="auto"/>
        </w:rPr>
      </w:pPr>
      <w:r>
        <w:rPr>
          <w:rFonts w:ascii="Times New Roman" w:cs="Times New Roman" w:eastAsia="Times New Roman" w:hAnsi="Times New Roman"/>
          <w:sz w:val="18"/>
          <w:szCs w:val="18"/>
          <w:color w:val="auto"/>
        </w:rPr>
        <w:t>Absent manifest error, a person in whose name any share of Series A Strike Preferred is registered on the registrar’s books will be considered to be the holder of that share for all purposes, and only registered holders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967105</wp:posOffset>
            </wp:positionV>
            <wp:extent cx="7157720" cy="42545"/>
            <wp:wrapNone/>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67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26" w:name="page127"/>
    <w:bookmarkEnd w:id="126"/>
    <w:p>
      <w:pPr>
        <w:ind w:right="380"/>
        <w:spacing w:after="0" w:line="266" w:lineRule="auto"/>
        <w:rPr>
          <w:sz w:val="20"/>
          <w:szCs w:val="20"/>
          <w:color w:val="auto"/>
        </w:rPr>
      </w:pPr>
      <w:r>
        <w:rPr>
          <w:rFonts w:ascii="Times New Roman" w:cs="Times New Roman" w:eastAsia="Times New Roman" w:hAnsi="Times New Roman"/>
          <w:sz w:val="18"/>
          <w:szCs w:val="18"/>
          <w:color w:val="auto"/>
        </w:rPr>
        <w:t>(which, in the case of Series A Strike Preferred held through DTC, is initially DTC’s nominee, Cede &amp; Co.) will have rights under the Certificate and the Certificate of Designations as holders of the Series A Strike Preferred. In this section, the registered holders of the Series A Strike Preferred are referred to as “holders” of the Series A Strike Preferred or “preferred stockholders.”</w:t>
      </w:r>
    </w:p>
    <w:p>
      <w:pPr>
        <w:spacing w:after="0" w:line="216"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The Series A Strike Preferred was initially issued in global form, represented by one or more “global certificates” registered in the name of Cede &amp; Co., as nominee of DTC, and DTC will act as the initial depositary for the Series A Strike Preferred. In limited circumstances, global certificates will be exchanged for “physical certificates” registered in the name of the applicable preferred stockholders. See “—Book Entry, Settlement and Clearance” for a definition of these terms and a description of certain DTC procedures that are applicable to Series A Strike Preferred represented by global certificates.</w:t>
      </w:r>
    </w:p>
    <w:p>
      <w:pPr>
        <w:spacing w:after="0" w:line="135"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Transfers and Exchanges</w:t>
      </w:r>
    </w:p>
    <w:p>
      <w:pPr>
        <w:spacing w:after="0" w:line="148" w:lineRule="exact"/>
        <w:rPr>
          <w:sz w:val="20"/>
          <w:szCs w:val="20"/>
          <w:color w:val="auto"/>
        </w:rPr>
      </w:pPr>
    </w:p>
    <w:p>
      <w:pPr>
        <w:ind w:right="240"/>
        <w:spacing w:after="0" w:line="258" w:lineRule="auto"/>
        <w:rPr>
          <w:sz w:val="20"/>
          <w:szCs w:val="20"/>
          <w:color w:val="auto"/>
        </w:rPr>
      </w:pPr>
      <w:r>
        <w:rPr>
          <w:rFonts w:ascii="Times New Roman" w:cs="Times New Roman" w:eastAsia="Times New Roman" w:hAnsi="Times New Roman"/>
          <w:sz w:val="18"/>
          <w:szCs w:val="18"/>
          <w:color w:val="auto"/>
        </w:rPr>
        <w:t>A preferred stockholder may transfer or exchange its Series A Strike Preferred at the office of the registrar in accordance with the Certificate of Designations. The Company, the transfer agent and the registrar may require the preferred stockholder to, among other things, deliver appropriate endorsements or transfer instruments as they may reasonably require. In addition, subject to the terms of the Certificate of Designations, the Company, the transfer agent and the registrar may refuse to register the transfer or exchange of any share of Series A Strike Preferred that is subject to conversion, redemption or required repurchase.</w:t>
      </w:r>
    </w:p>
    <w:p>
      <w:pPr>
        <w:spacing w:after="0" w:line="112"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Payments on the Series A Strike Preferred</w:t>
      </w:r>
    </w:p>
    <w:p>
      <w:pPr>
        <w:spacing w:after="0" w:line="148" w:lineRule="exact"/>
        <w:rPr>
          <w:sz w:val="20"/>
          <w:szCs w:val="20"/>
          <w:color w:val="auto"/>
        </w:rPr>
      </w:pPr>
    </w:p>
    <w:p>
      <w:pPr>
        <w:jc w:val="both"/>
        <w:ind w:right="280"/>
        <w:spacing w:after="0" w:line="266" w:lineRule="auto"/>
        <w:rPr>
          <w:sz w:val="20"/>
          <w:szCs w:val="20"/>
          <w:color w:val="auto"/>
        </w:rPr>
      </w:pPr>
      <w:r>
        <w:rPr>
          <w:rFonts w:ascii="Times New Roman" w:cs="Times New Roman" w:eastAsia="Times New Roman" w:hAnsi="Times New Roman"/>
          <w:sz w:val="18"/>
          <w:szCs w:val="18"/>
          <w:color w:val="auto"/>
        </w:rPr>
        <w:t>The Company will pay (or cause a paying agent to pay) all declared cash regular dividends or other cash amounts due on any Series A Strike Preferred represented by a global certificate by wire transfer of immediately available funds. The Company will pay (or cause a paying agent to pay) all declared cash regular dividends or other cash amounts due on any Series A Strike Preferred represented by a physical certificate as follows:</w:t>
      </w:r>
    </w:p>
    <w:p>
      <w:pPr>
        <w:spacing w:after="0" w:line="95" w:lineRule="exact"/>
        <w:rPr>
          <w:sz w:val="20"/>
          <w:szCs w:val="20"/>
          <w:color w:val="auto"/>
        </w:rPr>
      </w:pPr>
    </w:p>
    <w:p>
      <w:pPr>
        <w:ind w:left="760" w:right="180" w:hanging="378"/>
        <w:spacing w:after="0" w:line="258" w:lineRule="auto"/>
        <w:tabs>
          <w:tab w:leader="none" w:pos="760"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aggregate “liquidation preference” (as defined below under the caption “—Definitions”) of the Series A Strike Preferred represented by such physical certificate is at least $5.0 million (or such lower amount as the Company may choose in its sole and absolute discretion) and the holder of such Series A Strike Preferred entitled to such cash regular dividend or amount has delivered to the paying agent, no later than the time set forth below, a written request to receive payment by wire transfer to an account of such holder within the United States, by wire transfer of immediately available funds to such account; and</w:t>
      </w:r>
    </w:p>
    <w:p>
      <w:pPr>
        <w:spacing w:after="0" w:line="102" w:lineRule="exact"/>
        <w:rPr>
          <w:rFonts w:ascii="Times New Roman" w:cs="Times New Roman" w:eastAsia="Times New Roman" w:hAnsi="Times New Roman"/>
          <w:sz w:val="18"/>
          <w:szCs w:val="18"/>
          <w:color w:val="auto"/>
        </w:rPr>
      </w:pPr>
    </w:p>
    <w:p>
      <w:pPr>
        <w:ind w:left="720" w:hanging="338"/>
        <w:spacing w:after="0"/>
        <w:tabs>
          <w:tab w:leader="none" w:pos="720"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all other cases, by check mailed to the address of such holder set forth in the register for the Series A Strike Preferred.</w:t>
      </w:r>
    </w:p>
    <w:p>
      <w:pPr>
        <w:spacing w:after="0" w:line="279" w:lineRule="exact"/>
        <w:rPr>
          <w:sz w:val="20"/>
          <w:szCs w:val="20"/>
          <w:color w:val="auto"/>
        </w:rPr>
      </w:pPr>
    </w:p>
    <w:p>
      <w:pPr>
        <w:ind w:right="20"/>
        <w:spacing w:after="0" w:line="261" w:lineRule="auto"/>
        <w:rPr>
          <w:sz w:val="20"/>
          <w:szCs w:val="20"/>
          <w:color w:val="auto"/>
        </w:rPr>
      </w:pPr>
      <w:r>
        <w:rPr>
          <w:rFonts w:ascii="Times New Roman" w:cs="Times New Roman" w:eastAsia="Times New Roman" w:hAnsi="Times New Roman"/>
          <w:sz w:val="18"/>
          <w:szCs w:val="18"/>
          <w:color w:val="auto"/>
        </w:rPr>
        <w:t>To be timely, a written request referred to in the first bullet point above must be delivered no later than the “close of business” (as defined below under the caption “—Definitions”) on the following date: (i) with respect to the payment of any declared cash regular dividend due on a regular dividend payment date for the Series A Strike Preferred, the immediately preceding regular record date; and (ii) with respect to any other payment, the date that is 15 calendar days immediately before the date such payment is due.</w:t>
      </w:r>
    </w:p>
    <w:p>
      <w:pPr>
        <w:spacing w:after="0" w:line="234" w:lineRule="exact"/>
        <w:rPr>
          <w:sz w:val="20"/>
          <w:szCs w:val="20"/>
          <w:color w:val="auto"/>
        </w:rPr>
      </w:pPr>
    </w:p>
    <w:p>
      <w:pPr>
        <w:ind w:right="180"/>
        <w:spacing w:after="0" w:line="258" w:lineRule="auto"/>
        <w:rPr>
          <w:sz w:val="20"/>
          <w:szCs w:val="20"/>
          <w:color w:val="auto"/>
        </w:rPr>
      </w:pPr>
      <w:r>
        <w:rPr>
          <w:rFonts w:ascii="Times New Roman" w:cs="Times New Roman" w:eastAsia="Times New Roman" w:hAnsi="Times New Roman"/>
          <w:sz w:val="18"/>
          <w:szCs w:val="18"/>
          <w:color w:val="auto"/>
        </w:rPr>
        <w:t>If the due date for a payment on any Series A Strike Preferred is not a “business day” (as defined below under the caption “—Definitions”), then such payment may be made on the immediately following business day with the same force and effect as if such payment were made on that due date, and no interest, dividend or other amount will accrue or accumulate on such payment as a result of the related delay. Solely for purposes of the immediately preceding sentence, a day on which the applicable place of payment is authorized or required by law or executive order to close or be closed will be deemed not to be a “business day.”</w:t>
      </w:r>
    </w:p>
    <w:p>
      <w:pPr>
        <w:spacing w:after="0" w:line="13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Ranking</w:t>
      </w:r>
    </w:p>
    <w:p>
      <w:pPr>
        <w:spacing w:after="0" w:line="1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Series A Strike Preferred will rank as follows:</w:t>
      </w:r>
    </w:p>
    <w:p>
      <w:pPr>
        <w:spacing w:after="0" w:line="144" w:lineRule="exact"/>
        <w:rPr>
          <w:sz w:val="20"/>
          <w:szCs w:val="20"/>
          <w:color w:val="auto"/>
        </w:rPr>
      </w:pPr>
    </w:p>
    <w:p>
      <w:pPr>
        <w:ind w:left="760" w:right="380" w:hanging="378"/>
        <w:spacing w:after="0" w:line="282" w:lineRule="auto"/>
        <w:tabs>
          <w:tab w:leader="none" w:pos="760" w:val="left"/>
        </w:tabs>
        <w:numPr>
          <w:ilvl w:val="0"/>
          <w:numId w:val="5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senior to (i) “dividend junior stock” (as defined below under the caption “—Definitions”) with respect to the payment of dividends; and (ii) “liquidation junior stock” (as defined below under the caption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967105</wp:posOffset>
            </wp:positionV>
            <wp:extent cx="7157720" cy="42545"/>
            <wp:wrapNone/>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67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04" w:right="419" w:bottom="1440" w:gutter="0" w:footer="0" w:header="0"/>
        </w:sectPr>
      </w:pPr>
    </w:p>
    <w:bookmarkStart w:id="127" w:name="page128"/>
    <w:bookmarkEnd w:id="127"/>
    <w:p>
      <w:pPr>
        <w:ind w:left="760"/>
        <w:spacing w:after="0"/>
        <w:rPr>
          <w:sz w:val="20"/>
          <w:szCs w:val="20"/>
          <w:color w:val="auto"/>
        </w:rPr>
      </w:pPr>
      <w:r>
        <w:rPr>
          <w:rFonts w:ascii="Times New Roman" w:cs="Times New Roman" w:eastAsia="Times New Roman" w:hAnsi="Times New Roman"/>
          <w:sz w:val="18"/>
          <w:szCs w:val="18"/>
          <w:color w:val="auto"/>
        </w:rPr>
        <w:t>“—Definitions”) with respect to the distribution of assets upon the Company’s liquidation, dissolution or winding up;</w:t>
      </w:r>
    </w:p>
    <w:p>
      <w:pPr>
        <w:spacing w:after="0" w:line="144" w:lineRule="exact"/>
        <w:rPr>
          <w:sz w:val="20"/>
          <w:szCs w:val="20"/>
          <w:color w:val="auto"/>
        </w:rPr>
      </w:pPr>
    </w:p>
    <w:p>
      <w:pPr>
        <w:ind w:left="740" w:right="400" w:hanging="358"/>
        <w:spacing w:after="0" w:line="266" w:lineRule="auto"/>
        <w:tabs>
          <w:tab w:leader="none" w:pos="740"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equally with (i) “dividend parity stock” (as defined below under the caption “—Definitions”) with respect to the payment of dividends; and (ii) “liquidation parity stock” (as defined below under the caption “—Definitions”) with respect to the distribution of assets upon the Company’s liquidation, dissolution or winding up;</w:t>
      </w:r>
    </w:p>
    <w:p>
      <w:pPr>
        <w:spacing w:after="0" w:line="94" w:lineRule="exact"/>
        <w:rPr>
          <w:rFonts w:ascii="Times New Roman" w:cs="Times New Roman" w:eastAsia="Times New Roman" w:hAnsi="Times New Roman"/>
          <w:sz w:val="18"/>
          <w:szCs w:val="18"/>
          <w:color w:val="auto"/>
        </w:rPr>
      </w:pPr>
    </w:p>
    <w:p>
      <w:pPr>
        <w:ind w:left="740" w:right="260" w:hanging="358"/>
        <w:spacing w:after="0" w:line="282" w:lineRule="auto"/>
        <w:tabs>
          <w:tab w:leader="none" w:pos="740"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junior to (i) dividend senior stock with respect to the payment of dividends; and (ii) liquidation senior stock with respect to the distribution of assets upon the Company’s liquidation, dissolution or winding up;</w:t>
      </w:r>
    </w:p>
    <w:p>
      <w:pPr>
        <w:spacing w:after="0" w:line="94"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junior to the Company’s existing and future indebtedness; and</w:t>
      </w:r>
    </w:p>
    <w:p>
      <w:pPr>
        <w:spacing w:after="0" w:line="144" w:lineRule="exact"/>
        <w:rPr>
          <w:rFonts w:ascii="Times New Roman" w:cs="Times New Roman" w:eastAsia="Times New Roman" w:hAnsi="Times New Roman"/>
          <w:sz w:val="18"/>
          <w:szCs w:val="18"/>
          <w:color w:val="auto"/>
        </w:rPr>
      </w:pPr>
    </w:p>
    <w:p>
      <w:pPr>
        <w:ind w:left="760" w:right="160" w:hanging="378"/>
        <w:spacing w:after="0" w:line="282" w:lineRule="auto"/>
        <w:tabs>
          <w:tab w:leader="none" w:pos="760"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structurally junior to all existing and future indebtedness and other liabilities, including trade payables, and (to the extent the Company is not a holder thereof) capital stock of the Company’s subsidiaries.</w:t>
      </w:r>
    </w:p>
    <w:p>
      <w:pPr>
        <w:spacing w:after="0" w:line="216" w:lineRule="exact"/>
        <w:rPr>
          <w:sz w:val="20"/>
          <w:szCs w:val="20"/>
          <w:color w:val="auto"/>
        </w:rPr>
      </w:pPr>
    </w:p>
    <w:p>
      <w:pPr>
        <w:ind w:right="460"/>
        <w:spacing w:after="0" w:line="282" w:lineRule="auto"/>
        <w:rPr>
          <w:sz w:val="20"/>
          <w:szCs w:val="20"/>
          <w:color w:val="auto"/>
        </w:rPr>
      </w:pPr>
      <w:r>
        <w:rPr>
          <w:rFonts w:ascii="Times New Roman" w:cs="Times New Roman" w:eastAsia="Times New Roman" w:hAnsi="Times New Roman"/>
          <w:sz w:val="18"/>
          <w:szCs w:val="18"/>
          <w:color w:val="auto"/>
        </w:rPr>
        <w:t>The Class A and the Class B constitute dividend junior stock and liquidation junior stock. However, the terms of the Series A Strike Preferred do not restrict the Company from issuing dividend senior stock or liquidation senior stock.</w:t>
      </w:r>
    </w:p>
    <w:p>
      <w:pPr>
        <w:spacing w:after="0" w:line="158"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Regular Dividends</w:t>
      </w:r>
    </w:p>
    <w:p>
      <w:pPr>
        <w:spacing w:after="0" w:line="144"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Generally</w:t>
      </w:r>
    </w:p>
    <w:p>
      <w:pPr>
        <w:spacing w:after="0" w:line="148" w:lineRule="exact"/>
        <w:rPr>
          <w:sz w:val="20"/>
          <w:szCs w:val="20"/>
          <w:color w:val="auto"/>
        </w:rPr>
      </w:pPr>
    </w:p>
    <w:p>
      <w:pPr>
        <w:ind w:right="80"/>
        <w:spacing w:after="0" w:line="254" w:lineRule="auto"/>
        <w:rPr>
          <w:sz w:val="20"/>
          <w:szCs w:val="20"/>
          <w:color w:val="auto"/>
        </w:rPr>
      </w:pPr>
      <w:r>
        <w:rPr>
          <w:rFonts w:ascii="Times New Roman" w:cs="Times New Roman" w:eastAsia="Times New Roman" w:hAnsi="Times New Roman"/>
          <w:sz w:val="18"/>
          <w:szCs w:val="18"/>
          <w:color w:val="auto"/>
        </w:rPr>
        <w:t>The Series A Strike Preferred will accumulate cumulative dividends (referred to herein as “regular dividends”) at a rate per annum equal to 8.00% (such rate per annum, the “regular dividend rate”) on the liquidation preference thereof (and, to the extent described in the third immediately following paragraph, on unpaid regular dividends), regardless of whether or not declared or funds are legally available for their payment. Subject to the other provisions described below, such regular dividends will be payable when, as and if declared by the Board (which as used in this section also includes a committee of the Board duly authorized to act on its behalf), out of funds legally available for their payment to the extent paid in cash, quarterly in arrears on each “regular dividend payment date” (as defined below under the caption “—Definitions”) to the preferred stockholders of record as of the close of business on the “regular record date” (as defined below under the caption “—Definitions”) immediately preceding the applicable regular dividend payment date.</w:t>
      </w:r>
    </w:p>
    <w:p>
      <w:pPr>
        <w:spacing w:after="0" w:line="246" w:lineRule="exact"/>
        <w:rPr>
          <w:sz w:val="20"/>
          <w:szCs w:val="20"/>
          <w:color w:val="auto"/>
        </w:rPr>
      </w:pPr>
    </w:p>
    <w:p>
      <w:pPr>
        <w:ind w:right="360"/>
        <w:spacing w:after="0" w:line="282" w:lineRule="auto"/>
        <w:rPr>
          <w:sz w:val="20"/>
          <w:szCs w:val="20"/>
          <w:color w:val="auto"/>
        </w:rPr>
      </w:pPr>
      <w:r>
        <w:rPr>
          <w:rFonts w:ascii="Times New Roman" w:cs="Times New Roman" w:eastAsia="Times New Roman" w:hAnsi="Times New Roman"/>
          <w:sz w:val="18"/>
          <w:szCs w:val="18"/>
          <w:color w:val="auto"/>
        </w:rPr>
        <w:t>Regular dividends on the Series A Strike Preferred will accumulate from, and including, the last date to which regular dividends have been paid (or, if no regular dividends have been paid, from, and including, the initial issue date) to, but excluding, the next regular dividend payment date.</w:t>
      </w:r>
    </w:p>
    <w:p>
      <w:pPr>
        <w:spacing w:after="0" w:line="216" w:lineRule="exact"/>
        <w:rPr>
          <w:sz w:val="20"/>
          <w:szCs w:val="20"/>
          <w:color w:val="auto"/>
        </w:rPr>
      </w:pPr>
    </w:p>
    <w:p>
      <w:pPr>
        <w:ind w:right="100"/>
        <w:spacing w:after="0" w:line="261" w:lineRule="auto"/>
        <w:rPr>
          <w:sz w:val="20"/>
          <w:szCs w:val="20"/>
          <w:color w:val="auto"/>
        </w:rPr>
      </w:pPr>
      <w:r>
        <w:rPr>
          <w:rFonts w:ascii="Times New Roman" w:cs="Times New Roman" w:eastAsia="Times New Roman" w:hAnsi="Times New Roman"/>
          <w:sz w:val="18"/>
          <w:szCs w:val="18"/>
          <w:color w:val="auto"/>
        </w:rPr>
        <w:t>Declared regular dividends on the Series A Strike Preferred will be payable, at the Company’s election, in cash, shares of the Class A or a combination of cash and shares of the Class A, in the manner, and subject to the provisions, described below under the caption “—Method of Payment.” References herein to regular dividends “paid” on the Series A Strike Preferred, and any other similar language, will be deemed to include regular dividends paid thereon in shares of Class A in compliance with the provisions described in this “—Regular Dividends” section.</w:t>
      </w:r>
    </w:p>
    <w:p>
      <w:pPr>
        <w:spacing w:after="0" w:line="180"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If any accumulated regular dividend (or any portion thereof) on the Series A Strike Preferred is not paid on the applicable regular dividend payment date (or, if such regular dividend payment date is not a business day, the next business day), then additional regular dividends, which are referred to herein as “compounded dividends,” will accumulate on the amount of such unpaid regular dividend, compounded quarterly at the regular dividend rate, from, and including, such regular dividend payment date to, but excluding, the date the same, including all compounded dividends thereon, is paid in full. Each reference herein to “accumulated” or “unpaid” regular dividends will include any compounded dividends that accumulate thereon pursuant to the provision described in this paragraph. Each payment of declared regular dividends on the Series A Strike Preferred will be applied to the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983615</wp:posOffset>
            </wp:positionV>
            <wp:extent cx="7157720" cy="42545"/>
            <wp:wrapNone/>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67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80"/>
          </w:cols>
          <w:pgMar w:left="320" w:top="1404" w:right="399" w:bottom="1440" w:gutter="0" w:footer="0" w:header="0"/>
        </w:sectPr>
      </w:pPr>
    </w:p>
    <w:bookmarkStart w:id="128" w:name="page129"/>
    <w:bookmarkEnd w:id="128"/>
    <w:p>
      <w:pPr>
        <w:spacing w:after="0"/>
        <w:rPr>
          <w:sz w:val="20"/>
          <w:szCs w:val="20"/>
          <w:color w:val="auto"/>
        </w:rPr>
      </w:pPr>
      <w:r>
        <w:rPr>
          <w:rFonts w:ascii="Times New Roman" w:cs="Times New Roman" w:eastAsia="Times New Roman" w:hAnsi="Times New Roman"/>
          <w:sz w:val="18"/>
          <w:szCs w:val="18"/>
          <w:color w:val="auto"/>
        </w:rPr>
        <w:t>earliest “regular dividend period” (as defined below under the caption “—Definitions”) for which regular dividends have not yet been paid.</w:t>
      </w:r>
    </w:p>
    <w:p>
      <w:pPr>
        <w:spacing w:after="0" w:line="2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Accumulated regular dividends will be computed on the basis of a 360-day year comprised of twelve 30-day months.</w:t>
      </w:r>
    </w:p>
    <w:p>
      <w:pPr>
        <w:spacing w:after="0" w:line="279" w:lineRule="exact"/>
        <w:rPr>
          <w:sz w:val="20"/>
          <w:szCs w:val="20"/>
          <w:color w:val="auto"/>
        </w:rPr>
      </w:pPr>
    </w:p>
    <w:p>
      <w:pPr>
        <w:jc w:val="both"/>
        <w:ind w:right="480"/>
        <w:spacing w:after="0" w:line="266" w:lineRule="auto"/>
        <w:rPr>
          <w:sz w:val="20"/>
          <w:szCs w:val="20"/>
          <w:color w:val="auto"/>
        </w:rPr>
      </w:pPr>
      <w:r>
        <w:rPr>
          <w:rFonts w:ascii="Times New Roman" w:cs="Times New Roman" w:eastAsia="Times New Roman" w:hAnsi="Times New Roman"/>
          <w:sz w:val="18"/>
          <w:szCs w:val="18"/>
          <w:color w:val="auto"/>
        </w:rPr>
        <w:t>Except as described in the next paragraph, the Certificate of Designations does not require the Company to declare regular dividends on the Series A Strike Preferred, even if funds are legally available for their payment. Accordingly, the Company may choose not to declare regular dividends on the Series A Strike Preferred.</w:t>
      </w:r>
    </w:p>
    <w:p>
      <w:pPr>
        <w:spacing w:after="0" w:line="230"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If the Company sells any shares of Class A for cash through a registered public offering (including an at-the-market offering or follow-on offering) during the 90 calendar days preceding a regular record date, then, subject to the terms of any dividend senior stock, the Company will declare and pay the regular dividend due on the regular dividend payment date immediately after such regular record date (including, for the avoidance of doubt, compounded dividends, if any) to the extent the net proceeds to the Company of such sale(s) during such 90 calendar days are sufficient to pay such regular dividend. For the avoidance of doubt, payments of regular dividends will be applied in accordance with the last sentence of the fourth paragraph under this “— Regular Dividends— Generally” section. However, to the extent permitted by the depositary procedures and the terms of any senior dividend stock, and subject to the limitations described under the caption “—Method of Payment— Regular Dividends Paid Partially or Entirely in Shares of Class A Common Stock” below, to the extent, and only to the extent, funds are not legally available for such payment, and to the extent authorized, unissued and unreserved shares of Class A are available, such payment of regular dividends will be payable in shares of Class A. For these purposes, and for the avoidance of doubt, but without limitation, none of the following will constitute a sale of shares of Class A:</w:t>
      </w:r>
    </w:p>
    <w:p>
      <w:pPr>
        <w:spacing w:after="0" w:line="100" w:lineRule="exact"/>
        <w:rPr>
          <w:sz w:val="20"/>
          <w:szCs w:val="20"/>
          <w:color w:val="auto"/>
        </w:rPr>
      </w:pPr>
    </w:p>
    <w:p>
      <w:pPr>
        <w:ind w:left="760" w:right="3020" w:hanging="378"/>
        <w:spacing w:after="0" w:line="297" w:lineRule="auto"/>
        <w:tabs>
          <w:tab w:leader="none" w:pos="760"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or sale of any securities that are convertible into, or exchangeable or exercisable for, Class A;</w:t>
      </w:r>
    </w:p>
    <w:p>
      <w:pPr>
        <w:spacing w:after="0" w:line="54" w:lineRule="exact"/>
        <w:rPr>
          <w:rFonts w:ascii="Times New Roman" w:cs="Times New Roman" w:eastAsia="Times New Roman" w:hAnsi="Times New Roman"/>
          <w:sz w:val="18"/>
          <w:szCs w:val="18"/>
          <w:color w:val="auto"/>
        </w:rPr>
      </w:pPr>
    </w:p>
    <w:p>
      <w:pPr>
        <w:ind w:left="740" w:hanging="358"/>
        <w:spacing w:after="0"/>
        <w:tabs>
          <w:tab w:leader="none" w:pos="740"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any shares of Class A upon the conversion, exchange or exercise of any securities referred to in the preceding bullet point; and</w:t>
      </w:r>
    </w:p>
    <w:p>
      <w:pPr>
        <w:spacing w:after="0" w:line="11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or sale of any securities pursuant to a registration statement on Form S-8 (or any successor form).</w:t>
      </w:r>
    </w:p>
    <w:p>
      <w:pPr>
        <w:spacing w:after="0" w:line="225" w:lineRule="exact"/>
        <w:rPr>
          <w:sz w:val="20"/>
          <w:szCs w:val="20"/>
          <w:color w:val="auto"/>
        </w:rPr>
      </w:pPr>
    </w:p>
    <w:p>
      <w:pPr>
        <w:ind w:right="540"/>
        <w:spacing w:after="0" w:line="266" w:lineRule="auto"/>
        <w:rPr>
          <w:sz w:val="20"/>
          <w:szCs w:val="20"/>
          <w:color w:val="auto"/>
        </w:rPr>
      </w:pPr>
      <w:r>
        <w:rPr>
          <w:rFonts w:ascii="Times New Roman" w:cs="Times New Roman" w:eastAsia="Times New Roman" w:hAnsi="Times New Roman"/>
          <w:sz w:val="18"/>
          <w:szCs w:val="18"/>
          <w:color w:val="auto"/>
        </w:rPr>
        <w:t>For the avoidance of doubt, to the extent the Company fails to pay any portion of such regular dividend in cash or shares of Class A due to the limitations described in the preceding paragraph, such portion of such regular dividend will constitute unpaid regular dividends and will accumulate compounded dividends as described under the fourth paragraph under this “—Regular Dividends—Generally” section.</w:t>
      </w:r>
    </w:p>
    <w:p>
      <w:pPr>
        <w:spacing w:after="0" w:line="293" w:lineRule="exact"/>
        <w:rPr>
          <w:sz w:val="20"/>
          <w:szCs w:val="20"/>
          <w:color w:val="auto"/>
        </w:rPr>
      </w:pPr>
    </w:p>
    <w:p>
      <w:pPr>
        <w:jc w:val="center"/>
        <w:ind w:right="8240"/>
        <w:spacing w:after="0"/>
        <w:rPr>
          <w:sz w:val="20"/>
          <w:szCs w:val="20"/>
          <w:color w:val="auto"/>
        </w:rPr>
      </w:pPr>
      <w:r>
        <w:rPr>
          <w:rFonts w:ascii="Times New Roman" w:cs="Times New Roman" w:eastAsia="Times New Roman" w:hAnsi="Times New Roman"/>
          <w:sz w:val="18"/>
          <w:szCs w:val="18"/>
          <w:b w:val="1"/>
          <w:bCs w:val="1"/>
          <w:i w:val="1"/>
          <w:iCs w:val="1"/>
          <w:color w:val="auto"/>
        </w:rPr>
        <w:t>Method of Payment</w:t>
      </w:r>
    </w:p>
    <w:p>
      <w:pPr>
        <w:spacing w:after="0" w:line="133" w:lineRule="exact"/>
        <w:rPr>
          <w:sz w:val="20"/>
          <w:szCs w:val="20"/>
          <w:color w:val="auto"/>
        </w:rPr>
      </w:pPr>
    </w:p>
    <w:p>
      <w:pPr>
        <w:jc w:val="center"/>
        <w:ind w:right="8220"/>
        <w:spacing w:after="0"/>
        <w:rPr>
          <w:sz w:val="20"/>
          <w:szCs w:val="20"/>
          <w:color w:val="auto"/>
        </w:rPr>
      </w:pPr>
      <w:r>
        <w:rPr>
          <w:rFonts w:ascii="Times New Roman" w:cs="Times New Roman" w:eastAsia="Times New Roman" w:hAnsi="Times New Roman"/>
          <w:sz w:val="18"/>
          <w:szCs w:val="18"/>
          <w:i w:val="1"/>
          <w:iCs w:val="1"/>
          <w:color w:val="auto"/>
        </w:rPr>
        <w:t>Generally</w:t>
      </w:r>
    </w:p>
    <w:p>
      <w:pPr>
        <w:spacing w:after="0" w:line="133" w:lineRule="exact"/>
        <w:rPr>
          <w:sz w:val="20"/>
          <w:szCs w:val="20"/>
          <w:color w:val="auto"/>
        </w:rPr>
      </w:pPr>
    </w:p>
    <w:p>
      <w:pPr>
        <w:ind w:right="120"/>
        <w:spacing w:after="0" w:line="258" w:lineRule="auto"/>
        <w:rPr>
          <w:sz w:val="20"/>
          <w:szCs w:val="20"/>
          <w:color w:val="auto"/>
        </w:rPr>
      </w:pPr>
      <w:r>
        <w:rPr>
          <w:rFonts w:ascii="Times New Roman" w:cs="Times New Roman" w:eastAsia="Times New Roman" w:hAnsi="Times New Roman"/>
          <w:sz w:val="18"/>
          <w:szCs w:val="18"/>
          <w:color w:val="auto"/>
        </w:rPr>
        <w:t>Each declared regular dividend on the Series A Strike Preferred will be paid in cash unless the Company elects, by sending written notice to each preferred stockholder no later than the business day after the date of declaration of such regular dividend, to pay all or any portion of such regular dividend in shares of Class A. Such written notice must state the total dollar amount of the declared regular dividend per share of Series A Strike Preferred and the respective dollar portions thereof that will be paid in cash and in shares of Class A. Any such election made in such written notice, once sent, will be irrevocable (as to the applicable declared regular dividend) and will apply to all shares of Series A Strike Preferred then outstanding.</w:t>
      </w:r>
    </w:p>
    <w:p>
      <w:pPr>
        <w:spacing w:after="0" w:line="181"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Regular Dividends Paid Partially or Entirely in Shares of Class A Common Stock</w:t>
      </w:r>
    </w:p>
    <w:p>
      <w:pPr>
        <w:spacing w:after="0" w:line="133" w:lineRule="exact"/>
        <w:rPr>
          <w:sz w:val="20"/>
          <w:szCs w:val="20"/>
          <w:color w:val="auto"/>
        </w:rPr>
      </w:pPr>
    </w:p>
    <w:p>
      <w:pPr>
        <w:ind w:right="20"/>
        <w:spacing w:after="0" w:line="266" w:lineRule="auto"/>
        <w:rPr>
          <w:sz w:val="20"/>
          <w:szCs w:val="20"/>
          <w:color w:val="auto"/>
        </w:rPr>
      </w:pPr>
      <w:r>
        <w:rPr>
          <w:rFonts w:ascii="Times New Roman" w:cs="Times New Roman" w:eastAsia="Times New Roman" w:hAnsi="Times New Roman"/>
          <w:sz w:val="18"/>
          <w:szCs w:val="18"/>
          <w:color w:val="auto"/>
        </w:rPr>
        <w:t xml:space="preserve">The number of shares of Class A payable in respect of any dollar amount of a declared regular dividend that the Company has duly elected to pay in shares of Class A will be (x) such dollar amount,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(y) the “regular dividend stock price” (as defined below under the caption “—Definitions”) for such regular dividend. However, notwithstanding anything to the contrary, in no event will the total number of shares of Class A issuable per share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976630</wp:posOffset>
            </wp:positionV>
            <wp:extent cx="7157720" cy="42545"/>
            <wp:wrapNone/>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67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00"/>
          </w:cols>
          <w:pgMar w:left="320" w:top="1404" w:right="379" w:bottom="1440" w:gutter="0" w:footer="0" w:header="0"/>
        </w:sectPr>
      </w:pPr>
    </w:p>
    <w:bookmarkStart w:id="129" w:name="page130"/>
    <w:bookmarkEnd w:id="129"/>
    <w:p>
      <w:pPr>
        <w:spacing w:after="0" w:line="253" w:lineRule="auto"/>
        <w:rPr>
          <w:sz w:val="20"/>
          <w:szCs w:val="20"/>
          <w:color w:val="auto"/>
        </w:rPr>
      </w:pPr>
      <w:r>
        <w:rPr>
          <w:rFonts w:ascii="Times New Roman" w:cs="Times New Roman" w:eastAsia="Times New Roman" w:hAnsi="Times New Roman"/>
          <w:sz w:val="18"/>
          <w:szCs w:val="18"/>
          <w:color w:val="auto"/>
        </w:rPr>
        <w:t xml:space="preserve">of Series A Strike Preferred as payment for a declared regular dividend exceed an amount equal to (x) the total dollar amount of such declared regular dividend per share of Series A Strike Preferred (including, for the avoidance of doubt, the portion thereof that the Company elected to pay in shares of Class A),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(y) the “floor price” (as defined below under the caption “—Definitions”) in effect on the third “VWAP trading day” (as defined below under the caption “—Definitions”) preceding the regular dividend payment date for such regular dividend. If the dollar amount of such declared regular dividend per share of Series A Strike Preferred that the Company has duly elected to pay in shares of Class A exceeds the product of such regular dividend stock price and the maximum number of shares of Class A deliverable (without regard to the Company’s obligation to pay cash in lieu of any fractional share of Class A) per share of Series A Strike Preferred in respect of such regular dividend, then the Company will, to the extent the Company is legally able to do so and not prohibited by the terms of any dividend senior stock, declare and pay, on the relevant regular dividend payment date, such excess amount in cash. For the avoidance of doubt, to the extent the Company fails to so pay such excess amount in cash, such excess amount will constitute unpaid regular dividends and will accumulate compounded dividends as described under the fourth paragraph under “—Regular Dividends— Generally.”</w:t>
      </w:r>
    </w:p>
    <w:p>
      <w:pPr>
        <w:spacing w:after="0" w:line="205" w:lineRule="exact"/>
        <w:rPr>
          <w:sz w:val="20"/>
          <w:szCs w:val="20"/>
          <w:color w:val="auto"/>
        </w:rPr>
      </w:pPr>
    </w:p>
    <w:p>
      <w:pPr>
        <w:ind w:right="280"/>
        <w:spacing w:after="0" w:line="266" w:lineRule="auto"/>
        <w:rPr>
          <w:sz w:val="20"/>
          <w:szCs w:val="20"/>
          <w:color w:val="auto"/>
        </w:rPr>
      </w:pPr>
      <w:r>
        <w:rPr>
          <w:rFonts w:ascii="Times New Roman" w:cs="Times New Roman" w:eastAsia="Times New Roman" w:hAnsi="Times New Roman"/>
          <w:sz w:val="18"/>
          <w:szCs w:val="18"/>
          <w:color w:val="auto"/>
        </w:rPr>
        <w:t>The initial floor price is $119.03 per share of Class A, subject to adjustment, as provided in its definition, whenever the “conversion rate” (as defined below under the caption “—Definitions”) is adjusted pursuant to the provisions described below under the caption “—Conversion Rights—Conversion Rate Adjustments.”</w:t>
      </w:r>
    </w:p>
    <w:p>
      <w:pPr>
        <w:spacing w:after="0" w:line="295"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Payment of Cash in Lieu of any Fractional Share of Class A Common Stock</w:t>
      </w:r>
    </w:p>
    <w:p>
      <w:pPr>
        <w:spacing w:after="0" w:line="133" w:lineRule="exact"/>
        <w:rPr>
          <w:sz w:val="20"/>
          <w:szCs w:val="20"/>
          <w:color w:val="auto"/>
        </w:rPr>
      </w:pPr>
    </w:p>
    <w:p>
      <w:pPr>
        <w:ind w:right="140"/>
        <w:spacing w:after="0" w:line="253" w:lineRule="auto"/>
        <w:rPr>
          <w:sz w:val="20"/>
          <w:szCs w:val="20"/>
          <w:color w:val="auto"/>
        </w:rPr>
      </w:pPr>
      <w:r>
        <w:rPr>
          <w:rFonts w:ascii="Times New Roman" w:cs="Times New Roman" w:eastAsia="Times New Roman" w:hAnsi="Times New Roman"/>
          <w:sz w:val="18"/>
          <w:szCs w:val="18"/>
          <w:color w:val="auto"/>
        </w:rPr>
        <w:t>Notwithstanding anything to the contrary in the provisions described above, in lieu of delivering any fractional share of Class A otherwise issuable as payment for all or any portion of a declared regular dividend that the Company has duly elected to pay in shares of Class A, the Company will, to the extent it is legally able to do so and not prohibited by the terms of any dividend senior stock, pay cash based on the “daily VWAP” (as defined below under the caption “—Definitions”) per share of Class A on the third VWAP trading day preceding the regular dividend payment date for such regular dividend. To the extent that the Company is not able to pay such fractional amount in cash under applicable law and in compliance with the Company’s indebtedness and the terms of any dividend senior stock, the Company will instead (regardless of the limitations described in the second immediately preceding paragraph, but subject to the availability of authorized, unissued and unreserved shares of Class A) round up to the nearest whole share for each holder, and the Company will not have any obligation to pay such amount in cash and such amount will not form a part of the cumulative dividends that may be deemed to accumulate on the shares of Series A Strike Preferred. For the avoidance of doubt, to the extent the Company fails to pay any portion of such declared regular dividend in cash or shares of Class A due to the limitations described in this paragraph, such portion of such regular dividend will constitute unpaid regular dividends and will accumulate compounded dividends as described under the fourth paragraph under “—Regular Dividends—Generally.”</w:t>
      </w:r>
    </w:p>
    <w:p>
      <w:pPr>
        <w:spacing w:after="0" w:line="323" w:lineRule="exact"/>
        <w:rPr>
          <w:sz w:val="20"/>
          <w:szCs w:val="20"/>
          <w:color w:val="auto"/>
        </w:rPr>
      </w:pPr>
    </w:p>
    <w:p>
      <w:pPr>
        <w:ind w:left="1140" w:right="440"/>
        <w:spacing w:after="0" w:line="284" w:lineRule="auto"/>
        <w:rPr>
          <w:sz w:val="20"/>
          <w:szCs w:val="20"/>
          <w:color w:val="auto"/>
        </w:rPr>
      </w:pPr>
      <w:r>
        <w:rPr>
          <w:rFonts w:ascii="Times New Roman" w:cs="Times New Roman" w:eastAsia="Times New Roman" w:hAnsi="Times New Roman"/>
          <w:sz w:val="18"/>
          <w:szCs w:val="18"/>
          <w:i w:val="1"/>
          <w:iCs w:val="1"/>
          <w:color w:val="auto"/>
        </w:rPr>
        <w:t>When Preferred Stockholders Become Stockholders of Record of Shares of Class A Common Stock Issued as Payment for a Declared Regular Dividend</w:t>
      </w:r>
    </w:p>
    <w:p>
      <w:pPr>
        <w:spacing w:after="0" w:line="66" w:lineRule="exact"/>
        <w:rPr>
          <w:sz w:val="20"/>
          <w:szCs w:val="20"/>
          <w:color w:val="auto"/>
        </w:rPr>
      </w:pPr>
    </w:p>
    <w:p>
      <w:pPr>
        <w:ind w:right="40"/>
        <w:spacing w:after="0" w:line="261" w:lineRule="auto"/>
        <w:rPr>
          <w:sz w:val="20"/>
          <w:szCs w:val="20"/>
          <w:color w:val="auto"/>
        </w:rPr>
      </w:pPr>
      <w:r>
        <w:rPr>
          <w:rFonts w:ascii="Times New Roman" w:cs="Times New Roman" w:eastAsia="Times New Roman" w:hAnsi="Times New Roman"/>
          <w:sz w:val="18"/>
          <w:szCs w:val="18"/>
          <w:color w:val="auto"/>
        </w:rPr>
        <w:t>If the Company has duly elected to pay all or any portion of a declared regular dividend on any share of Series A Strike Preferred in shares of Class A, then such shares of Class A, when issued, will be registered in the name of the holder of such share of Series A Strike Preferred as of the close of business on the related regular record date, and such holder will be deemed to become the holder of record of such shares of Class A as of the close of business on the third VWAP trading day preceding the related regular dividend payment date.</w:t>
      </w:r>
    </w:p>
    <w:p>
      <w:pPr>
        <w:spacing w:after="0" w:line="299"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Securities Laws Matters</w:t>
      </w:r>
    </w:p>
    <w:p>
      <w:pPr>
        <w:spacing w:after="0" w:line="146" w:lineRule="exact"/>
        <w:rPr>
          <w:sz w:val="20"/>
          <w:szCs w:val="20"/>
          <w:color w:val="auto"/>
        </w:rPr>
      </w:pPr>
    </w:p>
    <w:p>
      <w:pPr>
        <w:ind w:right="300"/>
        <w:spacing w:after="0" w:line="261" w:lineRule="auto"/>
        <w:rPr>
          <w:sz w:val="20"/>
          <w:szCs w:val="20"/>
          <w:color w:val="auto"/>
        </w:rPr>
      </w:pPr>
      <w:r>
        <w:rPr>
          <w:rFonts w:ascii="Times New Roman" w:cs="Times New Roman" w:eastAsia="Times New Roman" w:hAnsi="Times New Roman"/>
          <w:sz w:val="18"/>
          <w:szCs w:val="18"/>
          <w:color w:val="auto"/>
        </w:rPr>
        <w:t>If, in the Company’s reasonable judgment, the issuance of shares of Class A as payment for any declared regular dividend on the Series A Strike Preferred, or the resale of those shares by preferred stockholders or beneficial owners that are not, and have not at any time during the preceding three months been, an affiliate of the Company, requires registration under the Securities Act of 1933, as amended (the “Securities Act”), then the Company will use its commercially reasonable efforts to:</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978535</wp:posOffset>
            </wp:positionV>
            <wp:extent cx="7157720" cy="42545"/>
            <wp:wrapNone/>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67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04" w:right="419" w:bottom="1440" w:gutter="0" w:footer="0" w:header="0"/>
        </w:sectPr>
      </w:pPr>
    </w:p>
    <w:bookmarkStart w:id="130" w:name="page131"/>
    <w:bookmarkEnd w:id="130"/>
    <w:p>
      <w:pPr>
        <w:spacing w:after="0" w:line="72" w:lineRule="exact"/>
        <w:rPr>
          <w:sz w:val="20"/>
          <w:szCs w:val="20"/>
          <w:color w:val="auto"/>
        </w:rPr>
      </w:pPr>
    </w:p>
    <w:p>
      <w:pPr>
        <w:ind w:left="760" w:right="120" w:hanging="378"/>
        <w:spacing w:after="0" w:line="282" w:lineRule="auto"/>
        <w:tabs>
          <w:tab w:leader="none" w:pos="760"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file and cause there to become effective under the Securities Act a registration statement covering such issuance or covering such resales from time to time, pursuant to Rule 415 under the Securities Act, by such preferred stockholders or beneficial owners, as applicable; and</w:t>
      </w:r>
    </w:p>
    <w:p>
      <w:pPr>
        <w:spacing w:after="0" w:line="67" w:lineRule="exact"/>
        <w:rPr>
          <w:rFonts w:ascii="Times New Roman" w:cs="Times New Roman" w:eastAsia="Times New Roman" w:hAnsi="Times New Roman"/>
          <w:sz w:val="18"/>
          <w:szCs w:val="18"/>
          <w:color w:val="auto"/>
        </w:rPr>
      </w:pPr>
    </w:p>
    <w:p>
      <w:pPr>
        <w:ind w:left="760" w:hanging="378"/>
        <w:spacing w:after="0" w:line="261" w:lineRule="auto"/>
        <w:tabs>
          <w:tab w:leader="none" w:pos="760"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a resale registration statement, keep such registration statement effective under the Securities Act, and provide a prospectus that may be used in connection therewith, until all such shares are resold pursuant to such registration statement or are, or would be, eligible for resale without restriction, pursuant to Rule 144 under the Securities Act (or any successor rule), by preferred stockholders that are not, and have not at any time during the preceding three months been, an affiliate of the Company.</w:t>
      </w:r>
    </w:p>
    <w:p>
      <w:pPr>
        <w:spacing w:after="0" w:line="247" w:lineRule="exact"/>
        <w:rPr>
          <w:sz w:val="20"/>
          <w:szCs w:val="20"/>
          <w:color w:val="auto"/>
        </w:rPr>
      </w:pPr>
    </w:p>
    <w:p>
      <w:pPr>
        <w:ind w:right="80"/>
        <w:spacing w:after="0" w:line="258" w:lineRule="auto"/>
        <w:rPr>
          <w:sz w:val="20"/>
          <w:szCs w:val="20"/>
          <w:color w:val="auto"/>
        </w:rPr>
      </w:pPr>
      <w:r>
        <w:rPr>
          <w:rFonts w:ascii="Times New Roman" w:cs="Times New Roman" w:eastAsia="Times New Roman" w:hAnsi="Times New Roman"/>
          <w:sz w:val="18"/>
          <w:szCs w:val="18"/>
          <w:color w:val="auto"/>
        </w:rPr>
        <w:t>In addition, the Company will use its commercially reasonable efforts to qualify or register such shares under applicable U.S. state securities laws, to the extent required in the Company’s reasonable judgment. However, the Company will not be required to qualify as a foreign corporation in, or consent to general service of process under the laws of, any jurisdiction where the Company is not at such time so qualified or subject to such service of process. To the extent applicable, the Company will also use its commercially reasonable efforts to have such shares of Class A approved for listing on any U.S. national or regional securities exchange on which the Class A is then listed.</w:t>
      </w:r>
    </w:p>
    <w:p>
      <w:pPr>
        <w:spacing w:after="0" w:line="395" w:lineRule="exact"/>
        <w:rPr>
          <w:sz w:val="20"/>
          <w:szCs w:val="20"/>
          <w:color w:val="auto"/>
        </w:rPr>
      </w:pPr>
    </w:p>
    <w:p>
      <w:pPr>
        <w:ind w:left="860"/>
        <w:spacing w:after="0"/>
        <w:rPr>
          <w:sz w:val="20"/>
          <w:szCs w:val="20"/>
          <w:color w:val="auto"/>
        </w:rPr>
      </w:pPr>
      <w:r>
        <w:rPr>
          <w:rFonts w:ascii="Times New Roman" w:cs="Times New Roman" w:eastAsia="Times New Roman" w:hAnsi="Times New Roman"/>
          <w:sz w:val="18"/>
          <w:szCs w:val="18"/>
          <w:b w:val="1"/>
          <w:bCs w:val="1"/>
          <w:i w:val="1"/>
          <w:iCs w:val="1"/>
          <w:color w:val="auto"/>
        </w:rPr>
        <w:t>Treatment of Dividends Upon Repurchase Upon Fundamental Change, Conversion or Redemption</w:t>
      </w:r>
    </w:p>
    <w:p>
      <w:pPr>
        <w:spacing w:after="0" w:line="162" w:lineRule="exact"/>
        <w:rPr>
          <w:sz w:val="20"/>
          <w:szCs w:val="20"/>
          <w:color w:val="auto"/>
        </w:rPr>
      </w:pPr>
    </w:p>
    <w:p>
      <w:pPr>
        <w:ind w:right="20"/>
        <w:spacing w:after="0" w:line="254" w:lineRule="auto"/>
        <w:rPr>
          <w:sz w:val="20"/>
          <w:szCs w:val="20"/>
          <w:color w:val="auto"/>
        </w:rPr>
      </w:pPr>
      <w:r>
        <w:rPr>
          <w:rFonts w:ascii="Times New Roman" w:cs="Times New Roman" w:eastAsia="Times New Roman" w:hAnsi="Times New Roman"/>
          <w:sz w:val="18"/>
          <w:szCs w:val="18"/>
          <w:color w:val="auto"/>
        </w:rPr>
        <w:t>If the “fundamental change repurchase date” (as defined below under the caption “—Fundamental Change Permits Preferred Stockholders to Require the Company to Repurchase Series A Strike Preferred”), “conversion date” (as defined below under the caption “—Definitions”) or redemption date of any share of Series A Strike Preferred to be repurchased, converted or redeemed is after a regular record date for a declared regular dividend on the Series A Strike Preferred and on or before the next regular dividend payment date, then the holder of such share at the close of business on such regular record date will be entitled, notwithstanding such repurchase, conversion or redemption, as applicable, to receive, on or, at the Company’s election, before such regular dividend payment date, such declared regular dividend on such share. However, in the case of a conversion, the converting preferred stockholder must, in certain circumstances, deliver upon conversion cash in an amount equal to such declared regular dividend, as described under the caption “— Treatment of Dividends Upon Conversion.”</w:t>
      </w:r>
    </w:p>
    <w:p>
      <w:pPr>
        <w:spacing w:after="0" w:line="259" w:lineRule="exact"/>
        <w:rPr>
          <w:sz w:val="20"/>
          <w:szCs w:val="20"/>
          <w:color w:val="auto"/>
        </w:rPr>
      </w:pPr>
    </w:p>
    <w:p>
      <w:pPr>
        <w:ind w:right="220"/>
        <w:spacing w:after="0" w:line="282" w:lineRule="auto"/>
        <w:rPr>
          <w:sz w:val="20"/>
          <w:szCs w:val="20"/>
          <w:color w:val="auto"/>
        </w:rPr>
      </w:pPr>
      <w:r>
        <w:rPr>
          <w:rFonts w:ascii="Times New Roman" w:cs="Times New Roman" w:eastAsia="Times New Roman" w:hAnsi="Times New Roman"/>
          <w:sz w:val="18"/>
          <w:szCs w:val="18"/>
          <w:color w:val="auto"/>
        </w:rPr>
        <w:t>Except as described in the preceding paragraph, regular dividends on any share of Series A Strike Preferred will cease to accumulate from and after the fundamental change repurchase date, conversion date or redemption date, as applicable, for such share.</w:t>
      </w:r>
    </w:p>
    <w:p>
      <w:pPr>
        <w:spacing w:after="0" w:line="374" w:lineRule="exact"/>
        <w:rPr>
          <w:sz w:val="20"/>
          <w:szCs w:val="20"/>
          <w:color w:val="auto"/>
        </w:rPr>
      </w:pPr>
    </w:p>
    <w:p>
      <w:pPr>
        <w:ind w:left="860"/>
        <w:spacing w:after="0"/>
        <w:rPr>
          <w:sz w:val="20"/>
          <w:szCs w:val="20"/>
          <w:color w:val="auto"/>
        </w:rPr>
      </w:pPr>
      <w:r>
        <w:rPr>
          <w:rFonts w:ascii="Times New Roman" w:cs="Times New Roman" w:eastAsia="Times New Roman" w:hAnsi="Times New Roman"/>
          <w:sz w:val="18"/>
          <w:szCs w:val="18"/>
          <w:b w:val="1"/>
          <w:bCs w:val="1"/>
          <w:i w:val="1"/>
          <w:iCs w:val="1"/>
          <w:color w:val="auto"/>
        </w:rPr>
        <w:t>Limitations on the Company’s Ability to Pay Dividends</w:t>
      </w:r>
    </w:p>
    <w:p>
      <w:pPr>
        <w:spacing w:after="0" w:line="162" w:lineRule="exact"/>
        <w:rPr>
          <w:sz w:val="20"/>
          <w:szCs w:val="20"/>
          <w:color w:val="auto"/>
        </w:rPr>
      </w:pPr>
    </w:p>
    <w:p>
      <w:pPr>
        <w:ind w:right="240"/>
        <w:spacing w:after="0" w:line="258" w:lineRule="auto"/>
        <w:rPr>
          <w:sz w:val="20"/>
          <w:szCs w:val="20"/>
          <w:color w:val="auto"/>
        </w:rPr>
      </w:pPr>
      <w:r>
        <w:rPr>
          <w:rFonts w:ascii="Times New Roman" w:cs="Times New Roman" w:eastAsia="Times New Roman" w:hAnsi="Times New Roman"/>
          <w:sz w:val="18"/>
          <w:szCs w:val="18"/>
          <w:color w:val="auto"/>
        </w:rPr>
        <w:t>The Company may not have sufficient cash to pay regular dividends on the Series A Strike Preferred in cash. In addition, applicable law (including the DGCL), regulatory authorities and the agreements governing the Company’s indebtedness may restrict the Company’s ability to pay dividends on the Series A Strike Preferred. Similarly, statutory, contractual or other restrictions may limit the Company’s subsidiaries’ ability to pay dividends or make distributions, loans or advances to the Company to enable the Company to pay regular dividends to the extent paid in cash on the Series A Strike Preferred.</w:t>
      </w:r>
    </w:p>
    <w:p>
      <w:pPr>
        <w:spacing w:after="0" w:line="395" w:lineRule="exact"/>
        <w:rPr>
          <w:sz w:val="20"/>
          <w:szCs w:val="20"/>
          <w:color w:val="auto"/>
        </w:rPr>
      </w:pPr>
    </w:p>
    <w:p>
      <w:pPr>
        <w:ind w:left="860"/>
        <w:spacing w:after="0"/>
        <w:rPr>
          <w:sz w:val="20"/>
          <w:szCs w:val="20"/>
          <w:color w:val="auto"/>
        </w:rPr>
      </w:pPr>
      <w:r>
        <w:rPr>
          <w:rFonts w:ascii="Times New Roman" w:cs="Times New Roman" w:eastAsia="Times New Roman" w:hAnsi="Times New Roman"/>
          <w:sz w:val="18"/>
          <w:szCs w:val="18"/>
          <w:b w:val="1"/>
          <w:bCs w:val="1"/>
          <w:i w:val="1"/>
          <w:iCs w:val="1"/>
          <w:color w:val="auto"/>
        </w:rPr>
        <w:t>Priority of Dividends; Limitation on Junior Payments; No Participation Rights</w:t>
      </w:r>
    </w:p>
    <w:p>
      <w:pPr>
        <w:spacing w:after="0" w:line="162" w:lineRule="exact"/>
        <w:rPr>
          <w:sz w:val="20"/>
          <w:szCs w:val="20"/>
          <w:color w:val="auto"/>
        </w:rPr>
      </w:pPr>
    </w:p>
    <w:p>
      <w:pPr>
        <w:ind w:right="100"/>
        <w:spacing w:after="0" w:line="261" w:lineRule="auto"/>
        <w:rPr>
          <w:sz w:val="20"/>
          <w:szCs w:val="20"/>
          <w:color w:val="auto"/>
        </w:rPr>
      </w:pPr>
      <w:r>
        <w:rPr>
          <w:rFonts w:ascii="Times New Roman" w:cs="Times New Roman" w:eastAsia="Times New Roman" w:hAnsi="Times New Roman"/>
          <w:sz w:val="18"/>
          <w:szCs w:val="18"/>
          <w:color w:val="auto"/>
        </w:rPr>
        <w:t>Except as described below under “—Limitation on Dividends on Parity Stock” and “—Limitation on Certain Payments,” the Certificate of Designations does not prohibit or restrict the Company or the Board from declaring or paying any dividend or distribution (whether in cash, securities or other property, or any combination of the foregoing) on any class or series of the Company’s stock, and, unless such dividend or distribution is declared on the Series A Strike Preferred, the Series A Strike Preferred will not be entitled to participate in such dividend or distribution.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978535</wp:posOffset>
            </wp:positionV>
            <wp:extent cx="7157720" cy="42545"/>
            <wp:wrapNone/>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67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20"/>
          </w:cols>
          <w:pgMar w:left="320" w:top="1440" w:right="459" w:bottom="1440" w:gutter="0" w:footer="0" w:header="0"/>
        </w:sectPr>
      </w:pPr>
    </w:p>
    <w:bookmarkStart w:id="131" w:name="page132"/>
    <w:bookmarkEnd w:id="131"/>
    <w:p>
      <w:pPr>
        <w:spacing w:after="0" w:line="2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purposes of the descriptions below under the captions “—Limitation on Dividends on Parity Stock” and</w:t>
      </w:r>
    </w:p>
    <w:p>
      <w:pPr>
        <w:spacing w:after="0" w:line="27" w:lineRule="exact"/>
        <w:rPr>
          <w:sz w:val="20"/>
          <w:szCs w:val="20"/>
          <w:color w:val="auto"/>
        </w:rPr>
      </w:pPr>
    </w:p>
    <w:p>
      <w:pPr>
        <w:spacing w:after="0" w:line="263" w:lineRule="auto"/>
        <w:rPr>
          <w:sz w:val="20"/>
          <w:szCs w:val="20"/>
          <w:color w:val="auto"/>
        </w:rPr>
      </w:pPr>
      <w:r>
        <w:rPr>
          <w:rFonts w:ascii="Times New Roman" w:cs="Times New Roman" w:eastAsia="Times New Roman" w:hAnsi="Times New Roman"/>
          <w:sz w:val="18"/>
          <w:szCs w:val="18"/>
          <w:color w:val="auto"/>
        </w:rPr>
        <w:t>“—Limitation on Certain Payments,” a regular dividend on the Series A Strike Preferred will be deemed to have been paid if such regular dividend is declared and consideration in kind and amount that is sufficient, in accordance with the Certificate of Designations, to pay such regular dividend is set aside for the benefit of the preferred stockholders entitled thereto.</w:t>
      </w:r>
    </w:p>
    <w:p>
      <w:pPr>
        <w:spacing w:after="0" w:line="190"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Limitation on Dividends on Parity Stock</w:t>
      </w:r>
    </w:p>
    <w:p>
      <w:pPr>
        <w:spacing w:after="0" w:line="13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If:</w:t>
      </w:r>
    </w:p>
    <w:p>
      <w:pPr>
        <w:spacing w:after="0" w:line="117" w:lineRule="exact"/>
        <w:rPr>
          <w:sz w:val="20"/>
          <w:szCs w:val="20"/>
          <w:color w:val="auto"/>
        </w:rPr>
      </w:pPr>
    </w:p>
    <w:p>
      <w:pPr>
        <w:ind w:left="760" w:right="540" w:hanging="378"/>
        <w:spacing w:after="0" w:line="282" w:lineRule="auto"/>
        <w:tabs>
          <w:tab w:leader="none" w:pos="760" w:val="left"/>
        </w:tabs>
        <w:numPr>
          <w:ilvl w:val="0"/>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less than all accumulated and unpaid regular dividends on the outstanding Series A Strike Preferred have been declared and paid as of any regular dividend payment date; or</w:t>
      </w:r>
    </w:p>
    <w:p>
      <w:pPr>
        <w:spacing w:after="0" w:line="67" w:lineRule="exact"/>
        <w:rPr>
          <w:rFonts w:ascii="Times New Roman" w:cs="Times New Roman" w:eastAsia="Times New Roman" w:hAnsi="Times New Roman"/>
          <w:sz w:val="18"/>
          <w:szCs w:val="18"/>
          <w:color w:val="auto"/>
        </w:rPr>
      </w:pPr>
    </w:p>
    <w:p>
      <w:pPr>
        <w:ind w:left="760" w:right="300" w:hanging="378"/>
        <w:spacing w:after="0" w:line="312" w:lineRule="auto"/>
        <w:tabs>
          <w:tab w:leader="none" w:pos="760" w:val="left"/>
        </w:tabs>
        <w:numPr>
          <w:ilvl w:val="0"/>
          <w:numId w:val="6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Board declares a regular dividend on the Series A Strike Preferred that is less than the total amount of unpaid regular dividends on the outstanding Series A Strike Preferred that would accumulate to, but excluding, the regular dividend payment date following such declaration,</w:t>
      </w:r>
    </w:p>
    <w:p>
      <w:pPr>
        <w:spacing w:after="0" w:line="207" w:lineRule="exact"/>
        <w:rPr>
          <w:sz w:val="20"/>
          <w:szCs w:val="20"/>
          <w:color w:val="auto"/>
        </w:rPr>
      </w:pPr>
    </w:p>
    <w:p>
      <w:pPr>
        <w:ind w:right="200"/>
        <w:spacing w:after="0" w:line="254" w:lineRule="auto"/>
        <w:rPr>
          <w:sz w:val="20"/>
          <w:szCs w:val="20"/>
          <w:color w:val="auto"/>
        </w:rPr>
      </w:pPr>
      <w:r>
        <w:rPr>
          <w:rFonts w:ascii="Times New Roman" w:cs="Times New Roman" w:eastAsia="Times New Roman" w:hAnsi="Times New Roman"/>
          <w:sz w:val="18"/>
          <w:szCs w:val="18"/>
          <w:color w:val="auto"/>
        </w:rPr>
        <w:t>then, until and unless all accumulated and unpaid regular dividends on the outstanding Series A Strike Preferred have been paid, no dividends may be declared or paid on any class or series of dividend parity stock unless regular dividends are simultaneously declared on the Series A Strike Preferred on a pro rata basis, such that (i) the ratio of (x) the dollar amount of regular dividends so declared per share of Series A Strike Preferred to (y) the dollar amount of the total accumulated and unpaid regular dividends per share of Series A Strike Preferred immediately before the payment of such regular dividend is no less than (ii) the ratio of (x) the dollar amount of dividends so declared or paid per share of such class or series of dividend parity stock to</w:t>
      </w:r>
    </w:p>
    <w:p>
      <w:pPr>
        <w:spacing w:after="0" w:line="3" w:lineRule="exact"/>
        <w:rPr>
          <w:sz w:val="20"/>
          <w:szCs w:val="20"/>
          <w:color w:val="auto"/>
        </w:rPr>
      </w:pPr>
    </w:p>
    <w:p>
      <w:pPr>
        <w:ind w:right="220" w:firstLine="8"/>
        <w:spacing w:after="0" w:line="255" w:lineRule="auto"/>
        <w:tabs>
          <w:tab w:leader="none" w:pos="255" w:val="left"/>
        </w:tabs>
        <w:numPr>
          <w:ilvl w:val="0"/>
          <w:numId w:val="6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dollar amount of the total accumulated and unpaid dividends per share of such class or series of dividend parity stock immediately before the payment of such dividend (which dollar amount in this clause (y) will, if dividends on such class or series of dividend parity stock are not cumulative, be the full amount of dividends per share thereof in respect of the most recent dividend period thereof).</w:t>
      </w:r>
    </w:p>
    <w:p>
      <w:pPr>
        <w:spacing w:after="0" w:line="184"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Limitation on Certain Payments</w:t>
      </w:r>
    </w:p>
    <w:p>
      <w:pPr>
        <w:spacing w:after="0" w:line="133" w:lineRule="exact"/>
        <w:rPr>
          <w:sz w:val="20"/>
          <w:szCs w:val="20"/>
          <w:color w:val="auto"/>
        </w:rPr>
      </w:pPr>
    </w:p>
    <w:p>
      <w:pPr>
        <w:ind w:right="180"/>
        <w:spacing w:after="0" w:line="256" w:lineRule="auto"/>
        <w:rPr>
          <w:sz w:val="20"/>
          <w:szCs w:val="20"/>
          <w:color w:val="auto"/>
        </w:rPr>
      </w:pPr>
      <w:r>
        <w:rPr>
          <w:rFonts w:ascii="Times New Roman" w:cs="Times New Roman" w:eastAsia="Times New Roman" w:hAnsi="Times New Roman"/>
          <w:sz w:val="18"/>
          <w:szCs w:val="18"/>
          <w:color w:val="auto"/>
        </w:rPr>
        <w:t>If any Series A Strike Preferred is outstanding, then no dividends or distributions (whether in cash, securities or other property, or any combination of the foregoing) will be declared or paid on any of the Company’s “junior stock” (as defined below under the caption “—Definitions”), and neither the Company nor any of the Company’s subsidiaries will purchase, redeem or otherwise acquire for value (whether in cash, securities or other property, or any combination of the foregoing) any of the Company’s junior stock or dividend parity stock, in each case unless all accumulated regular dividends, if any, on the Series A Strike Preferred then outstanding for all prior completed regular dividend periods, if any, have been paid in full. However, the restrictions described in the preceding sentence will not apply to the following:</w:t>
      </w:r>
    </w:p>
    <w:p>
      <w:pPr>
        <w:spacing w:after="0" w:line="93" w:lineRule="exact"/>
        <w:rPr>
          <w:sz w:val="20"/>
          <w:szCs w:val="20"/>
          <w:color w:val="auto"/>
        </w:rPr>
      </w:pPr>
    </w:p>
    <w:p>
      <w:pPr>
        <w:ind w:left="760" w:hanging="378"/>
        <w:spacing w:after="0"/>
        <w:tabs>
          <w:tab w:leader="none" w:pos="760" w:val="left"/>
        </w:tabs>
        <w:numPr>
          <w:ilvl w:val="0"/>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dividends and distributions on junior stock that are payable solely in shares of junior stock, together with cash in lieu of any fractional share;</w:t>
      </w:r>
    </w:p>
    <w:p>
      <w:pPr>
        <w:spacing w:after="0" w:line="2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purchase of any junior stock or dividend parity stock solely with the proceeds of a substantially simultaneous sale of other junior stock;</w:t>
      </w:r>
    </w:p>
    <w:p>
      <w:pPr>
        <w:spacing w:after="0" w:line="9" w:lineRule="exact"/>
        <w:rPr>
          <w:rFonts w:ascii="Times New Roman" w:cs="Times New Roman" w:eastAsia="Times New Roman" w:hAnsi="Times New Roman"/>
          <w:sz w:val="18"/>
          <w:szCs w:val="18"/>
          <w:color w:val="auto"/>
        </w:rPr>
      </w:pPr>
    </w:p>
    <w:p>
      <w:pPr>
        <w:ind w:left="760" w:right="180" w:hanging="378"/>
        <w:spacing w:after="0" w:line="251" w:lineRule="auto"/>
        <w:tabs>
          <w:tab w:leader="none" w:pos="760" w:val="left"/>
        </w:tabs>
        <w:numPr>
          <w:ilvl w:val="0"/>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purchases, redemptions or other acquisitions of junior stock in connection with the administration of any benefit or other incentive plan of the Company’s (including any employment contract) in the ordinary course of business, including (x) the forfeiture of unvested shares of restricted stock, or any withholdings (including withholdings effected by a repurchase or similar transaction), or other surrender, of shares that would otherwise be deliverable upon exercise, delivery or vesting of equity awards under any such plan or contract, in each case whether for payment of applicable taxes or the exercise price, or otherwise; (y) cash paid in connection therewith in lieu of issuing any fractional share; and (z) purchases of junior stock pursuant to a publicly announced repurchase plan to offset the dilution resulting from issuances pursuant to any such plan or contract; provided, however, that repurchases pursuant to this clause (z) will be permitted pursuant to the exception described in this bullet point only to the extent that the number of shares of junior stock so repurchased does not exceed the related “number of incremental diluted shares”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987425</wp:posOffset>
            </wp:positionV>
            <wp:extent cx="7157720" cy="42545"/>
            <wp:wrapNone/>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68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32" w:name="page133"/>
    <w:bookmarkEnd w:id="132"/>
    <w:p>
      <w:pPr>
        <w:ind w:left="760"/>
        <w:spacing w:after="0"/>
        <w:rPr>
          <w:sz w:val="20"/>
          <w:szCs w:val="20"/>
          <w:color w:val="auto"/>
        </w:rPr>
      </w:pPr>
      <w:r>
        <w:rPr>
          <w:rFonts w:ascii="Times New Roman" w:cs="Times New Roman" w:eastAsia="Times New Roman" w:hAnsi="Times New Roman"/>
          <w:sz w:val="18"/>
          <w:szCs w:val="18"/>
          <w:color w:val="auto"/>
        </w:rPr>
        <w:t>(as defined below under the caption “—Definitions”);</w:t>
      </w:r>
    </w:p>
    <w:p>
      <w:pPr>
        <w:spacing w:after="0" w:line="27" w:lineRule="exact"/>
        <w:rPr>
          <w:sz w:val="20"/>
          <w:szCs w:val="20"/>
          <w:color w:val="auto"/>
        </w:rPr>
      </w:pPr>
    </w:p>
    <w:p>
      <w:pPr>
        <w:ind w:left="760" w:right="520" w:hanging="378"/>
        <w:spacing w:after="0" w:line="250" w:lineRule="auto"/>
        <w:tabs>
          <w:tab w:leader="none" w:pos="760"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purchases, or other payments in lieu of the issuance, of any fractional share of junior stock in connection with the conversion, exercise or exchange of such junior stock or of any securities convertible into, or exercisable or exchangeable for, junior stock;</w:t>
      </w:r>
    </w:p>
    <w:p>
      <w:pPr>
        <w:ind w:left="760" w:right="40" w:hanging="378"/>
        <w:spacing w:after="0" w:line="265" w:lineRule="auto"/>
        <w:tabs>
          <w:tab w:leader="none" w:pos="760" w:val="left"/>
        </w:tabs>
        <w:numPr>
          <w:ilvl w:val="0"/>
          <w:numId w:val="6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purchases, or other payments in lieu of the issuance, of any fractional share of dividend parity stock in connection with the conversion, exercise or exchange of such dividend parity stock or of any securities convertible into, or exercisable or exchangeable for, dividend parity stock;</w:t>
      </w:r>
    </w:p>
    <w:p>
      <w:pPr>
        <w:ind w:left="760" w:right="80" w:hanging="378"/>
        <w:spacing w:after="0" w:line="250" w:lineRule="auto"/>
        <w:tabs>
          <w:tab w:leader="none" w:pos="760"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(x) dividends and distributions of junior stock, or rights to acquire junior stock, pursuant to a stockholder rights plan; and (y) the redemption or repurchase of such rights pursuant to such stockholder rights plan;</w:t>
      </w:r>
    </w:p>
    <w:p>
      <w:pPr>
        <w:ind w:left="760" w:hanging="378"/>
        <w:spacing w:after="0" w:line="250" w:lineRule="auto"/>
        <w:tabs>
          <w:tab w:leader="none" w:pos="760"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purchases of junior stock or dividend parity stock pursuant to a binding contract (including a stock repurchase plan) to make such purchases, if such contract was in effect on the immediately preceding regular dividend payment date and such purchases, if effected immediately before such regular dividend payment date, would not have been prohibited by the provision described in the first sentence under this “—Limitation on Certain Payments” section;</w:t>
      </w:r>
    </w:p>
    <w:p>
      <w:pPr>
        <w:spacing w:after="0" w:line="1" w:lineRule="exact"/>
        <w:rPr>
          <w:rFonts w:ascii="Times New Roman" w:cs="Times New Roman" w:eastAsia="Times New Roman" w:hAnsi="Times New Roman"/>
          <w:sz w:val="18"/>
          <w:szCs w:val="18"/>
          <w:color w:val="auto"/>
        </w:rPr>
      </w:pPr>
    </w:p>
    <w:p>
      <w:pPr>
        <w:ind w:left="760" w:right="40" w:hanging="378"/>
        <w:spacing w:after="0" w:line="250" w:lineRule="auto"/>
        <w:tabs>
          <w:tab w:leader="none" w:pos="760"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settlement of any convertible note hedge transactions, capped call transactions or similar transactions entered into in connection with the issuance, by the Company or any of its subsidiaries, of any debt securities that are convertible into, or exchangeable for, the Company’s common stock (or into or for any combination of cash and the Company’s common stock based on the value of the Company’s common stock), provided such transactions are on customary terms and were entered into either (x) before the initial issue date or (y) in compliance with the provision described in the first sentence under this “—Limitation on Certain Payments” section;</w:t>
      </w:r>
    </w:p>
    <w:p>
      <w:pPr>
        <w:spacing w:after="0" w:line="1" w:lineRule="exact"/>
        <w:rPr>
          <w:rFonts w:ascii="Times New Roman" w:cs="Times New Roman" w:eastAsia="Times New Roman" w:hAnsi="Times New Roman"/>
          <w:sz w:val="18"/>
          <w:szCs w:val="18"/>
          <w:color w:val="auto"/>
        </w:rPr>
      </w:pPr>
    </w:p>
    <w:p>
      <w:pPr>
        <w:ind w:left="760" w:right="160" w:hanging="378"/>
        <w:spacing w:after="0" w:line="250" w:lineRule="auto"/>
        <w:tabs>
          <w:tab w:leader="none" w:pos="760"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acquisition, by the Company or any of its subsidiaries, of record ownership of any junior stock or dividend parity stock solely on behalf of persons (other than the Company or any of its subsidiaries) that are the beneficial owners thereof, including as trustee or custodian (or as a result of the Company’s acquisition of another person that was, immediately before such acquisition, the record or beneficial owner of such junior stock or dividend parity stock, as applicable, provided such record or beneficial ownership was not obtained in anticipation of such acquisition);</w:t>
      </w:r>
    </w:p>
    <w:p>
      <w:pPr>
        <w:spacing w:after="0" w:line="1" w:lineRule="exact"/>
        <w:rPr>
          <w:rFonts w:ascii="Times New Roman" w:cs="Times New Roman" w:eastAsia="Times New Roman" w:hAnsi="Times New Roman"/>
          <w:sz w:val="18"/>
          <w:szCs w:val="18"/>
          <w:color w:val="auto"/>
        </w:rPr>
      </w:pPr>
    </w:p>
    <w:p>
      <w:pPr>
        <w:ind w:left="760" w:right="100" w:hanging="378"/>
        <w:spacing w:after="0" w:line="250" w:lineRule="auto"/>
        <w:tabs>
          <w:tab w:leader="none" w:pos="760"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exchange, conversion or reclassification of dividend parity stock solely for or into junior stock or other dividend parity stock, together with the payment, in connection therewith, of cash in lieu of any fractional share; and</w:t>
      </w:r>
    </w:p>
    <w:p>
      <w:pPr>
        <w:ind w:left="760" w:right="540" w:hanging="378"/>
        <w:spacing w:after="0" w:line="260" w:lineRule="auto"/>
        <w:tabs>
          <w:tab w:leader="none" w:pos="760"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exchange, conversion or reclassification of junior stock solely for or into other junior stock, together with the payment, in connection therewith, of cash in lieu of any fractional share.</w:t>
      </w:r>
    </w:p>
    <w:p>
      <w:pPr>
        <w:spacing w:after="0" w:line="249" w:lineRule="exact"/>
        <w:rPr>
          <w:sz w:val="20"/>
          <w:szCs w:val="20"/>
          <w:color w:val="auto"/>
        </w:rPr>
      </w:pPr>
    </w:p>
    <w:p>
      <w:pPr>
        <w:ind w:right="120"/>
        <w:spacing w:after="0" w:line="282" w:lineRule="auto"/>
        <w:rPr>
          <w:sz w:val="20"/>
          <w:szCs w:val="20"/>
          <w:color w:val="auto"/>
        </w:rPr>
      </w:pPr>
      <w:r>
        <w:rPr>
          <w:rFonts w:ascii="Times New Roman" w:cs="Times New Roman" w:eastAsia="Times New Roman" w:hAnsi="Times New Roman"/>
          <w:sz w:val="18"/>
          <w:szCs w:val="18"/>
          <w:color w:val="auto"/>
        </w:rPr>
        <w:t>For the avoidance of doubt, the provisions described in this “—Limitation on Certain Payments” section will not prohibit or restrict the payment or other acquisition for value of any debt securities that are convertible into, or exchangeable for, any capital stock.</w:t>
      </w:r>
    </w:p>
    <w:p>
      <w:pPr>
        <w:spacing w:after="0" w:line="162" w:lineRule="exact"/>
        <w:rPr>
          <w:sz w:val="20"/>
          <w:szCs w:val="20"/>
          <w:color w:val="auto"/>
        </w:rPr>
      </w:pPr>
    </w:p>
    <w:p>
      <w:pPr>
        <w:ind w:right="20"/>
        <w:spacing w:after="0" w:line="266" w:lineRule="auto"/>
        <w:rPr>
          <w:sz w:val="20"/>
          <w:szCs w:val="20"/>
          <w:color w:val="auto"/>
        </w:rPr>
      </w:pPr>
      <w:r>
        <w:rPr>
          <w:rFonts w:ascii="Times New Roman" w:cs="Times New Roman" w:eastAsia="Times New Roman" w:hAnsi="Times New Roman"/>
          <w:sz w:val="18"/>
          <w:szCs w:val="18"/>
          <w:color w:val="auto"/>
        </w:rPr>
        <w:t>Any dividend senior stock that the Company may issue in the future could contain provisions similar to the one described in this “—Limitation on Certain Payments” section, which could prohibit the Company from paying accumulated dividends on the of Series A Strike Preferred or purchasing, redeeming or acquiring the of Series A Strike Preferred until and unless the Company first pays accumulated dividends in full on such dividend senior stock.</w:t>
      </w:r>
    </w:p>
    <w:p>
      <w:pPr>
        <w:spacing w:after="0" w:line="172"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Rights Upon the Company’s Liquidation, Dissolution or Winding Up</w:t>
      </w:r>
    </w:p>
    <w:p>
      <w:pPr>
        <w:spacing w:after="0" w:line="148" w:lineRule="exact"/>
        <w:rPr>
          <w:sz w:val="20"/>
          <w:szCs w:val="20"/>
          <w:color w:val="auto"/>
        </w:rPr>
      </w:pPr>
    </w:p>
    <w:p>
      <w:pPr>
        <w:ind w:right="160"/>
        <w:spacing w:after="0" w:line="261" w:lineRule="auto"/>
        <w:rPr>
          <w:sz w:val="20"/>
          <w:szCs w:val="20"/>
          <w:color w:val="auto"/>
        </w:rPr>
      </w:pPr>
      <w:r>
        <w:rPr>
          <w:rFonts w:ascii="Times New Roman" w:cs="Times New Roman" w:eastAsia="Times New Roman" w:hAnsi="Times New Roman"/>
          <w:sz w:val="18"/>
          <w:szCs w:val="18"/>
          <w:color w:val="auto"/>
        </w:rPr>
        <w:t>If the Company liquidates, dissolves or winds up, whether voluntarily or involuntarily, then, subject to the rights of any of the Company’s creditors or holders of any outstanding liquidation senior stock, each share of Series A Strike Preferred will entitle the holder thereof to receive payment for the following amount out of the Company’s assets or funds legally available for distribution to the Company’s stockholders, before any such assets or funds are distributed to, or set aside for the benefit of, any liquidation junior stock:</w:t>
      </w:r>
    </w:p>
    <w:p>
      <w:pPr>
        <w:spacing w:after="0" w:line="112" w:lineRule="exact"/>
        <w:rPr>
          <w:sz w:val="20"/>
          <w:szCs w:val="20"/>
          <w:color w:val="auto"/>
        </w:rPr>
      </w:pPr>
    </w:p>
    <w:p>
      <w:pPr>
        <w:ind w:left="740" w:hanging="358"/>
        <w:spacing w:after="0"/>
        <w:tabs>
          <w:tab w:leader="none" w:pos="740" w:val="left"/>
        </w:tabs>
        <w:numPr>
          <w:ilvl w:val="0"/>
          <w:numId w:val="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liquidation preference per share of Series A Strike Preferred; and</w:t>
      </w:r>
    </w:p>
    <w:p>
      <w:pPr>
        <w:spacing w:after="0" w:line="144" w:lineRule="exact"/>
        <w:rPr>
          <w:rFonts w:ascii="Times New Roman" w:cs="Times New Roman" w:eastAsia="Times New Roman" w:hAnsi="Times New Roman"/>
          <w:sz w:val="18"/>
          <w:szCs w:val="18"/>
          <w:color w:val="auto"/>
        </w:rPr>
      </w:pPr>
    </w:p>
    <w:p>
      <w:pPr>
        <w:ind w:left="740" w:hanging="358"/>
        <w:spacing w:after="0"/>
        <w:tabs>
          <w:tab w:leader="none" w:pos="740" w:val="left"/>
        </w:tabs>
        <w:numPr>
          <w:ilvl w:val="0"/>
          <w:numId w:val="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 unpaid regular dividends, if any, that will have accumulated on such share to, but excluding, the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1007745</wp:posOffset>
            </wp:positionV>
            <wp:extent cx="7157720" cy="42545"/>
            <wp:wrapNone/>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68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40"/>
          </w:cols>
          <w:pgMar w:left="320" w:top="1404" w:right="439" w:bottom="1440" w:gutter="0" w:footer="0" w:header="0"/>
        </w:sectPr>
      </w:pPr>
    </w:p>
    <w:bookmarkStart w:id="133" w:name="page134"/>
    <w:bookmarkEnd w:id="133"/>
    <w:p>
      <w:pPr>
        <w:ind w:left="740"/>
        <w:spacing w:after="0"/>
        <w:rPr>
          <w:sz w:val="20"/>
          <w:szCs w:val="20"/>
          <w:color w:val="auto"/>
        </w:rPr>
      </w:pPr>
      <w:r>
        <w:rPr>
          <w:rFonts w:ascii="Times New Roman" w:cs="Times New Roman" w:eastAsia="Times New Roman" w:hAnsi="Times New Roman"/>
          <w:sz w:val="18"/>
          <w:szCs w:val="18"/>
          <w:color w:val="auto"/>
        </w:rPr>
        <w:t>date of such payment.</w:t>
      </w: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Upon payment of such amount in full on the outstanding Series A Strike Preferred, holders of the Series A Strike Preferred will have no rights to the Company’s remaining assets or funds, if any. If such assets or funds are insufficient to fully pay such amount on all outstanding shares of Series A Strike Preferred and the corresponding amounts payable in respect of all outstanding shares of liquidation parity stock, if any, then, subject to the rights of any of the Company’s creditors or holders of any outstanding liquidation senior stock, such assets or funds will be distributed ratably on the outstanding shares of Series A Strike Preferred and liquidation parity stock in proportion to the full respective distributions to which such shares would otherwise be entitled.</w:t>
      </w:r>
    </w:p>
    <w:p>
      <w:pPr>
        <w:spacing w:after="0" w:line="251" w:lineRule="exact"/>
        <w:rPr>
          <w:sz w:val="20"/>
          <w:szCs w:val="20"/>
          <w:color w:val="auto"/>
        </w:rPr>
      </w:pPr>
    </w:p>
    <w:p>
      <w:pPr>
        <w:ind w:right="120"/>
        <w:spacing w:after="0" w:line="258" w:lineRule="auto"/>
        <w:rPr>
          <w:sz w:val="20"/>
          <w:szCs w:val="20"/>
          <w:color w:val="auto"/>
        </w:rPr>
      </w:pPr>
      <w:r>
        <w:rPr>
          <w:rFonts w:ascii="Times New Roman" w:cs="Times New Roman" w:eastAsia="Times New Roman" w:hAnsi="Times New Roman"/>
          <w:sz w:val="18"/>
          <w:szCs w:val="18"/>
          <w:color w:val="auto"/>
        </w:rPr>
        <w:t>For purposes of the provisions described above in this “—Rights Upon the Company’s Liquidation, Dissolution or Winding Up” section, the Company’s consolidation or combination with, or merger with or into, or the sale, lease or other transfer of all or substantially all of its assets (other than a sale, lease or other transfer in connection with its liquidation, dissolution or winding up) to, another person will not, in itself, constitute the Company’s liquidation, dissolution or winding up, even if, in connection therewith, the Series A Strike Preferred is converted into, or is exchanged for, or represents solely the right to receive, other securities, cash or other property, or any combination of the foregoing.</w:t>
      </w:r>
    </w:p>
    <w:p>
      <w:pPr>
        <w:spacing w:after="0" w:line="251" w:lineRule="exact"/>
        <w:rPr>
          <w:sz w:val="20"/>
          <w:szCs w:val="20"/>
          <w:color w:val="auto"/>
        </w:rPr>
      </w:pPr>
    </w:p>
    <w:p>
      <w:pPr>
        <w:jc w:val="both"/>
        <w:ind w:right="200"/>
        <w:spacing w:after="0" w:line="266" w:lineRule="auto"/>
        <w:rPr>
          <w:sz w:val="20"/>
          <w:szCs w:val="20"/>
          <w:color w:val="auto"/>
        </w:rPr>
      </w:pPr>
      <w:r>
        <w:rPr>
          <w:rFonts w:ascii="Times New Roman" w:cs="Times New Roman" w:eastAsia="Times New Roman" w:hAnsi="Times New Roman"/>
          <w:sz w:val="18"/>
          <w:szCs w:val="18"/>
          <w:color w:val="auto"/>
        </w:rPr>
        <w:t>The Certificate of Designations does not contain any provision requiring funds to be set aside to protect the liquidation preference of the Series A Strike Preferred, even though it is substantially in excess of the par value thereof. As such, the Company may have no assets or funds available for payment on the Series A Strike Preferred upon its liquidation, dissolution or winding up.</w:t>
      </w:r>
    </w:p>
    <w:p>
      <w:pPr>
        <w:spacing w:after="0" w:line="158"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Voting Rights</w:t>
      </w:r>
    </w:p>
    <w:p>
      <w:pPr>
        <w:spacing w:after="0" w:line="1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Series A Strike Preferred has no voting rights except as described below or as provided in the Certificate or required by the DGCL.</w:t>
      </w:r>
    </w:p>
    <w:p>
      <w:pPr>
        <w:spacing w:after="0" w:line="208"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Right to Designate up to Two Preferred Stock Directors Upon Regular Dividend Non-Payment Events</w:t>
      </w:r>
    </w:p>
    <w:p>
      <w:pPr>
        <w:spacing w:after="0" w:line="160"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Generally</w:t>
      </w:r>
    </w:p>
    <w:p>
      <w:pPr>
        <w:spacing w:after="0" w:line="146" w:lineRule="exact"/>
        <w:rPr>
          <w:sz w:val="20"/>
          <w:szCs w:val="20"/>
          <w:color w:val="auto"/>
        </w:rPr>
      </w:pPr>
    </w:p>
    <w:p>
      <w:pPr>
        <w:ind w:right="20"/>
        <w:spacing w:after="0" w:line="252" w:lineRule="auto"/>
        <w:rPr>
          <w:sz w:val="20"/>
          <w:szCs w:val="20"/>
          <w:color w:val="auto"/>
        </w:rPr>
      </w:pPr>
      <w:r>
        <w:rPr>
          <w:rFonts w:ascii="Times New Roman" w:cs="Times New Roman" w:eastAsia="Times New Roman" w:hAnsi="Times New Roman"/>
          <w:sz w:val="18"/>
          <w:szCs w:val="18"/>
          <w:color w:val="auto"/>
        </w:rPr>
        <w:t>If a “regular dividend non-payment event” (as defined below under the caption “—Definitions”) occurs, then, subject to the other provisions described below, the authorized number of the Company’s directors will automatically increase by one (or the Company will vacate the offices of one director) and the preferred stockholders, voting together as a single class with the holders of each class or series of voting parity stock, if any, with similar voting rights regarding the election of directors upon a failure to pay dividends, which similar voting rights are then exercisable, will have the right to elect one director to fill such directorship at the Company’s next annual meeting of stockholders (or, if earlier, at a special meeting of the Company’s stockholders called for such purpose) and at each following annual meeting of the Company’s stockholders until such regular dividend non-payment event has been cured, at which time such right will terminate with respect to the Series A Strike Preferred until and unless a subsequent regular dividend non-payment event occurs. However, as a condition to the election of any such director, whom is referred to herein as a “preferred stock director,” such election must not cause the Company to violate any rule of any securities exchange or other trading facility on which any of the Company’s securities are then listed or qualified for trading requiring that a majority of the Company’s directors be independent. This condition is referred to herein as the “director qualification requirement.” In addition, notwithstanding anything to the contrary, the Board will at no time include more than two preferred stock directors, regardless of how many classes of voting parity stock (which term, solely for purposes of this sentence, includes the Series A Strike Preferred) have rights that are then exercisable to elect any number of preferred stock directors. Upon the termination of such right with respect to the Series A Strike Preferred and all other outstanding voting parity stock, if any, the term of office of any person then serving as a preferred stock director will immediately and automatically terminate (and, if the authorized number of the Company’s directors was increased by one or two, as applicable, in connection with such regular dividend non-payment event(s), then the authorized number of the Company’s directors will automatically decrease by one or two, as applicable).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1134110</wp:posOffset>
            </wp:positionV>
            <wp:extent cx="7157720" cy="42545"/>
            <wp:wrapNone/>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68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04" w:right="419" w:bottom="1440" w:gutter="0" w:footer="0" w:header="0"/>
        </w:sectPr>
      </w:pPr>
    </w:p>
    <w:bookmarkStart w:id="134" w:name="page135"/>
    <w:bookmarkEnd w:id="134"/>
    <w:p>
      <w:pPr>
        <w:ind w:right="300"/>
        <w:spacing w:after="0" w:line="282" w:lineRule="auto"/>
        <w:rPr>
          <w:sz w:val="20"/>
          <w:szCs w:val="20"/>
          <w:color w:val="auto"/>
        </w:rPr>
      </w:pPr>
      <w:r>
        <w:rPr>
          <w:rFonts w:ascii="Times New Roman" w:cs="Times New Roman" w:eastAsia="Times New Roman" w:hAnsi="Times New Roman"/>
          <w:sz w:val="18"/>
          <w:szCs w:val="18"/>
          <w:color w:val="auto"/>
        </w:rPr>
        <w:t>A preferred stock director will hold office until the Company’s next annual meeting of stockholders or, if earlier, upon his or her death, resignation or removal or the termination of the term of such office as described above. However, if:</w:t>
      </w:r>
    </w:p>
    <w:p>
      <w:pPr>
        <w:spacing w:after="0" w:line="67" w:lineRule="exact"/>
        <w:rPr>
          <w:sz w:val="20"/>
          <w:szCs w:val="20"/>
          <w:color w:val="auto"/>
        </w:rPr>
      </w:pPr>
    </w:p>
    <w:p>
      <w:pPr>
        <w:ind w:left="740" w:right="840" w:hanging="358"/>
        <w:spacing w:after="0" w:line="282" w:lineRule="auto"/>
        <w:tabs>
          <w:tab w:leader="none" w:pos="740" w:val="left"/>
        </w:tabs>
        <w:numPr>
          <w:ilvl w:val="0"/>
          <w:numId w:val="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class or series of voting parity stock with similar voting rights regarding the election of directors upon a failure to pay dividends is outstanding;</w:t>
      </w:r>
    </w:p>
    <w:p>
      <w:pPr>
        <w:spacing w:after="0" w:line="67" w:lineRule="exact"/>
        <w:rPr>
          <w:rFonts w:ascii="Times New Roman" w:cs="Times New Roman" w:eastAsia="Times New Roman" w:hAnsi="Times New Roman"/>
          <w:sz w:val="18"/>
          <w:szCs w:val="18"/>
          <w:color w:val="auto"/>
        </w:rPr>
      </w:pPr>
    </w:p>
    <w:p>
      <w:pPr>
        <w:ind w:left="740" w:right="480" w:hanging="358"/>
        <w:spacing w:after="0" w:line="282" w:lineRule="auto"/>
        <w:tabs>
          <w:tab w:leader="none" w:pos="740" w:val="left"/>
        </w:tabs>
        <w:numPr>
          <w:ilvl w:val="0"/>
          <w:numId w:val="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voting rights become exercisable at a time when a preferred stock director holds office with respect to the Series A Strike Preferred; and</w:t>
      </w:r>
    </w:p>
    <w:p>
      <w:pPr>
        <w:spacing w:after="0" w:line="80" w:lineRule="exact"/>
        <w:rPr>
          <w:rFonts w:ascii="Times New Roman" w:cs="Times New Roman" w:eastAsia="Times New Roman" w:hAnsi="Times New Roman"/>
          <w:sz w:val="18"/>
          <w:szCs w:val="18"/>
          <w:color w:val="auto"/>
        </w:rPr>
      </w:pPr>
    </w:p>
    <w:p>
      <w:pPr>
        <w:ind w:left="740" w:hanging="358"/>
        <w:spacing w:after="0"/>
        <w:tabs>
          <w:tab w:leader="none" w:pos="740" w:val="left"/>
        </w:tabs>
        <w:numPr>
          <w:ilvl w:val="0"/>
          <w:numId w:val="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special meeting of the Company’s stockholders is called for the purpose of electing a director pursuant to such voting rights,</w:t>
      </w:r>
    </w:p>
    <w:p>
      <w:pPr>
        <w:spacing w:after="0" w:line="252" w:lineRule="exact"/>
        <w:rPr>
          <w:sz w:val="20"/>
          <w:szCs w:val="20"/>
          <w:color w:val="auto"/>
        </w:rPr>
      </w:pPr>
    </w:p>
    <w:p>
      <w:pPr>
        <w:ind w:right="100"/>
        <w:spacing w:after="0" w:line="266" w:lineRule="auto"/>
        <w:rPr>
          <w:sz w:val="20"/>
          <w:szCs w:val="20"/>
          <w:color w:val="auto"/>
        </w:rPr>
      </w:pPr>
      <w:r>
        <w:rPr>
          <w:rFonts w:ascii="Times New Roman" w:cs="Times New Roman" w:eastAsia="Times New Roman" w:hAnsi="Times New Roman"/>
          <w:sz w:val="18"/>
          <w:szCs w:val="18"/>
          <w:color w:val="auto"/>
        </w:rPr>
        <w:t>then (x) holders of the Series A Strike Preferred will be entitled to vote, as a single class with the holders of such class or series of voting parity stock, at such special meeting in respect of such election of such new director(s); and (y) the office of any such preferred stock director of the Series A Strike Preferred will terminate upon the election, at such special meeting, of the new director(s).</w:t>
      </w:r>
    </w:p>
    <w:p>
      <w:pPr>
        <w:spacing w:after="0" w:line="21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the avoidance of doubt, the compensation, if any, payable to any preferred stock director will be at the Company’s sole and absolute discretion.</w:t>
      </w:r>
    </w:p>
    <w:p>
      <w:pPr>
        <w:spacing w:after="0" w:line="156"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Removal and Vacancies of a Preferred Stock Director</w:t>
      </w:r>
    </w:p>
    <w:p>
      <w:pPr>
        <w:spacing w:after="0" w:line="146" w:lineRule="exact"/>
        <w:rPr>
          <w:sz w:val="20"/>
          <w:szCs w:val="20"/>
          <w:color w:val="auto"/>
        </w:rPr>
      </w:pPr>
    </w:p>
    <w:p>
      <w:pPr>
        <w:ind w:right="3060"/>
        <w:spacing w:after="0" w:line="276" w:lineRule="auto"/>
        <w:rPr>
          <w:sz w:val="20"/>
          <w:szCs w:val="20"/>
          <w:color w:val="auto"/>
        </w:rPr>
      </w:pPr>
      <w:r>
        <w:rPr>
          <w:rFonts w:ascii="Times New Roman" w:cs="Times New Roman" w:eastAsia="Times New Roman" w:hAnsi="Times New Roman"/>
          <w:sz w:val="17"/>
          <w:szCs w:val="17"/>
          <w:color w:val="auto"/>
        </w:rPr>
        <w:t>At any time, a preferred stock director may be removed either (i) with cause in accordance with applicable law; or (ii) with or without cause by the affirmative vote of the preferred stockholders, voting together as a single</w:t>
      </w:r>
    </w:p>
    <w:p>
      <w:pPr>
        <w:spacing w:after="0" w:line="1" w:lineRule="exact"/>
        <w:rPr>
          <w:sz w:val="20"/>
          <w:szCs w:val="20"/>
          <w:color w:val="auto"/>
        </w:rPr>
      </w:pPr>
    </w:p>
    <w:p>
      <w:pPr>
        <w:ind w:right="180"/>
        <w:spacing w:after="0" w:line="258" w:lineRule="auto"/>
        <w:rPr>
          <w:sz w:val="20"/>
          <w:szCs w:val="20"/>
          <w:color w:val="auto"/>
        </w:rPr>
      </w:pPr>
      <w:r>
        <w:rPr>
          <w:rFonts w:ascii="Times New Roman" w:cs="Times New Roman" w:eastAsia="Times New Roman" w:hAnsi="Times New Roman"/>
          <w:sz w:val="18"/>
          <w:szCs w:val="18"/>
          <w:color w:val="auto"/>
        </w:rPr>
        <w:t>class with the holders of each class or series of voting parity stock, if any, with similar voting rights regarding the election of directors upon a failure to pay dividends, which similar voting rights are then exercisable,</w:t>
      </w:r>
    </w:p>
    <w:p>
      <w:pPr>
        <w:spacing w:after="0"/>
        <w:rPr>
          <w:sz w:val="20"/>
          <w:szCs w:val="20"/>
          <w:color w:val="auto"/>
        </w:rPr>
      </w:pPr>
      <w:r>
        <w:rPr>
          <w:rFonts w:ascii="Times New Roman" w:cs="Times New Roman" w:eastAsia="Times New Roman" w:hAnsi="Times New Roman"/>
          <w:sz w:val="18"/>
          <w:szCs w:val="18"/>
          <w:color w:val="auto"/>
        </w:rPr>
        <w:t>representing a majority of the combined voting power of the Series A Strike Preferred and such voting parity stock.</w:t>
      </w:r>
    </w:p>
    <w:p>
      <w:pPr>
        <w:spacing w:after="0" w:line="247"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During the continuance of a regular dividend non-payment event, a vacancy in the office of a preferred stock director (other than a vacancy before the initial election of the preferred stock director in connection with such regular dividend non-payment event) may be filled, subject to the director qualification requirement, by the affirmative vote of the preferred stockholders, voting together as a single class with the holders of each class or series of voting parity stock, if any, with similar voting rights regarding the election of directors upon a failure to pay dividends, which similar voting rights are then exercisable, representing a majority of the combined voting power of the Series A Strike Preferred and such voting parity stock.</w:t>
      </w:r>
    </w:p>
    <w:p>
      <w:pPr>
        <w:spacing w:after="0" w:line="114"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The Right to Call a Special Meeting to Elect a Preferred Stock Director</w:t>
      </w:r>
    </w:p>
    <w:p>
      <w:pPr>
        <w:spacing w:after="0" w:line="146" w:lineRule="exact"/>
        <w:rPr>
          <w:sz w:val="20"/>
          <w:szCs w:val="20"/>
          <w:color w:val="auto"/>
        </w:rPr>
      </w:pPr>
    </w:p>
    <w:p>
      <w:pPr>
        <w:ind w:right="100"/>
        <w:spacing w:after="0" w:line="254" w:lineRule="auto"/>
        <w:rPr>
          <w:sz w:val="20"/>
          <w:szCs w:val="20"/>
          <w:color w:val="auto"/>
        </w:rPr>
      </w:pPr>
      <w:r>
        <w:rPr>
          <w:rFonts w:ascii="Times New Roman" w:cs="Times New Roman" w:eastAsia="Times New Roman" w:hAnsi="Times New Roman"/>
          <w:sz w:val="18"/>
          <w:szCs w:val="18"/>
          <w:color w:val="auto"/>
        </w:rPr>
        <w:t>During the continuance of a regular dividend non-payment event, the preferred stockholders, and holders of each class or series of voting parity stock, if any, with similar voting rights regarding the election of directors upon a failure to pay dividends, which similar voting rights are then exercisable, representing at least 25% of the combined voting power of the Series A Strike Preferred and such voting parity stock will have the right to call a special meeting of stockholders for the election of a preferred stock director (including an election to fill any vacancy in the office of a preferred stock director). Such right may be exercised by written notice, executed by such preferred stockholders and holders, as applicable, delivered to the Company at its principal executive offices (except that, in the case of any global certificate representing the Series A Strike Preferred or such voting parity stock, such notice must instead comply with the applicable depositary procedures). However, if the Company’s next annual or special meeting of stockholders is scheduled to occur within 90 days after such right is exercised, and the Company is otherwise permitted to conduct such election at such next annual or special meeting, then such election will instead be included in the agenda for, and conducted at, such next annual or special meeting.</w:t>
      </w:r>
    </w:p>
    <w:p>
      <w:pPr>
        <w:spacing w:after="0" w:line="171"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Voting and Consent Rights with Respect to Specified Matters</w:t>
      </w:r>
    </w:p>
    <w:p>
      <w:pPr>
        <w:spacing w:after="0" w:line="162" w:lineRule="exact"/>
        <w:rPr>
          <w:sz w:val="20"/>
          <w:szCs w:val="20"/>
          <w:color w:val="auto"/>
        </w:rPr>
      </w:pPr>
    </w:p>
    <w:p>
      <w:pPr>
        <w:ind w:right="80"/>
        <w:spacing w:after="0" w:line="282" w:lineRule="auto"/>
        <w:rPr>
          <w:sz w:val="20"/>
          <w:szCs w:val="20"/>
          <w:color w:val="auto"/>
        </w:rPr>
      </w:pPr>
      <w:r>
        <w:rPr>
          <w:rFonts w:ascii="Times New Roman" w:cs="Times New Roman" w:eastAsia="Times New Roman" w:hAnsi="Times New Roman"/>
          <w:sz w:val="18"/>
          <w:szCs w:val="18"/>
          <w:color w:val="auto"/>
        </w:rPr>
        <w:t>Subject to the other provisions described below, while any Series A Strike Preferred is outstanding, each of the following events will require, and cannot be effected without, the affirmative vote or consent of preferred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967105</wp:posOffset>
            </wp:positionV>
            <wp:extent cx="7157720" cy="42545"/>
            <wp:wrapNone/>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68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080"/>
          </w:cols>
          <w:pgMar w:left="320" w:top="1404" w:right="499" w:bottom="1440" w:gutter="0" w:footer="0" w:header="0"/>
        </w:sectPr>
      </w:pPr>
    </w:p>
    <w:bookmarkStart w:id="135" w:name="page136"/>
    <w:bookmarkEnd w:id="135"/>
    <w:p>
      <w:pPr>
        <w:spacing w:after="0"/>
        <w:rPr>
          <w:sz w:val="20"/>
          <w:szCs w:val="20"/>
          <w:color w:val="auto"/>
        </w:rPr>
      </w:pPr>
      <w:r>
        <w:rPr>
          <w:rFonts w:ascii="Times New Roman" w:cs="Times New Roman" w:eastAsia="Times New Roman" w:hAnsi="Times New Roman"/>
          <w:sz w:val="17"/>
          <w:szCs w:val="17"/>
          <w:color w:val="auto"/>
        </w:rPr>
        <w:t>stockholders, and holders of each class or series of voting parity stock, if any, with similar voting or consent rights with respect to such event, representing</w:t>
      </w:r>
    </w:p>
    <w:p>
      <w:pPr>
        <w:spacing w:after="0" w:line="3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at least a majority of the combined outstanding voting power of</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Series A Strike Preferred and such voting parity stock, if any:</w:t>
      </w:r>
    </w:p>
    <w:p>
      <w:pPr>
        <w:spacing w:after="0" w:line="139" w:lineRule="exact"/>
        <w:rPr>
          <w:sz w:val="20"/>
          <w:szCs w:val="20"/>
          <w:color w:val="auto"/>
        </w:rPr>
      </w:pPr>
    </w:p>
    <w:p>
      <w:pPr>
        <w:ind w:left="380" w:right="400" w:hanging="372"/>
        <w:spacing w:after="0" w:line="266" w:lineRule="auto"/>
        <w:tabs>
          <w:tab w:leader="none" w:pos="365" w:val="left"/>
        </w:tabs>
        <w:numPr>
          <w:ilvl w:val="0"/>
          <w:numId w:val="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amendment, modification or repeal of any provision of the Certificate or the Certificate of Designations that materially adversely affects the special rights, preferences or voting powers of the Series A Strike Preferred (other than an amendment, modification or repeal permitted by the provisions described below under the caption “—Certain Amendments Permitted Without Consent”); or</w:t>
      </w:r>
    </w:p>
    <w:p>
      <w:pPr>
        <w:spacing w:after="0" w:line="94" w:lineRule="exact"/>
        <w:rPr>
          <w:rFonts w:ascii="Times New Roman" w:cs="Times New Roman" w:eastAsia="Times New Roman" w:hAnsi="Times New Roman"/>
          <w:sz w:val="18"/>
          <w:szCs w:val="18"/>
          <w:color w:val="auto"/>
        </w:rPr>
      </w:pPr>
    </w:p>
    <w:p>
      <w:pPr>
        <w:ind w:left="380" w:right="980" w:hanging="372"/>
        <w:spacing w:after="0" w:line="282" w:lineRule="auto"/>
        <w:tabs>
          <w:tab w:leader="none" w:pos="365" w:val="left"/>
        </w:tabs>
        <w:numPr>
          <w:ilvl w:val="0"/>
          <w:numId w:val="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Company’s consolidation or combination with, or merger with or into, another person, or any binding or statutory share exchange or reclassification involving the Series A Strike Preferred, in each case unless:</w:t>
      </w:r>
    </w:p>
    <w:p>
      <w:pPr>
        <w:spacing w:after="0" w:line="94" w:lineRule="exact"/>
        <w:rPr>
          <w:rFonts w:ascii="Times New Roman" w:cs="Times New Roman" w:eastAsia="Times New Roman" w:hAnsi="Times New Roman"/>
          <w:sz w:val="18"/>
          <w:szCs w:val="18"/>
          <w:color w:val="auto"/>
        </w:rPr>
      </w:pPr>
    </w:p>
    <w:p>
      <w:pPr>
        <w:ind w:left="740" w:right="240" w:hanging="358"/>
        <w:spacing w:after="0" w:line="289" w:lineRule="auto"/>
        <w:tabs>
          <w:tab w:leader="none" w:pos="740" w:val="left"/>
        </w:tabs>
        <w:numPr>
          <w:ilvl w:val="1"/>
          <w:numId w:val="6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Series A Strike Preferred either (i) remains outstanding after such consolidation, combination, merger, share exchange or reclassification; or (ii) is converted or reclassified into, or is exchanged for, or represents solely the right to receive, preference securities of the continuing, resulting or surviving person of such consolidation, combination, merger, share exchange or reclassification, or the parent thereof;</w:t>
      </w:r>
    </w:p>
    <w:p>
      <w:pPr>
        <w:spacing w:after="0" w:line="76" w:lineRule="exact"/>
        <w:rPr>
          <w:rFonts w:ascii="Times New Roman" w:cs="Times New Roman" w:eastAsia="Times New Roman" w:hAnsi="Times New Roman"/>
          <w:sz w:val="17"/>
          <w:szCs w:val="17"/>
          <w:color w:val="auto"/>
        </w:rPr>
      </w:pPr>
    </w:p>
    <w:p>
      <w:pPr>
        <w:ind w:left="740" w:right="100" w:hanging="358"/>
        <w:spacing w:after="0" w:line="261" w:lineRule="auto"/>
        <w:tabs>
          <w:tab w:leader="none" w:pos="740" w:val="left"/>
        </w:tabs>
        <w:numPr>
          <w:ilvl w:val="1"/>
          <w:numId w:val="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Series A Strike Preferred that remains outstanding or such preference securities, as applicable, have rights, preferences and voting powers that, taken as a whole, are not materially less favorable (as determined by the Board in good faith) to the holders thereof than the rights, preferences and voting powers, taken as a whole, of the Series A Strike Preferred immediately before the consummation of such consolidation, combination, merger, share exchange or reclassification; and</w:t>
      </w:r>
    </w:p>
    <w:p>
      <w:pPr>
        <w:spacing w:after="0" w:line="112" w:lineRule="exact"/>
        <w:rPr>
          <w:rFonts w:ascii="Times New Roman" w:cs="Times New Roman" w:eastAsia="Times New Roman" w:hAnsi="Times New Roman"/>
          <w:sz w:val="18"/>
          <w:szCs w:val="18"/>
          <w:color w:val="auto"/>
        </w:rPr>
      </w:pPr>
    </w:p>
    <w:p>
      <w:pPr>
        <w:ind w:left="760" w:right="140" w:hanging="378"/>
        <w:spacing w:after="0" w:line="266" w:lineRule="auto"/>
        <w:tabs>
          <w:tab w:leader="none" w:pos="760" w:val="left"/>
        </w:tabs>
        <w:numPr>
          <w:ilvl w:val="1"/>
          <w:numId w:val="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issuer of the Series A Strike Preferred that remains outstanding or such preference securities, as applicable, is a corporation duly organized and existing under the laws of the United States of America, any State thereof or the District of Columbia that, if not the Company, will succeed to the Company under the Certificate of Designations and the Series A Strike Preferred.</w:t>
      </w:r>
    </w:p>
    <w:p>
      <w:pPr>
        <w:spacing w:after="0" w:line="243" w:lineRule="exact"/>
        <w:rPr>
          <w:sz w:val="20"/>
          <w:szCs w:val="20"/>
          <w:color w:val="auto"/>
        </w:rPr>
      </w:pPr>
    </w:p>
    <w:p>
      <w:pPr>
        <w:ind w:right="180"/>
        <w:spacing w:after="0" w:line="261" w:lineRule="auto"/>
        <w:rPr>
          <w:sz w:val="20"/>
          <w:szCs w:val="20"/>
          <w:color w:val="auto"/>
        </w:rPr>
      </w:pPr>
      <w:r>
        <w:rPr>
          <w:rFonts w:ascii="Times New Roman" w:cs="Times New Roman" w:eastAsia="Times New Roman" w:hAnsi="Times New Roman"/>
          <w:sz w:val="18"/>
          <w:szCs w:val="18"/>
          <w:color w:val="auto"/>
        </w:rPr>
        <w:t>However, a consolidation, combination, merger, share exchange or reclassification that satisfies the requirements of clauses (a), (b) and (c) of paragraph (2) above will not require any vote or consent pursuant to paragraph</w:t>
      </w:r>
    </w:p>
    <w:p>
      <w:pPr>
        <w:jc w:val="both"/>
        <w:ind w:right="340" w:firstLine="8"/>
        <w:spacing w:after="0" w:line="255" w:lineRule="auto"/>
        <w:tabs>
          <w:tab w:leader="none" w:pos="255" w:val="left"/>
        </w:tabs>
        <w:numPr>
          <w:ilvl w:val="0"/>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above. In addition, each of the following will be deemed not to materially adversely affect the rights, preferences or voting powers of the Series A Strike Preferred (or cause any of the rights, preferences or voting powers of any such preference securities to be materially less favorable as described above) and will not require any vote or consent pursuant to either of the preceding clauses (1) or (2):</w:t>
      </w:r>
    </w:p>
    <w:p>
      <w:pPr>
        <w:spacing w:after="0" w:line="185" w:lineRule="exact"/>
        <w:rPr>
          <w:rFonts w:ascii="Times New Roman" w:cs="Times New Roman" w:eastAsia="Times New Roman" w:hAnsi="Times New Roman"/>
          <w:sz w:val="18"/>
          <w:szCs w:val="18"/>
          <w:color w:val="auto"/>
        </w:rPr>
      </w:pPr>
    </w:p>
    <w:p>
      <w:pPr>
        <w:ind w:left="740" w:hanging="358"/>
        <w:spacing w:after="0"/>
        <w:tabs>
          <w:tab w:leader="none" w:pos="740" w:val="left"/>
        </w:tabs>
        <w:numPr>
          <w:ilvl w:val="1"/>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increase in the number of the authorized but unissued shares of the Company’s undesignated preferred stock;</w:t>
      </w:r>
    </w:p>
    <w:p>
      <w:pPr>
        <w:spacing w:after="0" w:line="27" w:lineRule="exact"/>
        <w:rPr>
          <w:rFonts w:ascii="Times New Roman" w:cs="Times New Roman" w:eastAsia="Times New Roman" w:hAnsi="Times New Roman"/>
          <w:sz w:val="18"/>
          <w:szCs w:val="18"/>
          <w:color w:val="auto"/>
        </w:rPr>
      </w:pPr>
    </w:p>
    <w:p>
      <w:pPr>
        <w:ind w:left="740" w:hanging="358"/>
        <w:spacing w:after="0"/>
        <w:tabs>
          <w:tab w:leader="none" w:pos="740" w:val="left"/>
        </w:tabs>
        <w:numPr>
          <w:ilvl w:val="1"/>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increase in the number of authorized or issued shares of Series A Strike Preferred;</w:t>
      </w:r>
    </w:p>
    <w:p>
      <w:pPr>
        <w:spacing w:after="0" w:line="9" w:lineRule="exact"/>
        <w:rPr>
          <w:rFonts w:ascii="Times New Roman" w:cs="Times New Roman" w:eastAsia="Times New Roman" w:hAnsi="Times New Roman"/>
          <w:sz w:val="18"/>
          <w:szCs w:val="18"/>
          <w:color w:val="auto"/>
        </w:rPr>
      </w:pPr>
    </w:p>
    <w:p>
      <w:pPr>
        <w:ind w:left="740" w:right="640" w:hanging="358"/>
        <w:spacing w:after="0" w:line="250" w:lineRule="auto"/>
        <w:tabs>
          <w:tab w:leader="none" w:pos="740" w:val="left"/>
        </w:tabs>
        <w:numPr>
          <w:ilvl w:val="1"/>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creation and issuance, or increase in the authorized or issued number, of any class or series of stock (including, for the avoidance of doubt, dividend senior stock or liquidation senior stock); and</w:t>
      </w:r>
    </w:p>
    <w:p>
      <w:pPr>
        <w:ind w:left="740" w:right="620" w:hanging="358"/>
        <w:spacing w:after="0" w:line="255" w:lineRule="auto"/>
        <w:tabs>
          <w:tab w:leader="none" w:pos="740" w:val="left"/>
        </w:tabs>
        <w:numPr>
          <w:ilvl w:val="1"/>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application of the provisions described below under the caption “—Conversion Rights—Effect of Class A Common Stock Change Event,” including the execution and delivery of any supplemental instruments described under such caption solely to give effect to such provisions.</w:t>
      </w:r>
    </w:p>
    <w:p>
      <w:pPr>
        <w:spacing w:after="0" w:line="199" w:lineRule="exact"/>
        <w:rPr>
          <w:sz w:val="20"/>
          <w:szCs w:val="20"/>
          <w:color w:val="auto"/>
        </w:rPr>
      </w:pPr>
    </w:p>
    <w:p>
      <w:pPr>
        <w:ind w:right="80"/>
        <w:spacing w:after="0" w:line="256" w:lineRule="auto"/>
        <w:rPr>
          <w:sz w:val="20"/>
          <w:szCs w:val="20"/>
          <w:color w:val="auto"/>
        </w:rPr>
      </w:pPr>
      <w:r>
        <w:rPr>
          <w:rFonts w:ascii="Times New Roman" w:cs="Times New Roman" w:eastAsia="Times New Roman" w:hAnsi="Times New Roman"/>
          <w:sz w:val="18"/>
          <w:szCs w:val="18"/>
          <w:color w:val="auto"/>
        </w:rPr>
        <w:t>If any event described in paragraphs (1) or (2) above would materially adversely affect the rights, preferences or voting powers of one or more, but not all, classes or series of voting parity stock (which term, solely for these purposes, includes the Series A Strike Preferred), then those classes or series whose rights, preferences or voting powers would not be materially adversely affected will be deemed not to have voting or consent rights with respect to such event. Furthermore, an amendment, modification or repeal described in paragraph (1) above that materially adversely affects the special rights, preferences or voting powers of the Series A Strike Preferred cannot be effected without the affirmative vote or consent of preferred stockholders, voting separately as a class, of at least a majority of the Series A Strike Preferred then outstanding.</w:t>
      </w:r>
    </w:p>
    <w:p>
      <w:pPr>
        <w:spacing w:after="0" w:line="183"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Certain Amendments Permitted Without Consent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1147445</wp:posOffset>
            </wp:positionV>
            <wp:extent cx="7157720" cy="42545"/>
            <wp:wrapNone/>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68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40"/>
          </w:cols>
          <w:pgMar w:left="320" w:top="1404" w:right="439" w:bottom="1440" w:gutter="0" w:footer="0" w:header="0"/>
        </w:sectPr>
      </w:pPr>
    </w:p>
    <w:bookmarkStart w:id="136" w:name="page137"/>
    <w:bookmarkEnd w:id="136"/>
    <w:p>
      <w:pPr>
        <w:jc w:val="both"/>
        <w:ind w:right="400"/>
        <w:spacing w:after="0" w:line="266" w:lineRule="auto"/>
        <w:rPr>
          <w:sz w:val="20"/>
          <w:szCs w:val="20"/>
          <w:color w:val="auto"/>
        </w:rPr>
      </w:pPr>
      <w:r>
        <w:rPr>
          <w:rFonts w:ascii="Times New Roman" w:cs="Times New Roman" w:eastAsia="Times New Roman" w:hAnsi="Times New Roman"/>
          <w:sz w:val="18"/>
          <w:szCs w:val="18"/>
          <w:color w:val="auto"/>
        </w:rPr>
        <w:t>Notwithstanding anything to the contrary described in paragraph (1) above under the caption “—Voting and Consent Rights with Respect to Specified Matters,” the Company may amend, modify or repeal any of the terms of the Series A Strike Preferred without the vote or consent of any preferred stockholder to:</w:t>
      </w:r>
    </w:p>
    <w:p>
      <w:pPr>
        <w:spacing w:after="0" w:line="68" w:lineRule="exact"/>
        <w:rPr>
          <w:sz w:val="20"/>
          <w:szCs w:val="20"/>
          <w:color w:val="auto"/>
        </w:rPr>
      </w:pPr>
    </w:p>
    <w:p>
      <w:pPr>
        <w:ind w:left="760" w:right="120" w:hanging="378"/>
        <w:spacing w:after="0" w:line="266" w:lineRule="auto"/>
        <w:tabs>
          <w:tab w:leader="none" w:pos="760"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cure any ambiguity or correct any omission, defect or inconsistency in the Certificate of Designations or the certificates representing the Series A Strike Preferred, including the filing of a certificate of correction, or a corrected instrument, pursuant to Section 103(f) of the DGCL in connection therewith;</w:t>
      </w:r>
    </w:p>
    <w:p>
      <w:pPr>
        <w:spacing w:after="0" w:line="81" w:lineRule="exact"/>
        <w:rPr>
          <w:rFonts w:ascii="Times New Roman" w:cs="Times New Roman" w:eastAsia="Times New Roman" w:hAnsi="Times New Roman"/>
          <w:sz w:val="18"/>
          <w:szCs w:val="18"/>
          <w:color w:val="auto"/>
        </w:rPr>
      </w:pPr>
    </w:p>
    <w:p>
      <w:pPr>
        <w:ind w:left="760" w:right="340" w:hanging="378"/>
        <w:spacing w:after="0" w:line="266" w:lineRule="auto"/>
        <w:tabs>
          <w:tab w:leader="none" w:pos="760"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conform the provisions of the Certificate of Designations or the certificates representing the Series A Strike Preferred to the “Description of Perpetual Strike Preferred Stock” section of the preliminary prospectus supplement for the offering of the Series A Strike Preferred, as supplemented by the related pricing term sheet;</w:t>
      </w:r>
    </w:p>
    <w:p>
      <w:pPr>
        <w:spacing w:after="0" w:line="81" w:lineRule="exact"/>
        <w:rPr>
          <w:rFonts w:ascii="Times New Roman" w:cs="Times New Roman" w:eastAsia="Times New Roman" w:hAnsi="Times New Roman"/>
          <w:sz w:val="18"/>
          <w:szCs w:val="18"/>
          <w:color w:val="auto"/>
        </w:rPr>
      </w:pPr>
    </w:p>
    <w:p>
      <w:pPr>
        <w:ind w:left="740" w:hanging="358"/>
        <w:spacing w:after="0"/>
        <w:tabs>
          <w:tab w:leader="none" w:pos="740"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provide for or confirm the issuance of additional Series A Strike Preferred pursuant to the Certificate of Designations;</w:t>
      </w:r>
    </w:p>
    <w:p>
      <w:pPr>
        <w:spacing w:after="0" w:line="117" w:lineRule="exact"/>
        <w:rPr>
          <w:rFonts w:ascii="Times New Roman" w:cs="Times New Roman" w:eastAsia="Times New Roman" w:hAnsi="Times New Roman"/>
          <w:sz w:val="18"/>
          <w:szCs w:val="18"/>
          <w:color w:val="auto"/>
        </w:rPr>
      </w:pPr>
    </w:p>
    <w:p>
      <w:pPr>
        <w:ind w:left="760" w:right="440" w:hanging="378"/>
        <w:spacing w:after="0" w:line="261" w:lineRule="auto"/>
        <w:tabs>
          <w:tab w:leader="none" w:pos="760"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provide for any transfer restrictions that apply to any shares of Series A Strike Preferred (other than the shares of Series A Strike Preferred issued in the initial offering of Series A Strike Preferred and any shares of Series A Strike Preferred issued in exchange therefor or in substitution thereof) that, at the time of their original issuance, constitute “restricted securities” within the meaning of Rule 144 under the Securities Act or that are originally issued in reliance upon Regulation S under the Securities Act; or</w:t>
      </w:r>
    </w:p>
    <w:p>
      <w:pPr>
        <w:spacing w:after="0" w:line="85" w:lineRule="exact"/>
        <w:rPr>
          <w:rFonts w:ascii="Times New Roman" w:cs="Times New Roman" w:eastAsia="Times New Roman" w:hAnsi="Times New Roman"/>
          <w:sz w:val="18"/>
          <w:szCs w:val="18"/>
          <w:color w:val="auto"/>
        </w:rPr>
      </w:pPr>
    </w:p>
    <w:p>
      <w:pPr>
        <w:jc w:val="both"/>
        <w:ind w:left="740" w:right="540" w:hanging="358"/>
        <w:spacing w:after="0" w:line="266" w:lineRule="auto"/>
        <w:tabs>
          <w:tab w:leader="none" w:pos="740"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other change to the Certificate, the Certificate of Designations or the certificates representing the Series A Strike Preferred that does not, individually or in the aggregate with all other such changes, adversely affect the rights of any preferred stockholder (other than preferred stockholders that have consented to such change), as such, in any material respect (as determined by the Board in good faith).</w:t>
      </w:r>
    </w:p>
    <w:p>
      <w:pPr>
        <w:spacing w:after="0" w:line="293"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Procedures for Voting and Consents</w:t>
      </w:r>
    </w:p>
    <w:p>
      <w:pPr>
        <w:spacing w:after="0" w:line="135"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If any vote or consent of the preferred stockholders will be held or solicited, including at a regular annual meeting or a special meeting of stockholders, then the Board will adopt customary rules and procedures at its discretion to govern such vote or consent, subject to the other provisions described in this section. Such rules and procedures may include fixing a record date to determine the preferred stockholders (and, if applicable, holders of voting parity stock) that are entitled to vote or provide consent, as applicable, rules governing the solicitation and use of proxies or written consents and customary procedures for the nomination and designation, by preferred stockholders (and, if applicable, holders of voting parity stock), of preferred stock directors for election. Without limiting the foregoing, the persons calling any special meeting of stockholders pursuant to the provisions described above under “— Right to Designate up to Two Preferred Stock Directors Upon Regular Dividend Non-Payment Events—The Right to Call a Special Meeting to Elect a Preferred Stock Director” will, at their election, be entitled to specify one or more preferred stock director nominees in the notice referred to in such section, if such special meeting is scheduled to include the election of any preferred stock director (including an election to fill any vacancy in the office of any preferred stock director).</w:t>
      </w:r>
    </w:p>
    <w:p>
      <w:pPr>
        <w:spacing w:after="0" w:line="248" w:lineRule="exact"/>
        <w:rPr>
          <w:sz w:val="20"/>
          <w:szCs w:val="20"/>
          <w:color w:val="auto"/>
        </w:rPr>
      </w:pPr>
    </w:p>
    <w:p>
      <w:pPr>
        <w:ind w:right="20"/>
        <w:spacing w:after="0" w:line="255" w:lineRule="auto"/>
        <w:rPr>
          <w:sz w:val="20"/>
          <w:szCs w:val="20"/>
          <w:color w:val="auto"/>
        </w:rPr>
      </w:pPr>
      <w:r>
        <w:rPr>
          <w:rFonts w:ascii="Times New Roman" w:cs="Times New Roman" w:eastAsia="Times New Roman" w:hAnsi="Times New Roman"/>
          <w:sz w:val="18"/>
          <w:szCs w:val="18"/>
          <w:color w:val="auto"/>
        </w:rPr>
        <w:t>Each share of Series A Strike Preferred will be entitled to one vote on each matter on which the holders of the Series A Strike Preferred are entitled to vote separately as a class and not together with the holders of any other class or series of stock. The respective voting powers of the Series A Strike Preferred and all classes or series of voting parity stock entitled to vote on any matter together as a single class will be determined (including for purposes of determining whether a plurality, majority or other applicable portion of votes has been obtained) in proportion to their respective liquidation amounts. Solely for these purposes, the liquidation amount of the Series A Strike Preferred or any such class or series of voting parity stock will be the maximum amount payable in respect of the Series A Strike Preferred or such class or series, as applicable, assuming the Company is liquidated on the record date for the applicable vote or consent (or, if there is no record date, on the date of such vote or consent).</w:t>
      </w:r>
    </w:p>
    <w:p>
      <w:pPr>
        <w:spacing w:after="0" w:line="256" w:lineRule="exact"/>
        <w:rPr>
          <w:sz w:val="20"/>
          <w:szCs w:val="20"/>
          <w:color w:val="auto"/>
        </w:rPr>
      </w:pPr>
    </w:p>
    <w:p>
      <w:pPr>
        <w:ind w:right="120"/>
        <w:spacing w:after="0" w:line="266" w:lineRule="auto"/>
        <w:rPr>
          <w:sz w:val="20"/>
          <w:szCs w:val="20"/>
          <w:color w:val="auto"/>
        </w:rPr>
      </w:pPr>
      <w:r>
        <w:rPr>
          <w:rFonts w:ascii="Times New Roman" w:cs="Times New Roman" w:eastAsia="Times New Roman" w:hAnsi="Times New Roman"/>
          <w:sz w:val="18"/>
          <w:szCs w:val="18"/>
          <w:color w:val="auto"/>
        </w:rPr>
        <w:t>At any meeting in which the Series A Strike Preferred (and, if applicable, any class or series of voting parity stock) is entitled to elect any preferred stock director (including to fill any vacancy in the office of any preferred stock director), the presence, in person or by proxy, of holders of Series A Strike Preferred (and, if applicable,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976630</wp:posOffset>
            </wp:positionV>
            <wp:extent cx="7157720" cy="42545"/>
            <wp:wrapNone/>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68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04" w:right="419" w:bottom="1440" w:gutter="0" w:footer="0" w:header="0"/>
        </w:sectPr>
      </w:pPr>
    </w:p>
    <w:bookmarkStart w:id="137" w:name="page138"/>
    <w:bookmarkEnd w:id="137"/>
    <w:p>
      <w:pPr>
        <w:ind w:right="120"/>
        <w:spacing w:after="0" w:line="266" w:lineRule="auto"/>
        <w:rPr>
          <w:sz w:val="20"/>
          <w:szCs w:val="20"/>
          <w:color w:val="auto"/>
        </w:rPr>
      </w:pPr>
      <w:r>
        <w:rPr>
          <w:rFonts w:ascii="Times New Roman" w:cs="Times New Roman" w:eastAsia="Times New Roman" w:hAnsi="Times New Roman"/>
          <w:sz w:val="18"/>
          <w:szCs w:val="18"/>
          <w:color w:val="auto"/>
        </w:rPr>
        <w:t>holders of each such class or series) representing a majority of the outstanding voting power of the Series A Strike Preferred (and, if applicable, each such class or series) will constitute a quorum. The affirmative vote of a majority of the outstanding voting power of the Series A Strike Preferred (and, if applicable, each such class or series) cast at such a meeting at which a quorum is present will be sufficient to elect a preferred stock director.</w:t>
      </w:r>
    </w:p>
    <w:p>
      <w:pPr>
        <w:spacing w:after="0" w:line="230"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A consent or affirmative vote of the preferred stockholders pursuant to the provisions described above under the caption “—Voting and Consent Rights with Respect to Specified Matters” may be given or obtained either in writing without a meeting or in person or by proxy at a regular annual meeting or a special meeting of stockholders.</w:t>
      </w:r>
    </w:p>
    <w:p>
      <w:pPr>
        <w:spacing w:after="0" w:line="347"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Redemption at the Company’s Option</w:t>
      </w:r>
    </w:p>
    <w:p>
      <w:pPr>
        <w:spacing w:after="0" w:line="148" w:lineRule="exact"/>
        <w:rPr>
          <w:sz w:val="20"/>
          <w:szCs w:val="20"/>
          <w:color w:val="auto"/>
        </w:rPr>
      </w:pPr>
    </w:p>
    <w:p>
      <w:pPr>
        <w:ind w:right="900"/>
        <w:spacing w:after="0" w:line="282" w:lineRule="auto"/>
        <w:rPr>
          <w:sz w:val="20"/>
          <w:szCs w:val="20"/>
          <w:color w:val="auto"/>
        </w:rPr>
      </w:pPr>
      <w:r>
        <w:rPr>
          <w:rFonts w:ascii="Times New Roman" w:cs="Times New Roman" w:eastAsia="Times New Roman" w:hAnsi="Times New Roman"/>
          <w:sz w:val="18"/>
          <w:szCs w:val="18"/>
          <w:color w:val="auto"/>
        </w:rPr>
        <w:t>The Series A Strike Preferred will not be redeemable at the Company’s option except pursuant to an optional redemption or a tax redemption, as described below.</w:t>
      </w:r>
    </w:p>
    <w:p>
      <w:pPr>
        <w:spacing w:after="0" w:line="333"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Optional Redemption</w:t>
      </w:r>
    </w:p>
    <w:p>
      <w:pPr>
        <w:spacing w:after="0" w:line="148" w:lineRule="exact"/>
        <w:rPr>
          <w:sz w:val="20"/>
          <w:szCs w:val="20"/>
          <w:color w:val="auto"/>
        </w:rPr>
      </w:pPr>
    </w:p>
    <w:p>
      <w:pPr>
        <w:ind w:right="240"/>
        <w:spacing w:after="0" w:line="261" w:lineRule="auto"/>
        <w:rPr>
          <w:sz w:val="20"/>
          <w:szCs w:val="20"/>
          <w:color w:val="auto"/>
        </w:rPr>
      </w:pPr>
      <w:r>
        <w:rPr>
          <w:rFonts w:ascii="Times New Roman" w:cs="Times New Roman" w:eastAsia="Times New Roman" w:hAnsi="Times New Roman"/>
          <w:sz w:val="18"/>
          <w:szCs w:val="18"/>
          <w:color w:val="auto"/>
        </w:rPr>
        <w:t>Subject to the terms of the Certificate of Designations, the Company has the right, at its election, to redeem all, and not less than all, of the Series A Strike Preferred, at any time, for cash if the total aggregate liquidation preference of Series A Strike Preferred then outstanding is less than 25% of the aggregate liquidation preference of the Series A Strike Preferred issued in the initial offering thereof on the initial issue date. A redemption pursuant to the provision described in this paragraph is referred to herein as an “optional redemption.”</w:t>
      </w:r>
    </w:p>
    <w:p>
      <w:pPr>
        <w:spacing w:after="0" w:line="351"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Tax Redemption</w:t>
      </w:r>
    </w:p>
    <w:p>
      <w:pPr>
        <w:spacing w:after="0" w:line="148" w:lineRule="exact"/>
        <w:rPr>
          <w:sz w:val="20"/>
          <w:szCs w:val="20"/>
          <w:color w:val="auto"/>
        </w:rPr>
      </w:pPr>
    </w:p>
    <w:p>
      <w:pPr>
        <w:ind w:right="480"/>
        <w:spacing w:after="0" w:line="266" w:lineRule="auto"/>
        <w:rPr>
          <w:sz w:val="20"/>
          <w:szCs w:val="20"/>
          <w:color w:val="auto"/>
        </w:rPr>
      </w:pPr>
      <w:r>
        <w:rPr>
          <w:rFonts w:ascii="Times New Roman" w:cs="Times New Roman" w:eastAsia="Times New Roman" w:hAnsi="Times New Roman"/>
          <w:sz w:val="18"/>
          <w:szCs w:val="18"/>
          <w:color w:val="auto"/>
        </w:rPr>
        <w:t>Subject to the terms of the Certificate of Designations, the Company has the right, at its election, to redeem all, and not less than all, of the Series A Strike Preferred, at any time, for cash if a “tax event” (as defined below under the caption “—Definitions”) occurs. A redemption pursuant to this provision described in this paragraph is referred to herein as a “tax redemption.”</w:t>
      </w:r>
    </w:p>
    <w:p>
      <w:pPr>
        <w:spacing w:after="0" w:line="23"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Redemption Date</w:t>
      </w:r>
    </w:p>
    <w:p>
      <w:pPr>
        <w:spacing w:after="0" w:line="135" w:lineRule="exact"/>
        <w:rPr>
          <w:sz w:val="20"/>
          <w:szCs w:val="20"/>
          <w:color w:val="auto"/>
        </w:rPr>
      </w:pPr>
    </w:p>
    <w:p>
      <w:pPr>
        <w:ind w:right="720"/>
        <w:spacing w:after="0" w:line="282" w:lineRule="auto"/>
        <w:rPr>
          <w:sz w:val="20"/>
          <w:szCs w:val="20"/>
          <w:color w:val="auto"/>
        </w:rPr>
      </w:pPr>
      <w:r>
        <w:rPr>
          <w:rFonts w:ascii="Times New Roman" w:cs="Times New Roman" w:eastAsia="Times New Roman" w:hAnsi="Times New Roman"/>
          <w:sz w:val="18"/>
          <w:szCs w:val="18"/>
          <w:color w:val="auto"/>
        </w:rPr>
        <w:t>The redemption date will be a business day of the Company’s choosing that is no more than 60, nor less than 15, calendar days after the date the Company send the related redemption notice, as described below.</w:t>
      </w:r>
    </w:p>
    <w:p>
      <w:pPr>
        <w:spacing w:after="0" w:line="293"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Redemption Price</w:t>
      </w:r>
    </w:p>
    <w:p>
      <w:pPr>
        <w:spacing w:after="0" w:line="135" w:lineRule="exact"/>
        <w:rPr>
          <w:sz w:val="20"/>
          <w:szCs w:val="20"/>
          <w:color w:val="auto"/>
        </w:rPr>
      </w:pPr>
    </w:p>
    <w:p>
      <w:pPr>
        <w:jc w:val="both"/>
        <w:ind w:right="160"/>
        <w:spacing w:after="0" w:line="257" w:lineRule="auto"/>
        <w:rPr>
          <w:sz w:val="20"/>
          <w:szCs w:val="20"/>
          <w:color w:val="auto"/>
        </w:rPr>
      </w:pPr>
      <w:r>
        <w:rPr>
          <w:rFonts w:ascii="Times New Roman" w:cs="Times New Roman" w:eastAsia="Times New Roman" w:hAnsi="Times New Roman"/>
          <w:sz w:val="18"/>
          <w:szCs w:val="18"/>
          <w:color w:val="auto"/>
        </w:rPr>
        <w:t>The redemption price for a share of Series A Strike Preferred called for optional redemption will be an amount equal to (i) the liquidation preference of such share, plus (ii) accumulated and unpaid regular dividends on such share to, but excluding, the redemption date. However, if the redemption date is after a regular record date for a declared regular dividend on the Series A Strike Preferred and on or before the next regular dividend payment date, then</w:t>
      </w:r>
    </w:p>
    <w:p>
      <w:pPr>
        <w:spacing w:after="0" w:line="1" w:lineRule="exact"/>
        <w:rPr>
          <w:sz w:val="20"/>
          <w:szCs w:val="20"/>
          <w:color w:val="auto"/>
        </w:rPr>
      </w:pPr>
    </w:p>
    <w:p>
      <w:pPr>
        <w:ind w:right="80" w:firstLine="8"/>
        <w:spacing w:after="0" w:line="250" w:lineRule="auto"/>
        <w:tabs>
          <w:tab w:leader="none" w:pos="245" w:val="left"/>
        </w:tabs>
        <w:numPr>
          <w:ilvl w:val="0"/>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holder of such share at the close of business on such regular record date will be entitled, notwithstanding such redemption, to receive, on or, at the Company’s election, before such regular dividend payment date, such declared regular dividend on such share; and (b) the amount referred to in clause</w:t>
      </w:r>
    </w:p>
    <w:p>
      <w:pPr>
        <w:ind w:right="80" w:firstLine="8"/>
        <w:spacing w:after="0" w:line="260" w:lineRule="auto"/>
        <w:tabs>
          <w:tab w:leader="none" w:pos="265" w:val="left"/>
        </w:tabs>
        <w:numPr>
          <w:ilvl w:val="0"/>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of the preceding sentence will instead be the excess, if any, of (x) the accumulated and unpaid regular dividends on such share to, but excluding, such redemption date over (y) the amount of such declared regular dividend on such share.</w:t>
      </w:r>
    </w:p>
    <w:p>
      <w:pPr>
        <w:spacing w:after="0" w:line="195"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The redemption price for a share of Series A Strike Preferred called for tax redemption will be an amount equal to (i) the greater of (1) the liquidation preference of such share and (2) the average of the last reported sale prices per share of Series A Strike Preferred for the five consecutive trading days ending on, and including, the trading day immediately before the date on which the Company sends the related redemption notice, plus (ii) accumulated and unpaid regular dividends on such share to, but excluding, the redemption date. However, if the redemption date is after a regular record date for a declared regular dividend on the Series A Strike Preferred and on or before the next regular dividend payment date, then (a) the holder of such share at the close of business on such regular record date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983615</wp:posOffset>
            </wp:positionV>
            <wp:extent cx="7157720" cy="42545"/>
            <wp:wrapNone/>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68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20"/>
          </w:cols>
          <w:pgMar w:left="320" w:top="1404" w:right="459" w:bottom="1440" w:gutter="0" w:footer="0" w:header="0"/>
        </w:sectPr>
      </w:pPr>
    </w:p>
    <w:bookmarkStart w:id="138" w:name="page139"/>
    <w:bookmarkEnd w:id="138"/>
    <w:p>
      <w:pPr>
        <w:ind w:right="40"/>
        <w:spacing w:after="0" w:line="261" w:lineRule="auto"/>
        <w:rPr>
          <w:sz w:val="20"/>
          <w:szCs w:val="20"/>
          <w:color w:val="auto"/>
        </w:rPr>
      </w:pPr>
      <w:r>
        <w:rPr>
          <w:rFonts w:ascii="Times New Roman" w:cs="Times New Roman" w:eastAsia="Times New Roman" w:hAnsi="Times New Roman"/>
          <w:sz w:val="18"/>
          <w:szCs w:val="18"/>
          <w:color w:val="auto"/>
        </w:rPr>
        <w:t>will be entitled, notwithstanding such redemption, to receive, on or, at the Company’s election, before such regular dividend payment date, such declared regular dividend on such share; and (b) the amount referred to in clause (ii) of the preceding sentence will instead be the excess, if any, of (x) the accumulated and unpaid regular dividends on such share to, but excluding, such redemption date over (y) the amount of such declared regular dividend on such share.</w:t>
      </w:r>
    </w:p>
    <w:p>
      <w:pPr>
        <w:spacing w:after="0" w:line="311"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Redemption Notice</w:t>
      </w:r>
    </w:p>
    <w:p>
      <w:pPr>
        <w:spacing w:after="0" w:line="135" w:lineRule="exact"/>
        <w:rPr>
          <w:sz w:val="20"/>
          <w:szCs w:val="20"/>
          <w:color w:val="auto"/>
        </w:rPr>
      </w:pPr>
    </w:p>
    <w:p>
      <w:pPr>
        <w:ind w:right="1180"/>
        <w:spacing w:after="0" w:line="282" w:lineRule="auto"/>
        <w:rPr>
          <w:sz w:val="20"/>
          <w:szCs w:val="20"/>
          <w:color w:val="auto"/>
        </w:rPr>
      </w:pPr>
      <w:r>
        <w:rPr>
          <w:rFonts w:ascii="Times New Roman" w:cs="Times New Roman" w:eastAsia="Times New Roman" w:hAnsi="Times New Roman"/>
          <w:sz w:val="18"/>
          <w:szCs w:val="18"/>
          <w:color w:val="auto"/>
        </w:rPr>
        <w:t>The Company will send to the preferred stockholders notice of the redemption containing certain information set forth in the Certificate of Designations, including the redemption price and the redemption date.</w:t>
      </w:r>
    </w:p>
    <w:p>
      <w:pPr>
        <w:spacing w:after="0" w:line="293"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Conversion Rights</w:t>
      </w:r>
    </w:p>
    <w:p>
      <w:pPr>
        <w:spacing w:after="0" w:line="131"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Generally</w:t>
      </w:r>
    </w:p>
    <w:p>
      <w:pPr>
        <w:spacing w:after="0" w:line="135" w:lineRule="exact"/>
        <w:rPr>
          <w:sz w:val="20"/>
          <w:szCs w:val="20"/>
          <w:color w:val="auto"/>
        </w:rPr>
      </w:pPr>
    </w:p>
    <w:p>
      <w:pPr>
        <w:ind w:right="60"/>
        <w:spacing w:after="0" w:line="255" w:lineRule="auto"/>
        <w:rPr>
          <w:sz w:val="20"/>
          <w:szCs w:val="20"/>
          <w:color w:val="auto"/>
        </w:rPr>
      </w:pPr>
      <w:r>
        <w:rPr>
          <w:rFonts w:ascii="Times New Roman" w:cs="Times New Roman" w:eastAsia="Times New Roman" w:hAnsi="Times New Roman"/>
          <w:sz w:val="18"/>
          <w:szCs w:val="18"/>
          <w:color w:val="auto"/>
        </w:rPr>
        <w:t>Preferred stockholders will have the right to convert some (subject to the limitation described below) or all of their shares of Series A Strike Preferred into shares of Class A (together with cash in lieu of any fractional share, if applicable), at an initial conversion rate of 0.1000 shares of Class A per share of Series A Strike Preferred (which represents an initial conversion price of approximately $1,000.00 per share of Class A). The conversion rate is subject to adjustment if certain events occur. The “conversion price” (as defined below under the caption “—Definitions”) at any given time will be equal to the liquidation preference divided by the conversion rate in effect at such time. Accordingly, an adjustment to the conversion rate will result in a corresponding, inverse adjustment to the conversion price. Notwithstanding anything to the contrary, in no event will any preferred stockholder be entitled to convert a number of shares of Series A Strike Preferred that is not a whole number.</w:t>
      </w:r>
    </w:p>
    <w:p>
      <w:pPr>
        <w:spacing w:after="0" w:line="202"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The Certificate of Designations contains a provision that limits the ability of a beneficial owner of Series A Strike Preferred to convert less than all of such beneficial owner’s Series A Strike Preferred unless the total number of shares of such beneficial owner’s Series A Strike Preferred surrendered for conversion with the same conversion date is such that the consideration due upon such conversion includes at least one whole share of Class A. Specifically, the minimum number of shares of a beneficial owner’s Series A Strike Preferred that may be surrendered for conversion with the same conversion date is the lesser of (i) all of such beneficial owner’s Series A Strike Preferred; and (ii) a number of shares equal to the “minimum perpetual strike preferred stock conversion denomination” (as defined below under the caption “—Definitions”).</w:t>
      </w:r>
    </w:p>
    <w:p>
      <w:pPr>
        <w:spacing w:after="0" w:line="305"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When the Series A Strike Preferred May Be Converted</w:t>
      </w:r>
    </w:p>
    <w:p>
      <w:pPr>
        <w:spacing w:after="0" w:line="121" w:lineRule="exact"/>
        <w:rPr>
          <w:sz w:val="20"/>
          <w:szCs w:val="20"/>
          <w:color w:val="auto"/>
        </w:rPr>
      </w:pPr>
    </w:p>
    <w:p>
      <w:pPr>
        <w:ind w:right="340"/>
        <w:spacing w:after="0" w:line="282" w:lineRule="auto"/>
        <w:rPr>
          <w:sz w:val="20"/>
          <w:szCs w:val="20"/>
          <w:color w:val="auto"/>
        </w:rPr>
      </w:pPr>
      <w:r>
        <w:rPr>
          <w:rFonts w:ascii="Times New Roman" w:cs="Times New Roman" w:eastAsia="Times New Roman" w:hAnsi="Times New Roman"/>
          <w:sz w:val="18"/>
          <w:szCs w:val="18"/>
          <w:color w:val="auto"/>
        </w:rPr>
        <w:t>Except as described below, Series A Strike Preferred may be surrendered for conversion only after the “open of business” (as defined below under the caption “—Definitions”) and before the close of business on a day that is a business day.</w:t>
      </w:r>
    </w:p>
    <w:p>
      <w:pPr>
        <w:spacing w:after="0" w:line="162" w:lineRule="exact"/>
        <w:rPr>
          <w:sz w:val="20"/>
          <w:szCs w:val="20"/>
          <w:color w:val="auto"/>
        </w:rPr>
      </w:pPr>
    </w:p>
    <w:p>
      <w:pPr>
        <w:ind w:right="80"/>
        <w:spacing w:after="0" w:line="255" w:lineRule="auto"/>
        <w:rPr>
          <w:sz w:val="20"/>
          <w:szCs w:val="20"/>
          <w:color w:val="auto"/>
        </w:rPr>
      </w:pPr>
      <w:r>
        <w:rPr>
          <w:rFonts w:ascii="Times New Roman" w:cs="Times New Roman" w:eastAsia="Times New Roman" w:hAnsi="Times New Roman"/>
          <w:sz w:val="18"/>
          <w:szCs w:val="18"/>
          <w:color w:val="auto"/>
        </w:rPr>
        <w:t>If a preferred stockholder has validly delivered a “fundamental change repurchase notice” (as defined below under the caption “—Fundamental Change Permits Preferred Stockholders to Require the Company to Repurchase Series A Strike Preferred”) with respect to any share of Series A Strike Preferred, then such share may not be converted, except to the extent (i) such notice is withdrawn in accordance with the procedures described below; or (ii) the Company fails to pay the related fundamental change repurchase price for such share. In addition, if the Company calls the Series A Strike Preferred for redemption, then the Series A Strike Preferred may not be converted after the close of business on the second business day immediately before the related redemption date (unless the Company fails to pay the redemption price due on such redemption date in full, in which case the Series A Strike Preferred may be converted at any time until such time as the Company pays such redemption price in full).</w:t>
      </w:r>
    </w:p>
    <w:p>
      <w:pPr>
        <w:spacing w:after="0" w:line="293"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Treatment of Dividends Upon Conversion</w:t>
      </w:r>
    </w:p>
    <w:p>
      <w:pPr>
        <w:spacing w:after="0" w:line="135" w:lineRule="exact"/>
        <w:rPr>
          <w:sz w:val="20"/>
          <w:szCs w:val="20"/>
          <w:color w:val="auto"/>
        </w:rPr>
      </w:pPr>
    </w:p>
    <w:p>
      <w:pPr>
        <w:ind w:right="920"/>
        <w:spacing w:after="0" w:line="282" w:lineRule="auto"/>
        <w:rPr>
          <w:sz w:val="20"/>
          <w:szCs w:val="20"/>
          <w:color w:val="auto"/>
        </w:rPr>
      </w:pPr>
      <w:r>
        <w:rPr>
          <w:rFonts w:ascii="Times New Roman" w:cs="Times New Roman" w:eastAsia="Times New Roman" w:hAnsi="Times New Roman"/>
          <w:sz w:val="18"/>
          <w:szCs w:val="18"/>
          <w:color w:val="auto"/>
        </w:rPr>
        <w:t>The Company will not adjust the conversion rate to account for any accumulated and unpaid dividends on any Series A Strike Preferred being converted. Notwithstanding anything to the contrary, if the conversion date of</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967105</wp:posOffset>
            </wp:positionV>
            <wp:extent cx="7157720" cy="42545"/>
            <wp:wrapNone/>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68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04" w:right="419" w:bottom="1440" w:gutter="0" w:footer="0" w:header="0"/>
        </w:sectPr>
      </w:pPr>
    </w:p>
    <w:bookmarkStart w:id="139" w:name="page140"/>
    <w:bookmarkEnd w:id="139"/>
    <w:p>
      <w:pPr>
        <w:ind w:right="240"/>
        <w:spacing w:after="0" w:line="282" w:lineRule="auto"/>
        <w:rPr>
          <w:sz w:val="20"/>
          <w:szCs w:val="20"/>
          <w:color w:val="auto"/>
        </w:rPr>
      </w:pPr>
      <w:r>
        <w:rPr>
          <w:rFonts w:ascii="Times New Roman" w:cs="Times New Roman" w:eastAsia="Times New Roman" w:hAnsi="Times New Roman"/>
          <w:sz w:val="18"/>
          <w:szCs w:val="18"/>
          <w:color w:val="auto"/>
        </w:rPr>
        <w:t>any share of Series A Strike Preferred is after a regular record date for a declared regular dividend on the Series A Strike Preferred and on or before the next regular dividend payment date, then:</w:t>
      </w:r>
    </w:p>
    <w:p>
      <w:pPr>
        <w:spacing w:after="0" w:line="40" w:lineRule="exact"/>
        <w:rPr>
          <w:sz w:val="20"/>
          <w:szCs w:val="20"/>
          <w:color w:val="auto"/>
        </w:rPr>
      </w:pPr>
    </w:p>
    <w:p>
      <w:pPr>
        <w:ind w:left="740" w:right="600" w:hanging="358"/>
        <w:spacing w:after="0" w:line="312" w:lineRule="auto"/>
        <w:tabs>
          <w:tab w:leader="none" w:pos="740" w:val="left"/>
        </w:tabs>
        <w:numPr>
          <w:ilvl w:val="0"/>
          <w:numId w:val="7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holder of such share at the close of business on such regular record date will be entitled, notwithstanding such conversion, to receive, on or, at the Company’s election, before such regular dividend payment date, such declared regular dividend on such share; and</w:t>
      </w:r>
    </w:p>
    <w:p>
      <w:pPr>
        <w:spacing w:after="0" w:line="4" w:lineRule="exact"/>
        <w:rPr>
          <w:rFonts w:ascii="Times New Roman" w:cs="Times New Roman" w:eastAsia="Times New Roman" w:hAnsi="Times New Roman"/>
          <w:sz w:val="17"/>
          <w:szCs w:val="17"/>
          <w:color w:val="auto"/>
        </w:rPr>
      </w:pPr>
    </w:p>
    <w:p>
      <w:pPr>
        <w:ind w:left="760" w:right="180" w:hanging="378"/>
        <w:spacing w:after="0" w:line="282" w:lineRule="auto"/>
        <w:tabs>
          <w:tab w:leader="none" w:pos="760" w:val="left"/>
        </w:tabs>
        <w:numPr>
          <w:ilvl w:val="0"/>
          <w:numId w:val="7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holder surrendering such share for conversion must deliver, at the time it surrenders such share for conversion, an amount of cash equal to the amount of such declared regular dividend on such share.</w:t>
      </w:r>
    </w:p>
    <w:p>
      <w:pPr>
        <w:spacing w:after="0" w:line="16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However, such holder need not deliver such cash:</w:t>
      </w:r>
    </w:p>
    <w:p>
      <w:pPr>
        <w:spacing w:after="0" w:line="117" w:lineRule="exact"/>
        <w:rPr>
          <w:sz w:val="20"/>
          <w:szCs w:val="20"/>
          <w:color w:val="auto"/>
        </w:rPr>
      </w:pPr>
    </w:p>
    <w:p>
      <w:pPr>
        <w:ind w:left="760" w:hanging="378"/>
        <w:spacing w:after="0" w:line="282" w:lineRule="auto"/>
        <w:tabs>
          <w:tab w:leader="none" w:pos="760"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has specified a redemption date that is after such regular record date and on or before the second business day immediately after such regular dividend payment date;</w:t>
      </w:r>
    </w:p>
    <w:p>
      <w:pPr>
        <w:spacing w:after="0" w:line="40" w:lineRule="exact"/>
        <w:rPr>
          <w:rFonts w:ascii="Times New Roman" w:cs="Times New Roman" w:eastAsia="Times New Roman" w:hAnsi="Times New Roman"/>
          <w:sz w:val="18"/>
          <w:szCs w:val="18"/>
          <w:color w:val="auto"/>
        </w:rPr>
      </w:pPr>
    </w:p>
    <w:p>
      <w:pPr>
        <w:ind w:left="760" w:right="400" w:hanging="378"/>
        <w:spacing w:after="0" w:line="282" w:lineRule="auto"/>
        <w:tabs>
          <w:tab w:leader="none" w:pos="760"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has specified a fundamental change repurchase date that is after such regular record date and on or before the business day immediately after such regular dividend payment date; or</w:t>
      </w:r>
    </w:p>
    <w:p>
      <w:pPr>
        <w:spacing w:after="0" w:line="40" w:lineRule="exact"/>
        <w:rPr>
          <w:rFonts w:ascii="Times New Roman" w:cs="Times New Roman" w:eastAsia="Times New Roman" w:hAnsi="Times New Roman"/>
          <w:sz w:val="18"/>
          <w:szCs w:val="18"/>
          <w:color w:val="auto"/>
        </w:rPr>
      </w:pPr>
    </w:p>
    <w:p>
      <w:pPr>
        <w:ind w:left="740" w:right="300" w:hanging="358"/>
        <w:spacing w:after="0" w:line="282" w:lineRule="auto"/>
        <w:tabs>
          <w:tab w:leader="none" w:pos="740"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extent of any accumulated dividend in respect of any regular dividend period before the regular dividend period in which such regular record date occurs.</w:t>
      </w:r>
    </w:p>
    <w:p>
      <w:pPr>
        <w:spacing w:after="0" w:line="266"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Conversion Procedures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convert a beneficial interest in a global certificate, the owner of the beneficial interest must:</w:t>
      </w:r>
    </w:p>
    <w:p>
      <w:pPr>
        <w:spacing w:after="0" w:line="131" w:lineRule="exact"/>
        <w:rPr>
          <w:sz w:val="20"/>
          <w:szCs w:val="20"/>
          <w:color w:val="auto"/>
        </w:rPr>
      </w:pPr>
    </w:p>
    <w:p>
      <w:pPr>
        <w:ind w:left="740" w:hanging="358"/>
        <w:spacing w:after="0"/>
        <w:tabs>
          <w:tab w:leader="none" w:pos="740" w:val="left"/>
        </w:tabs>
        <w:numPr>
          <w:ilvl w:val="0"/>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comply with the depositary procedures for converting the beneficial interest (at which time such conversion will become irrevocable);</w:t>
      </w:r>
    </w:p>
    <w:p>
      <w:pPr>
        <w:spacing w:after="0" w:line="103" w:lineRule="exact"/>
        <w:rPr>
          <w:rFonts w:ascii="Times New Roman" w:cs="Times New Roman" w:eastAsia="Times New Roman" w:hAnsi="Times New Roman"/>
          <w:sz w:val="18"/>
          <w:szCs w:val="18"/>
          <w:color w:val="auto"/>
        </w:rPr>
      </w:pPr>
    </w:p>
    <w:p>
      <w:pPr>
        <w:ind w:left="760" w:right="220" w:hanging="378"/>
        <w:spacing w:after="0" w:line="282" w:lineRule="auto"/>
        <w:tabs>
          <w:tab w:leader="none" w:pos="760" w:val="left"/>
        </w:tabs>
        <w:numPr>
          <w:ilvl w:val="0"/>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applicable, pay any declared regular dividend payable on the next regular dividend payment date, as described above under the caption “— Treatment of Dividends Upon Conversion”; and</w:t>
      </w:r>
    </w:p>
    <w:p>
      <w:pPr>
        <w:spacing w:after="0" w:line="26" w:lineRule="exact"/>
        <w:rPr>
          <w:rFonts w:ascii="Times New Roman" w:cs="Times New Roman" w:eastAsia="Times New Roman" w:hAnsi="Times New Roman"/>
          <w:sz w:val="18"/>
          <w:szCs w:val="18"/>
          <w:color w:val="auto"/>
        </w:rPr>
      </w:pPr>
    </w:p>
    <w:p>
      <w:pPr>
        <w:ind w:left="760" w:right="2940" w:hanging="378"/>
        <w:spacing w:after="0" w:line="297" w:lineRule="auto"/>
        <w:tabs>
          <w:tab w:leader="none" w:pos="760" w:val="left"/>
        </w:tabs>
        <w:numPr>
          <w:ilvl w:val="0"/>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applicable, pay any documentary or other taxes as described below under the caption “—Taxes Upon Issuance of Class A Common Stock.”</w:t>
      </w:r>
    </w:p>
    <w:p>
      <w:pPr>
        <w:spacing w:after="0" w:line="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convert any share of Series A Strike Preferred represented by a physical certificate, the holder of such share must:</w:t>
      </w:r>
    </w:p>
    <w:p>
      <w:pPr>
        <w:spacing w:after="0" w:line="117" w:lineRule="exact"/>
        <w:rPr>
          <w:sz w:val="20"/>
          <w:szCs w:val="20"/>
          <w:color w:val="auto"/>
        </w:rPr>
      </w:pPr>
    </w:p>
    <w:p>
      <w:pPr>
        <w:ind w:left="740" w:right="660" w:hanging="358"/>
        <w:spacing w:after="0" w:line="282" w:lineRule="auto"/>
        <w:tabs>
          <w:tab w:leader="none" w:pos="740"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complete, manually sign and deliver to the conversion agent the conversion notice attached to such physical certificate or a facsimile of such conversion notice;</w:t>
      </w:r>
    </w:p>
    <w:p>
      <w:pPr>
        <w:spacing w:after="0" w:line="67" w:lineRule="exact"/>
        <w:rPr>
          <w:rFonts w:ascii="Times New Roman" w:cs="Times New Roman" w:eastAsia="Times New Roman" w:hAnsi="Times New Roman"/>
          <w:sz w:val="18"/>
          <w:szCs w:val="18"/>
          <w:color w:val="auto"/>
        </w:rPr>
      </w:pPr>
    </w:p>
    <w:p>
      <w:pPr>
        <w:ind w:left="740" w:hanging="358"/>
        <w:spacing w:after="0"/>
        <w:tabs>
          <w:tab w:leader="none" w:pos="740"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deliver such physical certificate to the conversion agent (at which time such conversion will become irrevocable);</w:t>
      </w:r>
    </w:p>
    <w:p>
      <w:pPr>
        <w:spacing w:after="0" w:line="130"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furnish any endorsements and transfer documents that the Company or the conversion agent may require;</w:t>
      </w:r>
    </w:p>
    <w:p>
      <w:pPr>
        <w:spacing w:after="0" w:line="130" w:lineRule="exact"/>
        <w:rPr>
          <w:rFonts w:ascii="Times New Roman" w:cs="Times New Roman" w:eastAsia="Times New Roman" w:hAnsi="Times New Roman"/>
          <w:sz w:val="18"/>
          <w:szCs w:val="18"/>
          <w:color w:val="auto"/>
        </w:rPr>
      </w:pPr>
    </w:p>
    <w:p>
      <w:pPr>
        <w:ind w:left="760" w:right="220" w:hanging="378"/>
        <w:spacing w:after="0" w:line="282" w:lineRule="auto"/>
        <w:tabs>
          <w:tab w:leader="none" w:pos="760"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applicable, pay any declared regular dividend payable on the next regular dividend payment date, as described above under the caption “— Treatment of Dividends Upon Conversion;” and</w:t>
      </w:r>
    </w:p>
    <w:p>
      <w:pPr>
        <w:spacing w:after="0" w:line="6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applicable, pay any documentary or other taxes as described below under the caption “—Taxes Upon Issuance of Class A Common Stock.”</w:t>
      </w:r>
    </w:p>
    <w:p>
      <w:pPr>
        <w:spacing w:after="0" w:line="266" w:lineRule="exact"/>
        <w:rPr>
          <w:sz w:val="20"/>
          <w:szCs w:val="20"/>
          <w:color w:val="auto"/>
        </w:rPr>
      </w:pPr>
    </w:p>
    <w:p>
      <w:pPr>
        <w:ind w:right="460"/>
        <w:spacing w:after="0" w:line="282" w:lineRule="auto"/>
        <w:rPr>
          <w:sz w:val="20"/>
          <w:szCs w:val="20"/>
          <w:color w:val="auto"/>
        </w:rPr>
      </w:pPr>
      <w:r>
        <w:rPr>
          <w:rFonts w:ascii="Times New Roman" w:cs="Times New Roman" w:eastAsia="Times New Roman" w:hAnsi="Times New Roman"/>
          <w:sz w:val="18"/>
          <w:szCs w:val="18"/>
          <w:color w:val="auto"/>
        </w:rPr>
        <w:t>The first business day on which the requirements described above to convert a share of Series A Strike Preferred are satisfied is referred to herein as the “conversion date.”</w:t>
      </w:r>
    </w:p>
    <w:p>
      <w:pPr>
        <w:spacing w:after="0" w:line="158"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Settlement Upon Conversion</w:t>
      </w:r>
    </w:p>
    <w:p>
      <w:pPr>
        <w:spacing w:after="0" w:line="146"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Consideration Due Upon Conversion</w:t>
      </w:r>
    </w:p>
    <w:p>
      <w:pPr>
        <w:spacing w:after="0" w:line="133" w:lineRule="exact"/>
        <w:rPr>
          <w:sz w:val="20"/>
          <w:szCs w:val="20"/>
          <w:color w:val="auto"/>
        </w:rPr>
      </w:pPr>
    </w:p>
    <w:p>
      <w:pPr>
        <w:ind w:right="120"/>
        <w:spacing w:after="0" w:line="266" w:lineRule="auto"/>
        <w:rPr>
          <w:sz w:val="20"/>
          <w:szCs w:val="20"/>
          <w:color w:val="auto"/>
        </w:rPr>
      </w:pPr>
      <w:r>
        <w:rPr>
          <w:rFonts w:ascii="Times New Roman" w:cs="Times New Roman" w:eastAsia="Times New Roman" w:hAnsi="Times New Roman"/>
          <w:sz w:val="18"/>
          <w:szCs w:val="18"/>
          <w:color w:val="auto"/>
        </w:rPr>
        <w:t>Upon conversion of any Series A Strike Preferred, the Company will deliver, for each share of Series A Strike Preferred being converted, a number of shares of Class A equal to the conversion rate in effect immediately before the close of business on the conversion date for such conversion. However, in lieu of delivering any fractional share of Class A otherwise due upon conversion, the Company will, to the extent it is legally able to do so, pay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976630</wp:posOffset>
            </wp:positionV>
            <wp:extent cx="7157720" cy="42545"/>
            <wp:wrapNone/>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68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40"/>
          </w:cols>
          <w:pgMar w:left="320" w:top="1404" w:right="439" w:bottom="1440" w:gutter="0" w:footer="0" w:header="0"/>
        </w:sectPr>
      </w:pPr>
    </w:p>
    <w:bookmarkStart w:id="140" w:name="page141"/>
    <w:bookmarkEnd w:id="140"/>
    <w:p>
      <w:pPr>
        <w:ind w:right="100"/>
        <w:spacing w:after="0" w:line="258" w:lineRule="auto"/>
        <w:rPr>
          <w:sz w:val="20"/>
          <w:szCs w:val="20"/>
          <w:color w:val="auto"/>
        </w:rPr>
      </w:pPr>
      <w:r>
        <w:rPr>
          <w:rFonts w:ascii="Times New Roman" w:cs="Times New Roman" w:eastAsia="Times New Roman" w:hAnsi="Times New Roman"/>
          <w:sz w:val="18"/>
          <w:szCs w:val="18"/>
          <w:color w:val="auto"/>
        </w:rPr>
        <w:t>cash based on the last reported sale price per share of the Class A on the conversion date for such conversion (or, if such conversion date is not a trading day, the immediately preceding trading day). In the event that the Company cannot pay cash in lieu of a fractional share, the Company will, to the extent authorized, unissued and unreserved shares of Class A are available, instead round up to the nearest whole share for each holder and the Company will not have any obligation to pay such amount in cash. The consideration due upon conversion of any Series A Strike Preferred is referred to herein as the “conversion consideration.”</w:t>
      </w:r>
    </w:p>
    <w:p>
      <w:pPr>
        <w:spacing w:after="0" w:line="181" w:lineRule="exact"/>
        <w:rPr>
          <w:sz w:val="20"/>
          <w:szCs w:val="20"/>
          <w:color w:val="auto"/>
        </w:rPr>
      </w:pPr>
    </w:p>
    <w:p>
      <w:pPr>
        <w:ind w:left="1220"/>
        <w:spacing w:after="0"/>
        <w:rPr>
          <w:sz w:val="20"/>
          <w:szCs w:val="20"/>
          <w:color w:val="auto"/>
        </w:rPr>
      </w:pPr>
      <w:r>
        <w:rPr>
          <w:rFonts w:ascii="Times New Roman" w:cs="Times New Roman" w:eastAsia="Times New Roman" w:hAnsi="Times New Roman"/>
          <w:sz w:val="18"/>
          <w:szCs w:val="18"/>
          <w:i w:val="1"/>
          <w:iCs w:val="1"/>
          <w:color w:val="auto"/>
        </w:rPr>
        <w:t>Delivery of the Conversion Consideration</w:t>
      </w:r>
    </w:p>
    <w:p>
      <w:pPr>
        <w:spacing w:after="0" w:line="146" w:lineRule="exact"/>
        <w:rPr>
          <w:sz w:val="20"/>
          <w:szCs w:val="20"/>
          <w:color w:val="auto"/>
        </w:rPr>
      </w:pPr>
    </w:p>
    <w:p>
      <w:pPr>
        <w:ind w:right="280"/>
        <w:spacing w:after="0" w:line="266" w:lineRule="auto"/>
        <w:rPr>
          <w:sz w:val="20"/>
          <w:szCs w:val="20"/>
          <w:color w:val="auto"/>
        </w:rPr>
      </w:pPr>
      <w:r>
        <w:rPr>
          <w:rFonts w:ascii="Times New Roman" w:cs="Times New Roman" w:eastAsia="Times New Roman" w:hAnsi="Times New Roman"/>
          <w:sz w:val="18"/>
          <w:szCs w:val="18"/>
          <w:color w:val="auto"/>
        </w:rPr>
        <w:t>The Company will (subject to the depositary procedures, if such Series A Strike Preferred is represented by a global certificate) pay or deliver, as applicable, the conversion consideration due upon conversion of any Series A Strike Preferred on or before the second business day immediately after the conversion date for such conversion.</w:t>
      </w:r>
    </w:p>
    <w:p>
      <w:pPr>
        <w:spacing w:after="0" w:line="174"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Delivery of Treasury Shares</w:t>
      </w:r>
    </w:p>
    <w:p>
      <w:pPr>
        <w:spacing w:after="0" w:line="133" w:lineRule="exact"/>
        <w:rPr>
          <w:sz w:val="20"/>
          <w:szCs w:val="20"/>
          <w:color w:val="auto"/>
        </w:rPr>
      </w:pPr>
    </w:p>
    <w:p>
      <w:pPr>
        <w:ind w:right="300"/>
        <w:spacing w:after="0" w:line="266" w:lineRule="auto"/>
        <w:rPr>
          <w:sz w:val="20"/>
          <w:szCs w:val="20"/>
          <w:color w:val="auto"/>
        </w:rPr>
      </w:pPr>
      <w:r>
        <w:rPr>
          <w:rFonts w:ascii="Times New Roman" w:cs="Times New Roman" w:eastAsia="Times New Roman" w:hAnsi="Times New Roman"/>
          <w:sz w:val="18"/>
          <w:szCs w:val="18"/>
          <w:color w:val="auto"/>
        </w:rPr>
        <w:t>Each share of Class A delivered upon conversion of the Series A Strike Preferred will be a newly issued or treasury share. To the extent the Company delivers shares of Class A held in its treasury in settlement of any obligation under the Certificate of Designations to deliver shares of Class A, each reference herein to the issuance of shares of Class A in connection therewith will be deemed to include such delivery.</w:t>
      </w:r>
    </w:p>
    <w:p>
      <w:pPr>
        <w:spacing w:after="0" w:line="320" w:lineRule="exact"/>
        <w:rPr>
          <w:sz w:val="20"/>
          <w:szCs w:val="20"/>
          <w:color w:val="auto"/>
        </w:rPr>
      </w:pPr>
    </w:p>
    <w:p>
      <w:pPr>
        <w:ind w:left="760" w:right="74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When Converting Preferred Stockholders Become Stockholders of Record of the Shares of Class A Common Stock Issuable Upon Conversion</w:t>
      </w:r>
    </w:p>
    <w:p>
      <w:pPr>
        <w:spacing w:after="0" w:line="51"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The person in whose name any share of Class A is issuable upon conversion of any Series A Strike Preferred will be deemed to become the holder of record of that share as of the close of business on the conversion date for such conversion.</w:t>
      </w:r>
    </w:p>
    <w:p>
      <w:pPr>
        <w:spacing w:after="0" w:line="9"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Taxes Upon Issuance of Class A Common Stock</w:t>
      </w:r>
    </w:p>
    <w:p>
      <w:pPr>
        <w:spacing w:after="0" w:line="135" w:lineRule="exact"/>
        <w:rPr>
          <w:sz w:val="20"/>
          <w:szCs w:val="20"/>
          <w:color w:val="auto"/>
        </w:rPr>
      </w:pPr>
    </w:p>
    <w:p>
      <w:pPr>
        <w:spacing w:after="0" w:line="255" w:lineRule="auto"/>
        <w:rPr>
          <w:sz w:val="20"/>
          <w:szCs w:val="20"/>
          <w:color w:val="auto"/>
        </w:rPr>
      </w:pPr>
      <w:r>
        <w:rPr>
          <w:rFonts w:ascii="Times New Roman" w:cs="Times New Roman" w:eastAsia="Times New Roman" w:hAnsi="Times New Roman"/>
          <w:sz w:val="18"/>
          <w:szCs w:val="18"/>
          <w:color w:val="auto"/>
        </w:rPr>
        <w:t>The Company will pay any documentary, stamp or similar issue or transfer tax or duty due on the issue of any shares of Class A upon conversion of, or as payment for all or any portion of any declared regular dividends on, the Series A Strike Preferred of any preferred stockholder. However, if any tax or duty is due because such preferred stockholder requests those shares to be registered in a name other than such preferred stockholder’s name, then such preferred stockholder must pay such tax or duty. For the avoidance of doubt, the Company or any other withholding agent may collect any required withholding tax at the time of conversion or payment or require alternative arrangements (</w:t>
      </w:r>
      <w:r>
        <w:rPr>
          <w:rFonts w:ascii="Times New Roman" w:cs="Times New Roman" w:eastAsia="Times New Roman" w:hAnsi="Times New Roman"/>
          <w:sz w:val="18"/>
          <w:szCs w:val="18"/>
          <w:i w:val="1"/>
          <w:iCs w:val="1"/>
          <w:color w:val="auto"/>
        </w:rPr>
        <w:t>e.g.</w:t>
      </w:r>
      <w:r>
        <w:rPr>
          <w:rFonts w:ascii="Times New Roman" w:cs="Times New Roman" w:eastAsia="Times New Roman" w:hAnsi="Times New Roman"/>
          <w:sz w:val="18"/>
          <w:szCs w:val="18"/>
          <w:color w:val="auto"/>
        </w:rPr>
        <w:t>, a deposit for taxes prior to delivery of conversion consideration) to ensure that the Company or such withholding agent is not out of pocket for any potential withholding tax liability (</w:t>
      </w:r>
      <w:r>
        <w:rPr>
          <w:rFonts w:ascii="Times New Roman" w:cs="Times New Roman" w:eastAsia="Times New Roman" w:hAnsi="Times New Roman"/>
          <w:sz w:val="18"/>
          <w:szCs w:val="18"/>
          <w:i w:val="1"/>
          <w:iCs w:val="1"/>
          <w:color w:val="auto"/>
        </w:rPr>
        <w:t>e.g.</w:t>
      </w:r>
      <w:r>
        <w:rPr>
          <w:rFonts w:ascii="Times New Roman" w:cs="Times New Roman" w:eastAsia="Times New Roman" w:hAnsi="Times New Roman"/>
          <w:sz w:val="18"/>
          <w:szCs w:val="18"/>
          <w:color w:val="auto"/>
        </w:rPr>
        <w:t>, for any conversion consideration attributable to previously unpaid and accumulated dividends).</w:t>
      </w:r>
    </w:p>
    <w:p>
      <w:pPr>
        <w:spacing w:after="0" w:line="293"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Conversion Rate Adjustments</w:t>
      </w:r>
    </w:p>
    <w:p>
      <w:pPr>
        <w:spacing w:after="0" w:line="119"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Generally</w:t>
      </w:r>
    </w:p>
    <w:p>
      <w:pPr>
        <w:spacing w:after="0" w:line="133" w:lineRule="exact"/>
        <w:rPr>
          <w:sz w:val="20"/>
          <w:szCs w:val="20"/>
          <w:color w:val="auto"/>
        </w:rPr>
      </w:pPr>
    </w:p>
    <w:p>
      <w:pPr>
        <w:ind w:right="100"/>
        <w:spacing w:after="0" w:line="256" w:lineRule="auto"/>
        <w:rPr>
          <w:sz w:val="20"/>
          <w:szCs w:val="20"/>
          <w:color w:val="auto"/>
        </w:rPr>
      </w:pPr>
      <w:r>
        <w:rPr>
          <w:rFonts w:ascii="Times New Roman" w:cs="Times New Roman" w:eastAsia="Times New Roman" w:hAnsi="Times New Roman"/>
          <w:sz w:val="18"/>
          <w:szCs w:val="18"/>
          <w:color w:val="auto"/>
        </w:rPr>
        <w:t>The conversion rate will be adjusted for the events described below. However, the Company is not required to adjust the conversion rate for these events (other than a stock split or combination or a tender or exchange offer) if each preferred stockholder participates, at the same time and on the same terms as holders of Class A, and solely by virtue of being a holder of the Series A Strike Preferred, in such transaction or event without having to convert such preferred stockholder’s Series A Strike Preferred and as if such preferred stockholder held a number of shares of Class A equal to the product of (i) the conversion rate in effect on the related record date; and (ii) the total number of shares of Series A Strike Preferred held by such preferred stockholder on such record date.</w:t>
      </w:r>
    </w:p>
    <w:p>
      <w:pPr>
        <w:spacing w:after="0" w:line="50" w:lineRule="exact"/>
        <w:rPr>
          <w:sz w:val="20"/>
          <w:szCs w:val="20"/>
          <w:color w:val="auto"/>
        </w:rPr>
      </w:pPr>
    </w:p>
    <w:p>
      <w:pPr>
        <w:ind w:left="380" w:right="140" w:hanging="372"/>
        <w:spacing w:after="0" w:line="261" w:lineRule="auto"/>
        <w:tabs>
          <w:tab w:leader="none" w:pos="365" w:val="left"/>
        </w:tabs>
        <w:numPr>
          <w:ilvl w:val="0"/>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Stock Dividends, Splits and Combinations</w:t>
      </w:r>
      <w:r>
        <w:rPr>
          <w:rFonts w:ascii="Times New Roman" w:cs="Times New Roman" w:eastAsia="Times New Roman" w:hAnsi="Times New Roman"/>
          <w:sz w:val="18"/>
          <w:szCs w:val="18"/>
          <w:color w:val="auto"/>
        </w:rPr>
        <w:t>. If the Company issues solely shares of Class A as a dividend or distribution on all or substantially all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shares of Class A, or if the Company effects a stock split or a stock combination of the Class A (in each case excluding an issuance solely pursuant to a class A common stock change event, as to which the provisions described below under the caption “—Effect of Class A Common Stock Change Event” will apply), then the conversion rate will be adjusted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1177290</wp:posOffset>
            </wp:positionV>
            <wp:extent cx="7157720" cy="42545"/>
            <wp:wrapNone/>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68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00"/>
          </w:cols>
          <w:pgMar w:left="320" w:top="1404" w:right="479" w:bottom="1440" w:gutter="0" w:footer="0" w:header="0"/>
        </w:sectPr>
      </w:pPr>
    </w:p>
    <w:bookmarkStart w:id="141" w:name="page142"/>
    <w:bookmarkEnd w:id="141"/>
    <w:p>
      <w:pPr>
        <w:ind w:left="372"/>
        <w:spacing w:after="0"/>
        <w:rPr>
          <w:sz w:val="20"/>
          <w:szCs w:val="20"/>
          <w:color w:val="auto"/>
        </w:rPr>
      </w:pPr>
      <w:r>
        <w:rPr>
          <w:rFonts w:ascii="Times New Roman" w:cs="Times New Roman" w:eastAsia="Times New Roman" w:hAnsi="Times New Roman"/>
          <w:sz w:val="18"/>
          <w:szCs w:val="18"/>
          <w:color w:val="auto"/>
        </w:rPr>
        <w:t>where:</w:t>
      </w:r>
    </w:p>
    <w:p>
      <w:pPr>
        <w:sectPr>
          <w:pgSz w:w="11900" w:h="16838" w:orient="portrait"/>
          <w:cols w:equalWidth="0" w:num="1">
            <w:col w:w="11012"/>
          </w:cols>
          <w:pgMar w:left="328" w:top="1431" w:right="559" w:bottom="1440" w:gutter="0" w:footer="0" w:header="0"/>
        </w:sectPr>
      </w:pPr>
    </w:p>
    <w:p>
      <w:pPr>
        <w:spacing w:after="0" w:line="142" w:lineRule="exact"/>
        <w:rPr>
          <w:sz w:val="20"/>
          <w:szCs w:val="20"/>
          <w:color w:val="auto"/>
        </w:rPr>
      </w:pPr>
    </w:p>
    <w:p>
      <w:pPr>
        <w:ind w:left="372"/>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0</w:t>
      </w:r>
    </w:p>
    <w:p>
      <w:pPr>
        <w:spacing w:after="0" w:line="20" w:lineRule="exact"/>
        <w:rPr>
          <w:sz w:val="20"/>
          <w:szCs w:val="20"/>
          <w:color w:val="auto"/>
        </w:rPr>
      </w:pPr>
      <w:r>
        <w:rPr>
          <w:sz w:val="20"/>
          <w:szCs w:val="20"/>
          <w:color w:val="auto"/>
        </w:rPr>
        <w:br w:type="column"/>
      </w:r>
    </w:p>
    <w:p>
      <w:pPr>
        <w:spacing w:after="0" w:line="124" w:lineRule="exact"/>
        <w:rPr>
          <w:sz w:val="20"/>
          <w:szCs w:val="20"/>
          <w:color w:val="auto"/>
        </w:rPr>
      </w:pPr>
    </w:p>
    <w:p>
      <w:pPr>
        <w:ind w:right="100" w:hanging="1029"/>
        <w:spacing w:after="0" w:line="266"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conversion rate in effect immediately before the close of business on the “record date” (as defined below under the caption “— Definitions”) for such dividend or distribution, or immediately before the close of business on the effective date of such stock split or stock combination, as applicable;</w:t>
      </w:r>
    </w:p>
    <w:p>
      <w:pPr>
        <w:spacing w:after="0" w:line="93" w:lineRule="exact"/>
        <w:rPr>
          <w:sz w:val="20"/>
          <w:szCs w:val="20"/>
          <w:color w:val="auto"/>
        </w:rPr>
      </w:pPr>
    </w:p>
    <w:p>
      <w:pPr>
        <w:sectPr>
          <w:pgSz w:w="11900" w:h="16838" w:orient="portrait"/>
          <w:cols w:equalWidth="0" w:num="2">
            <w:col w:w="672" w:space="420"/>
            <w:col w:w="9920"/>
          </w:cols>
          <w:pgMar w:left="328" w:top="1431" w:right="559" w:bottom="1440" w:gutter="0" w:footer="0" w:header="0"/>
          <w:type w:val="continuous"/>
        </w:sectPr>
      </w:pPr>
    </w:p>
    <w:p>
      <w:pPr>
        <w:ind w:left="372"/>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1</w:t>
      </w:r>
    </w:p>
    <w:p>
      <w:pPr>
        <w:spacing w:after="0" w:line="20" w:lineRule="exact"/>
        <w:rPr>
          <w:sz w:val="20"/>
          <w:szCs w:val="20"/>
          <w:color w:val="auto"/>
        </w:rPr>
      </w:pPr>
      <w:r>
        <w:rPr>
          <w:sz w:val="20"/>
          <w:szCs w:val="20"/>
          <w:color w:val="auto"/>
        </w:rPr>
        <w:br w:type="column"/>
      </w:r>
    </w:p>
    <w:p>
      <w:pPr>
        <w:spacing w:after="0"/>
        <w:tabs>
          <w:tab w:leader="none" w:pos="240" w:val="left"/>
        </w:tabs>
        <w:rPr>
          <w:sz w:val="20"/>
          <w:szCs w:val="20"/>
          <w:color w:val="auto"/>
        </w:rPr>
      </w:pPr>
      <w:r>
        <w:rPr>
          <w:rFonts w:ascii="Times New Roman" w:cs="Times New Roman" w:eastAsia="Times New Roman" w:hAnsi="Times New Roman"/>
          <w:sz w:val="18"/>
          <w:szCs w:val="18"/>
          <w:color w:val="auto"/>
        </w:rPr>
        <w:t>=</w:t>
        <w:tab/>
        <w:t>the conversion rate in effect immediately after the close of business on such record date or effective date, as applicable;</w:t>
      </w:r>
    </w:p>
    <w:p>
      <w:pPr>
        <w:spacing w:after="0" w:line="142" w:lineRule="exact"/>
        <w:rPr>
          <w:sz w:val="20"/>
          <w:szCs w:val="20"/>
          <w:color w:val="auto"/>
        </w:rPr>
      </w:pPr>
    </w:p>
    <w:p>
      <w:pPr>
        <w:sectPr>
          <w:pgSz w:w="11900" w:h="16838" w:orient="portrait"/>
          <w:cols w:equalWidth="0" w:num="2">
            <w:col w:w="672" w:space="160"/>
            <w:col w:w="10180"/>
          </w:cols>
          <w:pgMar w:left="328" w:top="1431" w:right="559" w:bottom="1440" w:gutter="0" w:footer="0" w:header="0"/>
          <w:type w:val="continuous"/>
        </w:sectPr>
      </w:pPr>
    </w:p>
    <w:p>
      <w:pPr>
        <w:ind w:left="372"/>
        <w:spacing w:after="0"/>
        <w:rPr>
          <w:sz w:val="20"/>
          <w:szCs w:val="20"/>
          <w:color w:val="auto"/>
        </w:rPr>
      </w:pPr>
      <w:r>
        <w:rPr>
          <w:rFonts w:ascii="Times New Roman" w:cs="Times New Roman" w:eastAsia="Times New Roman" w:hAnsi="Times New Roman"/>
          <w:sz w:val="18"/>
          <w:szCs w:val="18"/>
          <w:i w:val="1"/>
          <w:iCs w:val="1"/>
          <w:color w:val="auto"/>
        </w:rPr>
        <w:t>OS</w:t>
      </w:r>
      <w:r>
        <w:rPr>
          <w:rFonts w:ascii="Times New Roman" w:cs="Times New Roman" w:eastAsia="Times New Roman" w:hAnsi="Times New Roman"/>
          <w:sz w:val="11"/>
          <w:szCs w:val="11"/>
          <w:i w:val="1"/>
          <w:iCs w:val="1"/>
          <w:color w:val="auto"/>
        </w:rPr>
        <w:t>0</w:t>
      </w:r>
    </w:p>
    <w:p>
      <w:pPr>
        <w:spacing w:after="0" w:line="20" w:lineRule="exact"/>
        <w:rPr>
          <w:sz w:val="20"/>
          <w:szCs w:val="20"/>
          <w:color w:val="auto"/>
        </w:rPr>
      </w:pPr>
      <w:r>
        <w:rPr>
          <w:sz w:val="20"/>
          <w:szCs w:val="20"/>
          <w:color w:val="auto"/>
        </w:rPr>
        <w:br w:type="column"/>
      </w:r>
    </w:p>
    <w:p>
      <w:pPr>
        <w:ind w:right="20" w:hanging="102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number of shares of Class A outstanding immediately before the close of business on such record date or effective date, as applicable, without giving effect to such dividend, distribution, stock split or stock combination; and</w:t>
      </w:r>
    </w:p>
    <w:p>
      <w:pPr>
        <w:spacing w:after="0" w:line="79" w:lineRule="exact"/>
        <w:rPr>
          <w:sz w:val="20"/>
          <w:szCs w:val="20"/>
          <w:color w:val="auto"/>
        </w:rPr>
      </w:pPr>
    </w:p>
    <w:p>
      <w:pPr>
        <w:sectPr>
          <w:pgSz w:w="11900" w:h="16838" w:orient="portrait"/>
          <w:cols w:equalWidth="0" w:num="2">
            <w:col w:w="652" w:space="440"/>
            <w:col w:w="9920"/>
          </w:cols>
          <w:pgMar w:left="328" w:top="1431" w:right="559" w:bottom="1440" w:gutter="0" w:footer="0" w:header="0"/>
          <w:type w:val="continuous"/>
        </w:sectPr>
      </w:pPr>
    </w:p>
    <w:p>
      <w:pPr>
        <w:ind w:left="372"/>
        <w:spacing w:after="0"/>
        <w:rPr>
          <w:sz w:val="20"/>
          <w:szCs w:val="20"/>
          <w:color w:val="auto"/>
        </w:rPr>
      </w:pPr>
      <w:r>
        <w:rPr>
          <w:rFonts w:ascii="Times New Roman" w:cs="Times New Roman" w:eastAsia="Times New Roman" w:hAnsi="Times New Roman"/>
          <w:sz w:val="18"/>
          <w:szCs w:val="18"/>
          <w:i w:val="1"/>
          <w:iCs w:val="1"/>
          <w:color w:val="auto"/>
        </w:rPr>
        <w:t>OS</w:t>
      </w:r>
      <w:r>
        <w:rPr>
          <w:rFonts w:ascii="Times New Roman" w:cs="Times New Roman" w:eastAsia="Times New Roman" w:hAnsi="Times New Roman"/>
          <w:sz w:val="11"/>
          <w:szCs w:val="11"/>
          <w:i w:val="1"/>
          <w:iCs w:val="1"/>
          <w:color w:val="auto"/>
        </w:rPr>
        <w:t>1</w:t>
      </w:r>
    </w:p>
    <w:p>
      <w:pPr>
        <w:spacing w:after="0" w:line="20" w:lineRule="exact"/>
        <w:rPr>
          <w:sz w:val="20"/>
          <w:szCs w:val="20"/>
          <w:color w:val="auto"/>
        </w:rPr>
      </w:pPr>
      <w:r>
        <w:rPr>
          <w:sz w:val="20"/>
          <w:szCs w:val="20"/>
          <w:color w:val="auto"/>
        </w:rPr>
        <w:br w:type="column"/>
      </w:r>
    </w:p>
    <w:p>
      <w:pPr>
        <w:ind w:right="840" w:hanging="102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number of shares of Class A outstanding immediately after giving effect to such dividend, distribution, stock split or stock combination.</w:t>
      </w:r>
    </w:p>
    <w:p>
      <w:pPr>
        <w:spacing w:after="0" w:line="67" w:lineRule="exact"/>
        <w:rPr>
          <w:sz w:val="20"/>
          <w:szCs w:val="20"/>
          <w:color w:val="auto"/>
        </w:rPr>
      </w:pPr>
    </w:p>
    <w:p>
      <w:pPr>
        <w:sectPr>
          <w:pgSz w:w="11900" w:h="16838" w:orient="portrait"/>
          <w:cols w:equalWidth="0" w:num="2">
            <w:col w:w="652" w:space="440"/>
            <w:col w:w="9920"/>
          </w:cols>
          <w:pgMar w:left="328" w:top="1431" w:right="559" w:bottom="1440" w:gutter="0" w:footer="0" w:header="0"/>
          <w:type w:val="continuous"/>
        </w:sectPr>
      </w:pPr>
    </w:p>
    <w:p>
      <w:pPr>
        <w:ind w:left="372" w:right="120"/>
        <w:spacing w:after="0" w:line="261" w:lineRule="auto"/>
        <w:rPr>
          <w:sz w:val="20"/>
          <w:szCs w:val="20"/>
          <w:color w:val="auto"/>
        </w:rPr>
      </w:pPr>
      <w:r>
        <w:rPr>
          <w:rFonts w:ascii="Times New Roman" w:cs="Times New Roman" w:eastAsia="Times New Roman" w:hAnsi="Times New Roman"/>
          <w:sz w:val="18"/>
          <w:szCs w:val="18"/>
          <w:color w:val="auto"/>
        </w:rPr>
        <w:t>If any dividend, distribution, stock split or stock combination of the type described in this paragraph (1) is declared or announced, but not so paid or made, then the conversion rate will be readjusted, effective as of the date the Board determines not to pay such dividend or distribution or to effect such stock split or stock combination, to the conversion rate that would then be in effect had such dividend, distribution, stock split or stock combination not been declared or announced.</w:t>
      </w:r>
    </w:p>
    <w:p>
      <w:pPr>
        <w:spacing w:after="0" w:line="43" w:lineRule="exact"/>
        <w:rPr>
          <w:sz w:val="20"/>
          <w:szCs w:val="20"/>
          <w:color w:val="auto"/>
        </w:rPr>
      </w:pPr>
    </w:p>
    <w:p>
      <w:pPr>
        <w:ind w:left="372" w:hanging="372"/>
        <w:spacing w:after="0" w:line="257" w:lineRule="auto"/>
        <w:tabs>
          <w:tab w:leader="none" w:pos="358" w:val="left"/>
        </w:tabs>
        <w:numPr>
          <w:ilvl w:val="0"/>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Rights, Options and Warrants</w:t>
      </w:r>
      <w:r>
        <w:rPr>
          <w:rFonts w:ascii="Times New Roman" w:cs="Times New Roman" w:eastAsia="Times New Roman" w:hAnsi="Times New Roman"/>
          <w:sz w:val="18"/>
          <w:szCs w:val="18"/>
          <w:color w:val="auto"/>
        </w:rPr>
        <w:t>. If the Company distributes, to all or substantially all holders of Class A, rights, options or warrants (other than rights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issued or otherwise distributed pursuant to a stockholder rights plan, as to which the provisions described below in paragraph (3)(a) and under the caption “—Stockholder Rights Plans” will apply) entitling such holders, for a period of not more than 60 calendar days after the record date of such distribution, to subscribe for or purchase shares of Class A at a price per share that is less than the average of the last reported sale prices per share of the Class A for the 10 consecutive trading days ending on, and including, the trading day immediately before the date such distribution is announced, then the conversion rate will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2700655</wp:posOffset>
            </wp:positionH>
            <wp:positionV relativeFrom="paragraph">
              <wp:posOffset>51435</wp:posOffset>
            </wp:positionV>
            <wp:extent cx="1628775" cy="514350"/>
            <wp:wrapNone/>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690">
                      <a:extLst>
                        <a:ext uri="{28A0092B-C50C-407E-A947-70E740481C1C}"/>
                      </a:extLst>
                    </a:blip>
                    <a:srcRect/>
                    <a:stretch>
                      <a:fillRect/>
                    </a:stretch>
                  </pic:blipFill>
                  <pic:spPr bwMode="auto">
                    <a:xfrm>
                      <a:off x="0" y="0"/>
                      <a:ext cx="1628775" cy="51435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80" w:lineRule="exact"/>
        <w:rPr>
          <w:sz w:val="20"/>
          <w:szCs w:val="20"/>
          <w:color w:val="auto"/>
        </w:rPr>
      </w:pPr>
    </w:p>
    <w:tbl>
      <w:tblPr>
        <w:tblLayout w:type="fixed"/>
        <w:tblInd w:w="372" w:type="dxa"/>
        <w:tblCellMar>
          <w:top w:w="0" w:type="dxa"/>
          <w:left w:w="0" w:type="dxa"/>
          <w:bottom w:w="0" w:type="dxa"/>
          <w:right w:w="0" w:type="dxa"/>
        </w:tblCellMar>
      </w:tblPr>
      <w:tr>
        <w:trPr>
          <w:trHeight w:val="234"/>
        </w:trPr>
        <w:tc>
          <w:tcPr>
            <w:tcW w:w="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7760" w:type="dxa"/>
            <w:vAlign w:val="bottom"/>
          </w:tcPr>
          <w:p>
            <w:pPr>
              <w:spacing w:after="0"/>
              <w:rPr>
                <w:sz w:val="20"/>
                <w:szCs w:val="20"/>
                <w:color w:val="auto"/>
              </w:rPr>
            </w:pPr>
          </w:p>
        </w:tc>
      </w:tr>
      <w:tr>
        <w:trPr>
          <w:trHeight w:val="351"/>
        </w:trPr>
        <w:tc>
          <w:tcPr>
            <w:tcW w:w="38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0</w:t>
            </w: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7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the conversion rate in effect immediately before the close of business on such record date;</w:t>
            </w:r>
          </w:p>
        </w:tc>
      </w:tr>
      <w:tr>
        <w:trPr>
          <w:trHeight w:val="351"/>
        </w:trPr>
        <w:tc>
          <w:tcPr>
            <w:tcW w:w="38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1</w:t>
            </w: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7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the conversion rate in effect immediately after the close of business on such record date;</w:t>
            </w:r>
          </w:p>
        </w:tc>
      </w:tr>
      <w:tr>
        <w:trPr>
          <w:trHeight w:val="351"/>
        </w:trPr>
        <w:tc>
          <w:tcPr>
            <w:tcW w:w="38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OS</w:t>
            </w: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760" w:type="dxa"/>
            <w:vAlign w:val="bottom"/>
          </w:tcPr>
          <w:p>
            <w:pPr>
              <w:ind w:left="80"/>
              <w:spacing w:after="0"/>
              <w:rPr>
                <w:sz w:val="20"/>
                <w:szCs w:val="20"/>
                <w:color w:val="auto"/>
              </w:rPr>
            </w:pPr>
            <w:r>
              <w:rPr>
                <w:rFonts w:ascii="Times New Roman" w:cs="Times New Roman" w:eastAsia="Times New Roman" w:hAnsi="Times New Roman"/>
                <w:sz w:val="18"/>
                <w:szCs w:val="18"/>
                <w:color w:val="auto"/>
                <w:w w:val="99"/>
              </w:rPr>
              <w:t>the number of shares of Class A outstanding immediately before the close of business on such record date;</w:t>
            </w:r>
          </w:p>
        </w:tc>
      </w:tr>
    </w:tbl>
    <w:p>
      <w:pPr>
        <w:spacing w:after="0" w:line="117" w:lineRule="exact"/>
        <w:rPr>
          <w:sz w:val="20"/>
          <w:szCs w:val="20"/>
          <w:color w:val="auto"/>
        </w:rPr>
      </w:pPr>
    </w:p>
    <w:p>
      <w:pPr>
        <w:ind w:left="612" w:hanging="238"/>
        <w:spacing w:after="0"/>
        <w:tabs>
          <w:tab w:leader="none" w:pos="612" w:val="left"/>
        </w:tabs>
        <w:numPr>
          <w:ilvl w:val="0"/>
          <w:numId w:val="78"/>
        </w:numPr>
        <w:rPr>
          <w:rFonts w:ascii="Times New Roman" w:cs="Times New Roman" w:eastAsia="Times New Roman" w:hAnsi="Times New Roman"/>
          <w:sz w:val="18"/>
          <w:szCs w:val="18"/>
          <w:i w:val="1"/>
          <w:iCs w:val="1"/>
          <w:color w:val="auto"/>
        </w:rPr>
      </w:pPr>
      <w:r>
        <w:rPr>
          <w:rFonts w:ascii="Times New Roman" w:cs="Times New Roman" w:eastAsia="Times New Roman" w:hAnsi="Times New Roman"/>
          <w:sz w:val="18"/>
          <w:szCs w:val="18"/>
          <w:color w:val="auto"/>
        </w:rPr>
        <w:t>= the total number of shares of Class A issuable pursuant to such rights, options or warrants; and</w:t>
      </w:r>
    </w:p>
    <w:p>
      <w:pPr>
        <w:spacing w:after="0" w:line="27" w:lineRule="exact"/>
        <w:rPr>
          <w:sz w:val="20"/>
          <w:szCs w:val="20"/>
          <w:color w:val="auto"/>
        </w:rPr>
      </w:pPr>
    </w:p>
    <w:p>
      <w:pPr>
        <w:ind w:left="1872" w:right="160" w:hanging="1498"/>
        <w:spacing w:after="0" w:line="255" w:lineRule="auto"/>
        <w:tabs>
          <w:tab w:leader="none" w:pos="608" w:val="left"/>
        </w:tabs>
        <w:numPr>
          <w:ilvl w:val="0"/>
          <w:numId w:val="79"/>
        </w:numPr>
        <w:rPr>
          <w:rFonts w:ascii="Times New Roman" w:cs="Times New Roman" w:eastAsia="Times New Roman" w:hAnsi="Times New Roman"/>
          <w:sz w:val="18"/>
          <w:szCs w:val="18"/>
          <w:i w:val="1"/>
          <w:iCs w:val="1"/>
          <w:color w:val="auto"/>
        </w:rPr>
      </w:pPr>
      <w:r>
        <w:rPr>
          <w:rFonts w:ascii="Times New Roman" w:cs="Times New Roman" w:eastAsia="Times New Roman" w:hAnsi="Times New Roman"/>
          <w:sz w:val="18"/>
          <w:szCs w:val="18"/>
          <w:color w:val="auto"/>
        </w:rPr>
        <w:t>= a number of shares of Class A obtained by dividing (x) the aggregate price payable to exercise such rights, options or warrants by (y) the average of the last reported sale prices per share of the Class A for the 10 consecutive trading days ending on, and including, the trading day immediately before the date such distribution is announced.</w:t>
      </w:r>
    </w:p>
    <w:p>
      <w:pPr>
        <w:spacing w:after="0" w:line="78" w:lineRule="exact"/>
        <w:rPr>
          <w:sz w:val="20"/>
          <w:szCs w:val="20"/>
          <w:color w:val="auto"/>
        </w:rPr>
      </w:pPr>
    </w:p>
    <w:p>
      <w:pPr>
        <w:ind w:left="372" w:right="60"/>
        <w:spacing w:after="0" w:line="258" w:lineRule="auto"/>
        <w:rPr>
          <w:sz w:val="20"/>
          <w:szCs w:val="20"/>
          <w:color w:val="auto"/>
        </w:rPr>
      </w:pPr>
      <w:r>
        <w:rPr>
          <w:rFonts w:ascii="Times New Roman" w:cs="Times New Roman" w:eastAsia="Times New Roman" w:hAnsi="Times New Roman"/>
          <w:sz w:val="18"/>
          <w:szCs w:val="18"/>
          <w:color w:val="auto"/>
        </w:rPr>
        <w:t>To the extent such rights, options or warrants are not so distributed, the conversion rate will be readjusted to the conversion rate that would then be in effect had the increase to the conversion rate for such distribution been made on the basis of only the rights, options or warrants, if any, actually distributed. In addition, to the extent that shares of Class A are not delivered after the expiration of such rights, options or warrants (including as a result of such rights, options or warrants not being exercised), the conversion rate will be readjusted to the conversion rate that would then be in effect had the increase to the conversion rate for such</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-12065</wp:posOffset>
            </wp:positionH>
            <wp:positionV relativeFrom="paragraph">
              <wp:posOffset>981075</wp:posOffset>
            </wp:positionV>
            <wp:extent cx="7157720" cy="42545"/>
            <wp:wrapNone/>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69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012"/>
          </w:cols>
          <w:pgMar w:left="328" w:top="1431" w:right="559" w:bottom="1440" w:gutter="0" w:footer="0" w:header="0"/>
          <w:type w:val="continuous"/>
        </w:sectPr>
      </w:pPr>
    </w:p>
    <w:bookmarkStart w:id="142" w:name="page143"/>
    <w:bookmarkEnd w:id="142"/>
    <w:p>
      <w:pPr>
        <w:ind w:left="372" w:right="160"/>
        <w:spacing w:after="0" w:line="282" w:lineRule="auto"/>
        <w:rPr>
          <w:sz w:val="20"/>
          <w:szCs w:val="20"/>
          <w:color w:val="auto"/>
        </w:rPr>
      </w:pPr>
      <w:r>
        <w:rPr>
          <w:rFonts w:ascii="Times New Roman" w:cs="Times New Roman" w:eastAsia="Times New Roman" w:hAnsi="Times New Roman"/>
          <w:sz w:val="18"/>
          <w:szCs w:val="18"/>
          <w:color w:val="auto"/>
        </w:rPr>
        <w:t>distribution been made on the basis of delivery of only the number of shares of Class A actually delivered upon exercise of such rights, options or warrants.</w:t>
      </w:r>
    </w:p>
    <w:p>
      <w:pPr>
        <w:spacing w:after="0" w:line="162" w:lineRule="exact"/>
        <w:rPr>
          <w:sz w:val="20"/>
          <w:szCs w:val="20"/>
          <w:color w:val="auto"/>
        </w:rPr>
      </w:pPr>
    </w:p>
    <w:p>
      <w:pPr>
        <w:ind w:left="372" w:right="280"/>
        <w:spacing w:after="0" w:line="256" w:lineRule="auto"/>
        <w:rPr>
          <w:sz w:val="20"/>
          <w:szCs w:val="20"/>
          <w:color w:val="auto"/>
        </w:rPr>
      </w:pPr>
      <w:r>
        <w:rPr>
          <w:rFonts w:ascii="Times New Roman" w:cs="Times New Roman" w:eastAsia="Times New Roman" w:hAnsi="Times New Roman"/>
          <w:sz w:val="18"/>
          <w:szCs w:val="18"/>
          <w:color w:val="auto"/>
        </w:rPr>
        <w:t>For purposes of this paragraph (2), in determining whether any rights, options or warrants entitle holders of Class A to subscribe for or purchase shares of Class A at a price per share that is less than the average of the last reported sale prices per share of the Class A for the 10 consecutive trading days ending on, and including, the trading day immediately before the date the distribution of such rights, options or warrants is announced, and in determining the aggregate price payable to exercise such rights, options or warrants, there will be taken into account any consideration the Company receives for such rights, options or warrants and any amount payable on exercise thereof, with the value of such consideration, if not cash, to be determined by the Company in good faith and in a commercially reasonable manner.</w:t>
      </w:r>
    </w:p>
    <w:p>
      <w:pPr>
        <w:spacing w:after="0" w:line="64" w:lineRule="exact"/>
        <w:rPr>
          <w:sz w:val="20"/>
          <w:szCs w:val="20"/>
          <w:color w:val="auto"/>
        </w:rPr>
      </w:pPr>
    </w:p>
    <w:p>
      <w:pPr>
        <w:ind w:left="352" w:hanging="352"/>
        <w:spacing w:after="0"/>
        <w:tabs>
          <w:tab w:leader="none" w:pos="352" w:val="left"/>
        </w:tabs>
        <w:numPr>
          <w:ilvl w:val="0"/>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Spin-Offs and Other Distributed Property</w:t>
      </w:r>
      <w:r>
        <w:rPr>
          <w:rFonts w:ascii="Times New Roman" w:cs="Times New Roman" w:eastAsia="Times New Roman" w:hAnsi="Times New Roman"/>
          <w:sz w:val="18"/>
          <w:szCs w:val="18"/>
          <w:color w:val="auto"/>
        </w:rPr>
        <w:t>.</w:t>
      </w:r>
    </w:p>
    <w:p>
      <w:pPr>
        <w:spacing w:after="0" w:line="90" w:lineRule="exact"/>
        <w:rPr>
          <w:rFonts w:ascii="Times New Roman" w:cs="Times New Roman" w:eastAsia="Times New Roman" w:hAnsi="Times New Roman"/>
          <w:sz w:val="18"/>
          <w:szCs w:val="18"/>
          <w:color w:val="auto"/>
        </w:rPr>
      </w:pPr>
    </w:p>
    <w:p>
      <w:pPr>
        <w:jc w:val="both"/>
        <w:ind w:left="752" w:right="820" w:hanging="365"/>
        <w:spacing w:after="0" w:line="258" w:lineRule="auto"/>
        <w:tabs>
          <w:tab w:leader="none" w:pos="751" w:val="left"/>
        </w:tabs>
        <w:numPr>
          <w:ilvl w:val="1"/>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Distributions Other than Spin-Offs</w:t>
      </w:r>
      <w:r>
        <w:rPr>
          <w:rFonts w:ascii="Times New Roman" w:cs="Times New Roman" w:eastAsia="Times New Roman" w:hAnsi="Times New Roman"/>
          <w:sz w:val="18"/>
          <w:szCs w:val="18"/>
          <w:color w:val="auto"/>
        </w:rPr>
        <w:t>. If the Company distributes shares of its “capital stock” (as defined below under the caption “—</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Definitions”), evidences of its indebtedness or other assets or property of the Company, or rights, options or warrants to acquire the Company’s capital stock or other securities, to all or substantially all holders of the Class A, excluding:</w:t>
      </w:r>
    </w:p>
    <w:p>
      <w:pPr>
        <w:ind w:left="1312" w:right="20" w:hanging="174"/>
        <w:spacing w:after="0" w:line="250" w:lineRule="auto"/>
        <w:tabs>
          <w:tab w:leader="none" w:pos="1312" w:val="left"/>
        </w:tabs>
        <w:numPr>
          <w:ilvl w:val="2"/>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dividends, distributions, rights, options or warrants for which an adjustment to the conversion rate is required (or would be required without regard to the “deferral exception” (as defined below under the caption “—The Deferral Exception”)) pursuant to paragraph (1) or (2) above;</w:t>
      </w:r>
    </w:p>
    <w:p>
      <w:pPr>
        <w:spacing w:after="0" w:line="1" w:lineRule="exact"/>
        <w:rPr>
          <w:rFonts w:ascii="Times New Roman" w:cs="Times New Roman" w:eastAsia="Times New Roman" w:hAnsi="Times New Roman"/>
          <w:sz w:val="18"/>
          <w:szCs w:val="18"/>
          <w:color w:val="auto"/>
        </w:rPr>
      </w:pPr>
    </w:p>
    <w:p>
      <w:pPr>
        <w:ind w:left="1312" w:hanging="174"/>
        <w:spacing w:after="0" w:line="250" w:lineRule="auto"/>
        <w:tabs>
          <w:tab w:leader="none" w:pos="1312" w:val="left"/>
        </w:tabs>
        <w:numPr>
          <w:ilvl w:val="2"/>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dividends or distributions paid exclusively in cash for which an adjustment to the conversion rate is required (or would be required without regard to the deferral exception) pursuant to paragraph (4) below;</w:t>
      </w:r>
    </w:p>
    <w:p>
      <w:pPr>
        <w:ind w:left="1312" w:right="440" w:hanging="174"/>
        <w:spacing w:after="0" w:line="250" w:lineRule="auto"/>
        <w:tabs>
          <w:tab w:leader="none" w:pos="1312" w:val="left"/>
        </w:tabs>
        <w:numPr>
          <w:ilvl w:val="2"/>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rights issued or otherwise distributed pursuant to a stockholder rights plan, except to the extent provided below under the caption “—Stockholder Rights Plans;”</w:t>
      </w:r>
    </w:p>
    <w:p>
      <w:pPr>
        <w:ind w:left="1312" w:right="320" w:hanging="174"/>
        <w:spacing w:after="0" w:line="250" w:lineRule="auto"/>
        <w:tabs>
          <w:tab w:leader="none" w:pos="1312" w:val="left"/>
        </w:tabs>
        <w:numPr>
          <w:ilvl w:val="2"/>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spin-offs for which an adjustment to the conversion rate is required (or would be required without regard to the deferral exception) pursuant to paragraph (3)(b) below;</w:t>
      </w:r>
    </w:p>
    <w:p>
      <w:pPr>
        <w:ind w:left="1312" w:right="180" w:hanging="174"/>
        <w:spacing w:after="0" w:line="250" w:lineRule="auto"/>
        <w:tabs>
          <w:tab w:leader="none" w:pos="1312" w:val="left"/>
        </w:tabs>
        <w:numPr>
          <w:ilvl w:val="2"/>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distribution solely pursuant to a tender offer or exchange offer for shares of Class A, as to which the provisions described below in paragraph (5) will apply; and</w:t>
      </w:r>
    </w:p>
    <w:p>
      <w:pPr>
        <w:ind w:left="1312" w:right="180" w:hanging="174"/>
        <w:spacing w:after="0" w:line="260" w:lineRule="auto"/>
        <w:tabs>
          <w:tab w:leader="none" w:pos="1312" w:val="left"/>
        </w:tabs>
        <w:numPr>
          <w:ilvl w:val="2"/>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distribution solely pursuant to a class A common stock change event, as to which the provisions described below under the caption “—Effect of Class A Common Stock Change Event” will apply,</w:t>
      </w:r>
    </w:p>
    <w:p>
      <w:pPr>
        <w:spacing w:after="0" w:line="100" w:lineRule="exact"/>
        <w:rPr>
          <w:sz w:val="20"/>
          <w:szCs w:val="20"/>
          <w:color w:val="auto"/>
        </w:rPr>
      </w:pPr>
    </w:p>
    <w:p>
      <w:pPr>
        <w:ind w:left="752"/>
        <w:spacing w:after="0"/>
        <w:rPr>
          <w:sz w:val="20"/>
          <w:szCs w:val="20"/>
          <w:color w:val="auto"/>
        </w:rPr>
      </w:pPr>
      <w:r>
        <w:rPr>
          <w:rFonts w:ascii="Times New Roman" w:cs="Times New Roman" w:eastAsia="Times New Roman" w:hAnsi="Times New Roman"/>
          <w:sz w:val="18"/>
          <w:szCs w:val="18"/>
          <w:color w:val="auto"/>
        </w:rPr>
        <w:t>then the conversion rate will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2554605</wp:posOffset>
            </wp:positionH>
            <wp:positionV relativeFrom="paragraph">
              <wp:posOffset>77470</wp:posOffset>
            </wp:positionV>
            <wp:extent cx="1920240" cy="531495"/>
            <wp:wrapNone/>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692">
                      <a:extLst>
                        <a:ext uri="{28A0092B-C50C-407E-A947-70E740481C1C}"/>
                      </a:extLst>
                    </a:blip>
                    <a:srcRect/>
                    <a:stretch>
                      <a:fillRect/>
                    </a:stretch>
                  </pic:blipFill>
                  <pic:spPr bwMode="auto">
                    <a:xfrm>
                      <a:off x="0" y="0"/>
                      <a:ext cx="1920240" cy="53149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8" w:lineRule="exact"/>
        <w:rPr>
          <w:sz w:val="20"/>
          <w:szCs w:val="20"/>
          <w:color w:val="auto"/>
        </w:rPr>
      </w:pPr>
    </w:p>
    <w:p>
      <w:pPr>
        <w:ind w:left="752"/>
        <w:spacing w:after="0"/>
        <w:rPr>
          <w:sz w:val="20"/>
          <w:szCs w:val="20"/>
          <w:color w:val="auto"/>
        </w:rPr>
      </w:pPr>
      <w:r>
        <w:rPr>
          <w:rFonts w:ascii="Times New Roman" w:cs="Times New Roman" w:eastAsia="Times New Roman" w:hAnsi="Times New Roman"/>
          <w:sz w:val="18"/>
          <w:szCs w:val="18"/>
          <w:color w:val="auto"/>
        </w:rPr>
        <w:t>where:</w:t>
      </w:r>
    </w:p>
    <w:p>
      <w:pPr>
        <w:sectPr>
          <w:pgSz w:w="11900" w:h="16838" w:orient="portrait"/>
          <w:cols w:equalWidth="0" w:num="1">
            <w:col w:w="11032"/>
          </w:cols>
          <w:pgMar w:left="328" w:top="1404" w:right="539" w:bottom="1440" w:gutter="0" w:footer="0" w:header="0"/>
        </w:sectPr>
      </w:pPr>
    </w:p>
    <w:p>
      <w:pPr>
        <w:spacing w:after="0" w:line="142" w:lineRule="exact"/>
        <w:rPr>
          <w:sz w:val="20"/>
          <w:szCs w:val="20"/>
          <w:color w:val="auto"/>
        </w:rPr>
      </w:pPr>
    </w:p>
    <w:p>
      <w:pPr>
        <w:ind w:left="752"/>
        <w:spacing w:after="0"/>
        <w:rPr>
          <w:sz w:val="20"/>
          <w:szCs w:val="20"/>
          <w:color w:val="auto"/>
        </w:rPr>
      </w:pPr>
      <w:r>
        <w:rPr>
          <w:rFonts w:ascii="Times New Roman" w:cs="Times New Roman" w:eastAsia="Times New Roman" w:hAnsi="Times New Roman"/>
          <w:sz w:val="17"/>
          <w:szCs w:val="17"/>
          <w:i w:val="1"/>
          <w:iCs w:val="1"/>
          <w:color w:val="auto"/>
        </w:rPr>
        <w:t>CR</w:t>
      </w:r>
      <w:r>
        <w:rPr>
          <w:rFonts w:ascii="Times New Roman" w:cs="Times New Roman" w:eastAsia="Times New Roman" w:hAnsi="Times New Roman"/>
          <w:sz w:val="10"/>
          <w:szCs w:val="10"/>
          <w:i w:val="1"/>
          <w:iCs w:val="1"/>
          <w:color w:val="auto"/>
        </w:rPr>
        <w:t>0</w:t>
      </w:r>
    </w:p>
    <w:p>
      <w:pPr>
        <w:spacing w:after="0" w:line="20" w:lineRule="exact"/>
        <w:rPr>
          <w:sz w:val="20"/>
          <w:szCs w:val="20"/>
          <w:color w:val="auto"/>
        </w:rPr>
      </w:pPr>
      <w:r>
        <w:rPr>
          <w:sz w:val="20"/>
          <w:szCs w:val="20"/>
          <w:color w:val="auto"/>
        </w:rPr>
        <w:br w:type="column"/>
      </w:r>
    </w:p>
    <w:p>
      <w:pPr>
        <w:spacing w:after="0" w:line="124" w:lineRule="exact"/>
        <w:rPr>
          <w:sz w:val="20"/>
          <w:szCs w:val="20"/>
          <w:color w:val="auto"/>
        </w:rPr>
      </w:pPr>
    </w:p>
    <w:p>
      <w:pPr>
        <w:spacing w:after="0"/>
        <w:tabs>
          <w:tab w:leader="none" w:pos="240" w:val="left"/>
        </w:tabs>
        <w:rPr>
          <w:sz w:val="20"/>
          <w:szCs w:val="20"/>
          <w:color w:val="auto"/>
        </w:rPr>
      </w:pPr>
      <w:r>
        <w:rPr>
          <w:rFonts w:ascii="Times New Roman" w:cs="Times New Roman" w:eastAsia="Times New Roman" w:hAnsi="Times New Roman"/>
          <w:sz w:val="18"/>
          <w:szCs w:val="18"/>
          <w:color w:val="auto"/>
        </w:rPr>
        <w:t>=</w:t>
      </w:r>
      <w:r>
        <w:rPr>
          <w:sz w:val="20"/>
          <w:szCs w:val="20"/>
          <w:color w:val="auto"/>
        </w:rPr>
        <w:tab/>
      </w:r>
      <w:r>
        <w:rPr>
          <w:rFonts w:ascii="Times New Roman" w:cs="Times New Roman" w:eastAsia="Times New Roman" w:hAnsi="Times New Roman"/>
          <w:sz w:val="17"/>
          <w:szCs w:val="17"/>
          <w:color w:val="auto"/>
        </w:rPr>
        <w:t>the conversion rate in effect immediately before the close of business on the record date for such distribution;</w:t>
      </w:r>
    </w:p>
    <w:p>
      <w:pPr>
        <w:spacing w:after="0" w:line="142" w:lineRule="exact"/>
        <w:rPr>
          <w:sz w:val="20"/>
          <w:szCs w:val="20"/>
          <w:color w:val="auto"/>
        </w:rPr>
      </w:pPr>
    </w:p>
    <w:p>
      <w:pPr>
        <w:sectPr>
          <w:pgSz w:w="11900" w:h="16838" w:orient="portrait"/>
          <w:cols w:equalWidth="0" w:num="2">
            <w:col w:w="1032" w:space="180"/>
            <w:col w:w="9820"/>
          </w:cols>
          <w:pgMar w:left="328" w:top="1404" w:right="539" w:bottom="1440" w:gutter="0" w:footer="0" w:header="0"/>
          <w:type w:val="continuous"/>
        </w:sectPr>
      </w:pPr>
    </w:p>
    <w:p>
      <w:pPr>
        <w:ind w:left="752"/>
        <w:spacing w:after="0"/>
        <w:rPr>
          <w:sz w:val="20"/>
          <w:szCs w:val="20"/>
          <w:color w:val="auto"/>
        </w:rPr>
      </w:pPr>
      <w:r>
        <w:rPr>
          <w:rFonts w:ascii="Times New Roman" w:cs="Times New Roman" w:eastAsia="Times New Roman" w:hAnsi="Times New Roman"/>
          <w:sz w:val="17"/>
          <w:szCs w:val="17"/>
          <w:i w:val="1"/>
          <w:iCs w:val="1"/>
          <w:color w:val="auto"/>
        </w:rPr>
        <w:t>CR</w:t>
      </w:r>
      <w:r>
        <w:rPr>
          <w:rFonts w:ascii="Times New Roman" w:cs="Times New Roman" w:eastAsia="Times New Roman" w:hAnsi="Times New Roman"/>
          <w:sz w:val="10"/>
          <w:szCs w:val="10"/>
          <w:i w:val="1"/>
          <w:iCs w:val="1"/>
          <w:color w:val="auto"/>
        </w:rPr>
        <w:t>1</w:t>
      </w:r>
    </w:p>
    <w:p>
      <w:pPr>
        <w:spacing w:after="0" w:line="20" w:lineRule="exact"/>
        <w:rPr>
          <w:sz w:val="20"/>
          <w:szCs w:val="20"/>
          <w:color w:val="auto"/>
        </w:rPr>
      </w:pPr>
      <w:r>
        <w:rPr>
          <w:sz w:val="20"/>
          <w:szCs w:val="20"/>
          <w:color w:val="auto"/>
        </w:rPr>
        <w:br w:type="column"/>
      </w:r>
    </w:p>
    <w:p>
      <w:pPr>
        <w:spacing w:after="0"/>
        <w:tabs>
          <w:tab w:leader="none" w:pos="240" w:val="left"/>
        </w:tabs>
        <w:rPr>
          <w:sz w:val="20"/>
          <w:szCs w:val="20"/>
          <w:color w:val="auto"/>
        </w:rPr>
      </w:pPr>
      <w:r>
        <w:rPr>
          <w:rFonts w:ascii="Times New Roman" w:cs="Times New Roman" w:eastAsia="Times New Roman" w:hAnsi="Times New Roman"/>
          <w:sz w:val="18"/>
          <w:szCs w:val="18"/>
          <w:color w:val="auto"/>
        </w:rPr>
        <w:t>=</w:t>
        <w:tab/>
        <w:t>the conversion rate in effect immediately after the close of business on such record date;</w:t>
      </w:r>
    </w:p>
    <w:p>
      <w:pPr>
        <w:spacing w:after="0" w:line="142" w:lineRule="exact"/>
        <w:rPr>
          <w:sz w:val="20"/>
          <w:szCs w:val="20"/>
          <w:color w:val="auto"/>
        </w:rPr>
      </w:pPr>
    </w:p>
    <w:p>
      <w:pPr>
        <w:sectPr>
          <w:pgSz w:w="11900" w:h="16838" w:orient="portrait"/>
          <w:cols w:equalWidth="0" w:num="2">
            <w:col w:w="1032" w:space="180"/>
            <w:col w:w="9820"/>
          </w:cols>
          <w:pgMar w:left="328" w:top="1404" w:right="539" w:bottom="1440" w:gutter="0" w:footer="0" w:header="0"/>
          <w:type w:val="continuous"/>
        </w:sectPr>
      </w:pPr>
    </w:p>
    <w:p>
      <w:pPr>
        <w:ind w:left="1872" w:right="420" w:hanging="1122"/>
        <w:spacing w:after="0" w:line="267" w:lineRule="auto"/>
        <w:rPr>
          <w:sz w:val="20"/>
          <w:szCs w:val="20"/>
          <w:color w:val="auto"/>
        </w:rPr>
      </w:pPr>
      <w:r>
        <w:rPr>
          <w:rFonts w:ascii="Times New Roman" w:cs="Times New Roman" w:eastAsia="Times New Roman" w:hAnsi="Times New Roman"/>
          <w:sz w:val="18"/>
          <w:szCs w:val="18"/>
          <w:i w:val="1"/>
          <w:iCs w:val="1"/>
          <w:color w:val="auto"/>
        </w:rPr>
        <w:t xml:space="preserve">SP </w:t>
      </w:r>
      <w:r>
        <w:rPr>
          <w:rFonts w:ascii="Times New Roman" w:cs="Times New Roman" w:eastAsia="Times New Roman" w:hAnsi="Times New Roman"/>
          <w:sz w:val="18"/>
          <w:szCs w:val="18"/>
          <w:color w:val="auto"/>
        </w:rPr>
        <w:t>= the average of the last reported sale prices per share of the Class A for the 10 consecutive trading days ending on, and including,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trading day immediately before the “ex-dividend date” (as defined below under the caption “—Definitions”) for such distribution; and</w:t>
      </w:r>
    </w:p>
    <w:p>
      <w:pPr>
        <w:spacing w:after="0" w:line="92" w:lineRule="exact"/>
        <w:rPr>
          <w:sz w:val="20"/>
          <w:szCs w:val="20"/>
          <w:color w:val="auto"/>
        </w:rPr>
      </w:pPr>
    </w:p>
    <w:p>
      <w:pPr>
        <w:ind w:left="1472" w:right="340" w:hanging="1122"/>
        <w:spacing w:after="0" w:line="266" w:lineRule="auto"/>
        <w:tabs>
          <w:tab w:leader="none" w:pos="1452" w:val="left"/>
        </w:tabs>
        <w:rPr>
          <w:sz w:val="20"/>
          <w:szCs w:val="20"/>
          <w:color w:val="auto"/>
        </w:rPr>
      </w:pPr>
      <w:r>
        <w:rPr>
          <w:rFonts w:ascii="Times New Roman" w:cs="Times New Roman" w:eastAsia="Times New Roman" w:hAnsi="Times New Roman"/>
          <w:sz w:val="18"/>
          <w:szCs w:val="18"/>
          <w:i w:val="1"/>
          <w:iCs w:val="1"/>
          <w:color w:val="auto"/>
        </w:rPr>
        <w:t xml:space="preserve">FMV </w:t>
      </w:r>
      <w:r>
        <w:rPr>
          <w:rFonts w:ascii="Times New Roman" w:cs="Times New Roman" w:eastAsia="Times New Roman" w:hAnsi="Times New Roman"/>
          <w:sz w:val="18"/>
          <w:szCs w:val="18"/>
          <w:color w:val="auto"/>
        </w:rPr>
        <w:t>=</w:t>
      </w:r>
      <w:r>
        <w:rPr>
          <w:sz w:val="20"/>
          <w:szCs w:val="20"/>
          <w:color w:val="auto"/>
        </w:rPr>
        <w:tab/>
      </w:r>
      <w:r>
        <w:rPr>
          <w:rFonts w:ascii="Times New Roman" w:cs="Times New Roman" w:eastAsia="Times New Roman" w:hAnsi="Times New Roman"/>
          <w:sz w:val="18"/>
          <w:szCs w:val="18"/>
          <w:color w:val="auto"/>
        </w:rPr>
        <w:t>the fair market value (as determined by the Company in good faith and in a commercially reasonable manner), as of such record date, of the shares of capital stock, evidences of indebtedness, assets, property, rights, options or warrants distributed per share of Class A pursuant to such distribution.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-12065</wp:posOffset>
            </wp:positionH>
            <wp:positionV relativeFrom="paragraph">
              <wp:posOffset>1115060</wp:posOffset>
            </wp:positionV>
            <wp:extent cx="7157720" cy="42545"/>
            <wp:wrapNone/>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69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032"/>
          </w:cols>
          <w:pgMar w:left="328" w:top="1404" w:right="539" w:bottom="1440" w:gutter="0" w:footer="0" w:header="0"/>
          <w:type w:val="continuous"/>
        </w:sectPr>
      </w:pPr>
    </w:p>
    <w:bookmarkStart w:id="143" w:name="page144"/>
    <w:bookmarkEnd w:id="143"/>
    <w:p>
      <w:pPr>
        <w:ind w:left="365" w:right="40"/>
        <w:spacing w:after="0" w:line="257" w:lineRule="auto"/>
        <w:rPr>
          <w:sz w:val="20"/>
          <w:szCs w:val="20"/>
          <w:color w:val="auto"/>
        </w:rPr>
      </w:pPr>
      <w:r>
        <w:rPr>
          <w:rFonts w:ascii="Times New Roman" w:cs="Times New Roman" w:eastAsia="Times New Roman" w:hAnsi="Times New Roman"/>
          <w:sz w:val="18"/>
          <w:szCs w:val="18"/>
          <w:color w:val="auto"/>
        </w:rPr>
        <w:t xml:space="preserve">However, if </w:t>
      </w:r>
      <w:r>
        <w:rPr>
          <w:rFonts w:ascii="Times New Roman" w:cs="Times New Roman" w:eastAsia="Times New Roman" w:hAnsi="Times New Roman"/>
          <w:sz w:val="18"/>
          <w:szCs w:val="18"/>
          <w:i w:val="1"/>
          <w:iCs w:val="1"/>
          <w:color w:val="auto"/>
        </w:rPr>
        <w:t>FMV</w:t>
      </w:r>
      <w:r>
        <w:rPr>
          <w:rFonts w:ascii="Times New Roman" w:cs="Times New Roman" w:eastAsia="Times New Roman" w:hAnsi="Times New Roman"/>
          <w:sz w:val="18"/>
          <w:szCs w:val="18"/>
          <w:color w:val="auto"/>
        </w:rPr>
        <w:t xml:space="preserve"> is equal to or greater than </w:t>
      </w:r>
      <w:r>
        <w:rPr>
          <w:rFonts w:ascii="Times New Roman" w:cs="Times New Roman" w:eastAsia="Times New Roman" w:hAnsi="Times New Roman"/>
          <w:sz w:val="18"/>
          <w:szCs w:val="18"/>
          <w:i w:val="1"/>
          <w:iCs w:val="1"/>
          <w:color w:val="auto"/>
        </w:rPr>
        <w:t>SP</w:t>
      </w:r>
      <w:r>
        <w:rPr>
          <w:rFonts w:ascii="Times New Roman" w:cs="Times New Roman" w:eastAsia="Times New Roman" w:hAnsi="Times New Roman"/>
          <w:sz w:val="18"/>
          <w:szCs w:val="18"/>
          <w:color w:val="auto"/>
        </w:rPr>
        <w:t>, then, in lieu of the foregoing adjustment to the conversion rate, each preferred stockholder will receive, for each share of Series A Strike Preferred held by such preferred stockholder on such record date, at the same time and on the same terms as holders of Class A, and without having to convert its Series A Strike Preferred, the amount and kind of shares of capital stock, evidences of indebtedness, assets, property, rights, options or warrants that such preferred stockholder would have received in such distribution if such preferred stockholder had owned, on such record date, a number of shares of Class A equal to the conversion rate in effect on such record date.</w:t>
      </w:r>
    </w:p>
    <w:p>
      <w:pPr>
        <w:spacing w:after="0" w:line="184" w:lineRule="exact"/>
        <w:rPr>
          <w:sz w:val="20"/>
          <w:szCs w:val="20"/>
          <w:color w:val="auto"/>
        </w:rPr>
      </w:pPr>
    </w:p>
    <w:p>
      <w:pPr>
        <w:ind w:left="365" w:right="20"/>
        <w:spacing w:after="0" w:line="282" w:lineRule="auto"/>
        <w:rPr>
          <w:sz w:val="20"/>
          <w:szCs w:val="20"/>
          <w:color w:val="auto"/>
        </w:rPr>
      </w:pPr>
      <w:r>
        <w:rPr>
          <w:rFonts w:ascii="Times New Roman" w:cs="Times New Roman" w:eastAsia="Times New Roman" w:hAnsi="Times New Roman"/>
          <w:sz w:val="18"/>
          <w:szCs w:val="18"/>
          <w:color w:val="auto"/>
        </w:rPr>
        <w:t>To the extent such distribution is not so paid or made, the conversion rate will be readjusted to the conversion rate that would then be in effect had the adjustment been made on the basis of only the distribution, if any, actually made or paid.</w:t>
      </w:r>
    </w:p>
    <w:p>
      <w:pPr>
        <w:spacing w:after="0" w:line="38" w:lineRule="exact"/>
        <w:rPr>
          <w:sz w:val="20"/>
          <w:szCs w:val="20"/>
          <w:color w:val="auto"/>
        </w:rPr>
      </w:pPr>
    </w:p>
    <w:p>
      <w:pPr>
        <w:ind w:left="365" w:right="20" w:hanging="365"/>
        <w:spacing w:after="0" w:line="256" w:lineRule="auto"/>
        <w:tabs>
          <w:tab w:leader="none" w:pos="364"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Spin-Offs</w:t>
      </w:r>
      <w:r>
        <w:rPr>
          <w:rFonts w:ascii="Times New Roman" w:cs="Times New Roman" w:eastAsia="Times New Roman" w:hAnsi="Times New Roman"/>
          <w:sz w:val="18"/>
          <w:szCs w:val="18"/>
          <w:color w:val="auto"/>
        </w:rPr>
        <w:t>. If the Company distributes or dividends shares of capital stock of any class or series, or similar equity interests, of or relating to an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“affiliate” (as defined below under the caption “—Definitions”) or subsidiary or other business unit of the Company to all or substantially all holders of Class A (other than solely pursuant to (x) a class A common stock change event, as to which the provisions described below under the caption “—Effect of Class A Common Stock Change Event” will apply; or (y) a tender offer or exchange offer for shares of Class A, as to which the provisions described below in paragraph (5) will apply), and such capital stock or equity interests are listed or quoted (or will be listed or quoted upon the consummation of the transaction) on a U.S. national securities exchange (a “spin-off”), then the conversion rate will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2291715</wp:posOffset>
            </wp:positionH>
            <wp:positionV relativeFrom="paragraph">
              <wp:posOffset>43180</wp:posOffset>
            </wp:positionV>
            <wp:extent cx="1954530" cy="539750"/>
            <wp:wrapNone/>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694">
                      <a:extLst>
                        <a:ext uri="{28A0092B-C50C-407E-A947-70E740481C1C}"/>
                      </a:extLst>
                    </a:blip>
                    <a:srcRect/>
                    <a:stretch>
                      <a:fillRect/>
                    </a:stretch>
                  </pic:blipFill>
                  <pic:spPr bwMode="auto">
                    <a:xfrm>
                      <a:off x="0" y="0"/>
                      <a:ext cx="1954530" cy="53975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7" w:lineRule="exact"/>
        <w:rPr>
          <w:sz w:val="20"/>
          <w:szCs w:val="20"/>
          <w:color w:val="auto"/>
        </w:rPr>
      </w:pPr>
    </w:p>
    <w:tbl>
      <w:tblPr>
        <w:tblLayout w:type="fixed"/>
        <w:tblInd w:w="365" w:type="dxa"/>
        <w:tblCellMar>
          <w:top w:w="0" w:type="dxa"/>
          <w:left w:w="0" w:type="dxa"/>
          <w:bottom w:w="0" w:type="dxa"/>
          <w:right w:w="0" w:type="dxa"/>
        </w:tblCellMar>
      </w:tblPr>
      <w:tr>
        <w:trPr>
          <w:trHeight w:val="234"/>
        </w:trPr>
        <w:tc>
          <w:tcPr>
            <w:tcW w:w="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9420" w:type="dxa"/>
            <w:vAlign w:val="bottom"/>
          </w:tcPr>
          <w:p>
            <w:pPr>
              <w:spacing w:after="0"/>
              <w:rPr>
                <w:sz w:val="20"/>
                <w:szCs w:val="20"/>
                <w:color w:val="auto"/>
              </w:rPr>
            </w:pPr>
          </w:p>
        </w:tc>
      </w:tr>
      <w:tr>
        <w:trPr>
          <w:trHeight w:val="333"/>
        </w:trPr>
        <w:tc>
          <w:tcPr>
            <w:tcW w:w="38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0</w:t>
            </w: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20" w:type="dxa"/>
            <w:vAlign w:val="bottom"/>
          </w:tcPr>
          <w:p>
            <w:pPr>
              <w:ind w:left="80"/>
              <w:spacing w:after="0"/>
              <w:rPr>
                <w:sz w:val="20"/>
                <w:szCs w:val="20"/>
                <w:color w:val="auto"/>
              </w:rPr>
            </w:pPr>
            <w:r>
              <w:rPr>
                <w:rFonts w:ascii="Times New Roman" w:cs="Times New Roman" w:eastAsia="Times New Roman" w:hAnsi="Times New Roman"/>
                <w:sz w:val="18"/>
                <w:szCs w:val="18"/>
                <w:color w:val="auto"/>
                <w:w w:val="99"/>
              </w:rPr>
              <w:t>the conversion rate in effect immediately before the close of business on the last trading day of the “spin-off valuation period” (as</w:t>
            </w:r>
          </w:p>
        </w:tc>
      </w:tr>
      <w:tr>
        <w:trPr>
          <w:trHeight w:val="234"/>
        </w:trPr>
        <w:tc>
          <w:tcPr>
            <w:tcW w:w="38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9420" w:type="dxa"/>
            <w:vAlign w:val="bottom"/>
          </w:tcPr>
          <w:p>
            <w:pPr>
              <w:ind w:left="480"/>
              <w:spacing w:after="0"/>
              <w:rPr>
                <w:sz w:val="20"/>
                <w:szCs w:val="20"/>
                <w:color w:val="auto"/>
              </w:rPr>
            </w:pPr>
            <w:r>
              <w:rPr>
                <w:rFonts w:ascii="Times New Roman" w:cs="Times New Roman" w:eastAsia="Times New Roman" w:hAnsi="Times New Roman"/>
                <w:sz w:val="18"/>
                <w:szCs w:val="18"/>
                <w:color w:val="auto"/>
              </w:rPr>
              <w:t>defined below) for such spin-off;</w:t>
            </w:r>
          </w:p>
        </w:tc>
      </w:tr>
      <w:tr>
        <w:trPr>
          <w:trHeight w:val="365"/>
        </w:trPr>
        <w:tc>
          <w:tcPr>
            <w:tcW w:w="38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1</w:t>
            </w: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2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the conversion rate in effect immediately after the close of business on the last trading day of the spin-off valuation period;</w:t>
            </w:r>
          </w:p>
        </w:tc>
      </w:tr>
      <w:tr>
        <w:trPr>
          <w:trHeight w:val="351"/>
        </w:trPr>
        <w:tc>
          <w:tcPr>
            <w:tcW w:w="640" w:type="dxa"/>
            <w:vAlign w:val="bottom"/>
            <w:gridSpan w:val="2"/>
          </w:tcPr>
          <w:p>
            <w:pPr>
              <w:spacing w:after="0"/>
              <w:rPr>
                <w:sz w:val="20"/>
                <w:szCs w:val="20"/>
                <w:color w:val="auto"/>
              </w:rPr>
            </w:pPr>
            <w:r>
              <w:rPr>
                <w:rFonts w:ascii="Times New Roman" w:cs="Times New Roman" w:eastAsia="Times New Roman" w:hAnsi="Times New Roman"/>
                <w:sz w:val="18"/>
                <w:szCs w:val="18"/>
                <w:i w:val="1"/>
                <w:iCs w:val="1"/>
                <w:color w:val="auto"/>
              </w:rPr>
              <w:t xml:space="preserve">FMV </w:t>
            </w:r>
            <w:r>
              <w:rPr>
                <w:rFonts w:ascii="Times New Roman" w:cs="Times New Roman" w:eastAsia="Times New Roman" w:hAnsi="Times New Roman"/>
                <w:sz w:val="18"/>
                <w:szCs w:val="18"/>
                <w:color w:val="auto"/>
              </w:rPr>
              <w:t>=</w:t>
            </w:r>
          </w:p>
        </w:tc>
        <w:tc>
          <w:tcPr>
            <w:tcW w:w="942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the product of (x) the average of the last reported sale prices per share or unit of the capital stock or equity interests distributed in</w:t>
            </w:r>
          </w:p>
        </w:tc>
      </w:tr>
    </w:tbl>
    <w:p>
      <w:pPr>
        <w:ind w:left="1485" w:right="40"/>
        <w:spacing w:after="0" w:line="265" w:lineRule="auto"/>
        <w:rPr>
          <w:sz w:val="20"/>
          <w:szCs w:val="20"/>
          <w:color w:val="auto"/>
        </w:rPr>
      </w:pPr>
      <w:r>
        <w:rPr>
          <w:rFonts w:ascii="Times New Roman" w:cs="Times New Roman" w:eastAsia="Times New Roman" w:hAnsi="Times New Roman"/>
          <w:sz w:val="17"/>
          <w:szCs w:val="17"/>
          <w:color w:val="auto"/>
        </w:rPr>
        <w:t>such spin-off over the 10 consecutive trading day period (the “spin-off valuation period”) beginning on, and including, the ex-dividend date for such spin-off (such average to be determined as if references to Class A in the definitions of “last reported sale price,” “trading day” and “market disruption event” were instead references to such capital stock or equity interests); and</w:t>
      </w:r>
    </w:p>
    <w:p>
      <w:pPr>
        <w:ind w:left="365" w:right="80" w:firstLine="1123"/>
        <w:spacing w:after="0" w:line="380" w:lineRule="auto"/>
        <w:rPr>
          <w:sz w:val="20"/>
          <w:szCs w:val="20"/>
          <w:color w:val="auto"/>
        </w:rPr>
      </w:pPr>
      <w:r>
        <w:rPr>
          <w:rFonts w:ascii="Times New Roman" w:cs="Times New Roman" w:eastAsia="Times New Roman" w:hAnsi="Times New Roman"/>
          <w:sz w:val="18"/>
          <w:szCs w:val="18"/>
          <w:color w:val="auto"/>
        </w:rPr>
        <w:t xml:space="preserve">(y) the number of shares or units of such capital stock or equity interests distributed per share of Class A in such spin-off; and </w:t>
      </w:r>
      <w:r>
        <w:rPr>
          <w:rFonts w:ascii="Times New Roman" w:cs="Times New Roman" w:eastAsia="Times New Roman" w:hAnsi="Times New Roman"/>
          <w:sz w:val="18"/>
          <w:szCs w:val="18"/>
          <w:i w:val="1"/>
          <w:iCs w:val="1"/>
          <w:color w:val="auto"/>
        </w:rPr>
        <w:t xml:space="preserve">SP </w:t>
      </w:r>
      <w:r>
        <w:rPr>
          <w:rFonts w:ascii="Times New Roman" w:cs="Times New Roman" w:eastAsia="Times New Roman" w:hAnsi="Times New Roman"/>
          <w:sz w:val="18"/>
          <w:szCs w:val="18"/>
          <w:color w:val="auto"/>
        </w:rPr>
        <w:t>= the average of the last reported sale prices per share of Class A for each trading day in the spin-off valuation period.</w:t>
      </w:r>
    </w:p>
    <w:p>
      <w:pPr>
        <w:spacing w:after="0" w:line="1" w:lineRule="exact"/>
        <w:rPr>
          <w:sz w:val="20"/>
          <w:szCs w:val="20"/>
          <w:color w:val="auto"/>
        </w:rPr>
      </w:pPr>
    </w:p>
    <w:p>
      <w:pPr>
        <w:ind w:left="365"/>
        <w:spacing w:after="0" w:line="261" w:lineRule="auto"/>
        <w:rPr>
          <w:sz w:val="20"/>
          <w:szCs w:val="20"/>
          <w:color w:val="auto"/>
        </w:rPr>
      </w:pPr>
      <w:r>
        <w:rPr>
          <w:rFonts w:ascii="Times New Roman" w:cs="Times New Roman" w:eastAsia="Times New Roman" w:hAnsi="Times New Roman"/>
          <w:sz w:val="18"/>
          <w:szCs w:val="18"/>
          <w:color w:val="auto"/>
        </w:rPr>
        <w:t>Notwithstanding anything to the contrary, if the conversion date for any share of Series A Strike Preferred to be converted occurs during the spin-off valuation period, then, solely for purposes of determining the consideration due in respect of such conversion, such spin-off valuation period will be deemed to consist of the trading days occurring in the period from, and including, the ex-dividend date for such spin-off to, and including, such conversion date.</w:t>
      </w:r>
    </w:p>
    <w:p>
      <w:pPr>
        <w:spacing w:after="0" w:line="180" w:lineRule="exact"/>
        <w:rPr>
          <w:sz w:val="20"/>
          <w:szCs w:val="20"/>
          <w:color w:val="auto"/>
        </w:rPr>
      </w:pPr>
    </w:p>
    <w:p>
      <w:pPr>
        <w:ind w:left="365"/>
        <w:spacing w:after="0" w:line="266" w:lineRule="auto"/>
        <w:rPr>
          <w:sz w:val="20"/>
          <w:szCs w:val="20"/>
          <w:color w:val="auto"/>
        </w:rPr>
      </w:pPr>
      <w:r>
        <w:rPr>
          <w:rFonts w:ascii="Times New Roman" w:cs="Times New Roman" w:eastAsia="Times New Roman" w:hAnsi="Times New Roman"/>
          <w:sz w:val="18"/>
          <w:szCs w:val="18"/>
          <w:color w:val="auto"/>
        </w:rPr>
        <w:t>To the extent any dividend or distribution of the type described above in this paragraph (3)(b) is declared but not made or paid, the conversion rate will be readjusted to the conversion rate that would then be in effect had the adjustment been made on the basis of only the dividend or distribution, if any, actually made or paid.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-257810</wp:posOffset>
            </wp:positionH>
            <wp:positionV relativeFrom="paragraph">
              <wp:posOffset>976630</wp:posOffset>
            </wp:positionV>
            <wp:extent cx="7157720" cy="42545"/>
            <wp:wrapNone/>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69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605"/>
          </w:cols>
          <w:pgMar w:left="715" w:top="1402" w:right="579" w:bottom="1440" w:gutter="0" w:footer="0" w:header="0"/>
        </w:sectPr>
      </w:pPr>
    </w:p>
    <w:bookmarkStart w:id="144" w:name="page145"/>
    <w:bookmarkEnd w:id="144"/>
    <w:p>
      <w:pPr>
        <w:spacing w:after="0" w:line="57" w:lineRule="exact"/>
        <w:rPr>
          <w:sz w:val="20"/>
          <w:szCs w:val="20"/>
          <w:color w:val="auto"/>
        </w:rPr>
      </w:pPr>
    </w:p>
    <w:p>
      <w:pPr>
        <w:ind w:left="380" w:right="320" w:hanging="372"/>
        <w:spacing w:after="0" w:line="284" w:lineRule="auto"/>
        <w:tabs>
          <w:tab w:leader="none" w:pos="365" w:val="left"/>
        </w:tabs>
        <w:numPr>
          <w:ilvl w:val="0"/>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Cash Dividends or Distributions</w:t>
      </w:r>
      <w:r>
        <w:rPr>
          <w:rFonts w:ascii="Times New Roman" w:cs="Times New Roman" w:eastAsia="Times New Roman" w:hAnsi="Times New Roman"/>
          <w:sz w:val="18"/>
          <w:szCs w:val="18"/>
          <w:color w:val="auto"/>
        </w:rPr>
        <w:t>. If any cash dividend or distribution is made to all or substantially all holders of Class A, then the conversion rate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2619375</wp:posOffset>
            </wp:positionH>
            <wp:positionV relativeFrom="paragraph">
              <wp:posOffset>27305</wp:posOffset>
            </wp:positionV>
            <wp:extent cx="1808480" cy="582930"/>
            <wp:wrapNone/>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696">
                      <a:extLst>
                        <a:ext uri="{28A0092B-C50C-407E-A947-70E740481C1C}"/>
                      </a:extLst>
                    </a:blip>
                    <a:srcRect/>
                    <a:stretch>
                      <a:fillRect/>
                    </a:stretch>
                  </pic:blipFill>
                  <pic:spPr bwMode="auto">
                    <a:xfrm>
                      <a:off x="0" y="0"/>
                      <a:ext cx="1808480" cy="58293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0"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where:</w:t>
      </w:r>
    </w:p>
    <w:p>
      <w:pPr>
        <w:sectPr>
          <w:pgSz w:w="11900" w:h="16838" w:orient="portrait"/>
          <w:cols w:equalWidth="0" w:num="1">
            <w:col w:w="11240"/>
          </w:cols>
          <w:pgMar w:left="320" w:top="1440" w:right="339" w:bottom="1440" w:gutter="0" w:footer="0" w:header="0"/>
        </w:sectPr>
      </w:pPr>
    </w:p>
    <w:p>
      <w:pPr>
        <w:spacing w:after="0" w:line="142"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0</w:t>
      </w:r>
    </w:p>
    <w:p>
      <w:pPr>
        <w:spacing w:after="0" w:line="20" w:lineRule="exact"/>
        <w:rPr>
          <w:sz w:val="20"/>
          <w:szCs w:val="20"/>
          <w:color w:val="auto"/>
        </w:rPr>
      </w:pPr>
      <w:r>
        <w:rPr>
          <w:sz w:val="20"/>
          <w:szCs w:val="20"/>
          <w:color w:val="auto"/>
        </w:rPr>
        <w:br w:type="column"/>
      </w:r>
    </w:p>
    <w:p>
      <w:pPr>
        <w:spacing w:after="0" w:line="124" w:lineRule="exact"/>
        <w:rPr>
          <w:sz w:val="20"/>
          <w:szCs w:val="20"/>
          <w:color w:val="auto"/>
        </w:rPr>
      </w:pPr>
    </w:p>
    <w:p>
      <w:pPr>
        <w:spacing w:after="0"/>
        <w:tabs>
          <w:tab w:leader="none" w:pos="240" w:val="left"/>
        </w:tabs>
        <w:rPr>
          <w:sz w:val="20"/>
          <w:szCs w:val="20"/>
          <w:color w:val="auto"/>
        </w:rPr>
      </w:pPr>
      <w:r>
        <w:rPr>
          <w:rFonts w:ascii="Times New Roman" w:cs="Times New Roman" w:eastAsia="Times New Roman" w:hAnsi="Times New Roman"/>
          <w:sz w:val="18"/>
          <w:szCs w:val="18"/>
          <w:color w:val="auto"/>
        </w:rPr>
        <w:t>=</w:t>
        <w:tab/>
        <w:t>the conversion rate in effect immediately before the close of business on the record date for such dividend or distribution;</w:t>
      </w:r>
    </w:p>
    <w:p>
      <w:pPr>
        <w:spacing w:after="0" w:line="156" w:lineRule="exact"/>
        <w:rPr>
          <w:sz w:val="20"/>
          <w:szCs w:val="20"/>
          <w:color w:val="auto"/>
        </w:rPr>
      </w:pPr>
    </w:p>
    <w:p>
      <w:pPr>
        <w:sectPr>
          <w:pgSz w:w="11900" w:h="16838" w:orient="portrait"/>
          <w:cols w:equalWidth="0" w:num="2">
            <w:col w:w="680" w:space="160"/>
            <w:col w:w="10400"/>
          </w:cols>
          <w:pgMar w:left="320" w:top="1440" w:right="339" w:bottom="1440" w:gutter="0" w:footer="0" w:header="0"/>
          <w:type w:val="continuous"/>
        </w:sectPr>
      </w:pPr>
    </w:p>
    <w:p>
      <w:pPr>
        <w:ind w:left="38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1</w:t>
      </w:r>
    </w:p>
    <w:p>
      <w:pPr>
        <w:spacing w:after="0" w:line="20" w:lineRule="exact"/>
        <w:rPr>
          <w:sz w:val="20"/>
          <w:szCs w:val="20"/>
          <w:color w:val="auto"/>
        </w:rPr>
      </w:pPr>
      <w:r>
        <w:rPr>
          <w:sz w:val="20"/>
          <w:szCs w:val="20"/>
          <w:color w:val="auto"/>
        </w:rPr>
        <w:br w:type="column"/>
      </w:r>
    </w:p>
    <w:p>
      <w:pPr>
        <w:spacing w:after="0"/>
        <w:tabs>
          <w:tab w:leader="none" w:pos="240" w:val="left"/>
        </w:tabs>
        <w:rPr>
          <w:sz w:val="20"/>
          <w:szCs w:val="20"/>
          <w:color w:val="auto"/>
        </w:rPr>
      </w:pPr>
      <w:r>
        <w:rPr>
          <w:rFonts w:ascii="Times New Roman" w:cs="Times New Roman" w:eastAsia="Times New Roman" w:hAnsi="Times New Roman"/>
          <w:sz w:val="18"/>
          <w:szCs w:val="18"/>
          <w:color w:val="auto"/>
        </w:rPr>
        <w:t>=</w:t>
        <w:tab/>
        <w:t>the conversion rate in effect immediately after the close of business on such record date;</w:t>
      </w:r>
    </w:p>
    <w:p>
      <w:pPr>
        <w:spacing w:after="0" w:line="142" w:lineRule="exact"/>
        <w:rPr>
          <w:sz w:val="20"/>
          <w:szCs w:val="20"/>
          <w:color w:val="auto"/>
        </w:rPr>
      </w:pPr>
    </w:p>
    <w:p>
      <w:pPr>
        <w:sectPr>
          <w:pgSz w:w="11900" w:h="16838" w:orient="portrait"/>
          <w:cols w:equalWidth="0" w:num="2">
            <w:col w:w="680" w:space="160"/>
            <w:col w:w="10400"/>
          </w:cols>
          <w:pgMar w:left="320" w:top="1440" w:right="339" w:bottom="1440" w:gutter="0" w:footer="0" w:header="0"/>
          <w:type w:val="continuous"/>
        </w:sectPr>
      </w:pPr>
    </w:p>
    <w:p>
      <w:pPr>
        <w:ind w:left="1880" w:right="360" w:hanging="1496"/>
        <w:spacing w:after="0" w:line="284" w:lineRule="auto"/>
        <w:rPr>
          <w:sz w:val="20"/>
          <w:szCs w:val="20"/>
          <w:color w:val="auto"/>
        </w:rPr>
      </w:pPr>
      <w:r>
        <w:rPr>
          <w:rFonts w:ascii="Times New Roman" w:cs="Times New Roman" w:eastAsia="Times New Roman" w:hAnsi="Times New Roman"/>
          <w:sz w:val="18"/>
          <w:szCs w:val="18"/>
          <w:i w:val="1"/>
          <w:iCs w:val="1"/>
          <w:color w:val="auto"/>
        </w:rPr>
        <w:t xml:space="preserve">SP </w:t>
      </w:r>
      <w:r>
        <w:rPr>
          <w:rFonts w:ascii="Times New Roman" w:cs="Times New Roman" w:eastAsia="Times New Roman" w:hAnsi="Times New Roman"/>
          <w:sz w:val="18"/>
          <w:szCs w:val="18"/>
          <w:color w:val="auto"/>
        </w:rPr>
        <w:t>= the last reported sale price per share of Class A on the trading day immediately before the ex-dividend date for such dividend or distribution;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w:t>
      </w:r>
    </w:p>
    <w:p>
      <w:pPr>
        <w:spacing w:after="0" w:line="79" w:lineRule="exact"/>
        <w:rPr>
          <w:sz w:val="20"/>
          <w:szCs w:val="20"/>
          <w:color w:val="auto"/>
        </w:rPr>
      </w:pPr>
    </w:p>
    <w:p>
      <w:pPr>
        <w:ind w:left="620" w:hanging="238"/>
        <w:spacing w:after="0"/>
        <w:tabs>
          <w:tab w:leader="none" w:pos="620" w:val="left"/>
        </w:tabs>
        <w:numPr>
          <w:ilvl w:val="0"/>
          <w:numId w:val="83"/>
        </w:numPr>
        <w:rPr>
          <w:rFonts w:ascii="Times New Roman" w:cs="Times New Roman" w:eastAsia="Times New Roman" w:hAnsi="Times New Roman"/>
          <w:sz w:val="18"/>
          <w:szCs w:val="18"/>
          <w:i w:val="1"/>
          <w:iCs w:val="1"/>
          <w:color w:val="auto"/>
        </w:rPr>
      </w:pPr>
      <w:r>
        <w:rPr>
          <w:rFonts w:ascii="Times New Roman" w:cs="Times New Roman" w:eastAsia="Times New Roman" w:hAnsi="Times New Roman"/>
          <w:sz w:val="18"/>
          <w:szCs w:val="18"/>
          <w:color w:val="auto"/>
        </w:rPr>
        <w:t>= the cash amount distributed per share of Class A in such dividend or distribution.</w:t>
      </w:r>
    </w:p>
    <w:p>
      <w:pPr>
        <w:spacing w:after="0" w:line="115" w:lineRule="exact"/>
        <w:rPr>
          <w:sz w:val="20"/>
          <w:szCs w:val="20"/>
          <w:color w:val="auto"/>
        </w:rPr>
      </w:pPr>
    </w:p>
    <w:p>
      <w:pPr>
        <w:ind w:left="380" w:right="280"/>
        <w:spacing w:after="0" w:line="256" w:lineRule="auto"/>
        <w:rPr>
          <w:sz w:val="20"/>
          <w:szCs w:val="20"/>
          <w:color w:val="auto"/>
        </w:rPr>
      </w:pPr>
      <w:r>
        <w:rPr>
          <w:rFonts w:ascii="Times New Roman" w:cs="Times New Roman" w:eastAsia="Times New Roman" w:hAnsi="Times New Roman"/>
          <w:sz w:val="18"/>
          <w:szCs w:val="18"/>
          <w:color w:val="auto"/>
        </w:rPr>
        <w:t xml:space="preserve">However, if </w:t>
      </w:r>
      <w:r>
        <w:rPr>
          <w:rFonts w:ascii="Times New Roman" w:cs="Times New Roman" w:eastAsia="Times New Roman" w:hAnsi="Times New Roman"/>
          <w:sz w:val="18"/>
          <w:szCs w:val="18"/>
          <w:i w:val="1"/>
          <w:iCs w:val="1"/>
          <w:color w:val="auto"/>
        </w:rPr>
        <w:t>D</w:t>
      </w:r>
      <w:r>
        <w:rPr>
          <w:rFonts w:ascii="Times New Roman" w:cs="Times New Roman" w:eastAsia="Times New Roman" w:hAnsi="Times New Roman"/>
          <w:sz w:val="18"/>
          <w:szCs w:val="18"/>
          <w:color w:val="auto"/>
        </w:rPr>
        <w:t xml:space="preserve"> is equal to or greater than </w:t>
      </w:r>
      <w:r>
        <w:rPr>
          <w:rFonts w:ascii="Times New Roman" w:cs="Times New Roman" w:eastAsia="Times New Roman" w:hAnsi="Times New Roman"/>
          <w:sz w:val="18"/>
          <w:szCs w:val="18"/>
          <w:i w:val="1"/>
          <w:iCs w:val="1"/>
          <w:color w:val="auto"/>
        </w:rPr>
        <w:t>SP</w:t>
      </w:r>
      <w:r>
        <w:rPr>
          <w:rFonts w:ascii="Times New Roman" w:cs="Times New Roman" w:eastAsia="Times New Roman" w:hAnsi="Times New Roman"/>
          <w:sz w:val="18"/>
          <w:szCs w:val="18"/>
          <w:color w:val="auto"/>
        </w:rPr>
        <w:t>, then, in lieu of the foregoing adjustment to the conversion rate, each preferred stockholder will receive, for each share of Series A Strike Preferred held by such preferred stockholder on such record date, at the same time and on the same terms as holders of Class A, and without having to convert its Series A Strike Preferred, the amount of cash that such preferred stockholder would have received in such dividend or distribution if such preferred stockholder had owned, on such record date, a number of shares of Class A equal to the conversion rate in effect on such record date. To the extent such dividend or distribution is declared but not made or paid, the conversion rate will be readjusted to the conversion rate that would then be in effect had the adjustment been made on the basis of only the dividend or distribution, if any, actually made or paid.</w:t>
      </w:r>
    </w:p>
    <w:p>
      <w:pPr>
        <w:spacing w:after="0" w:line="48" w:lineRule="exact"/>
        <w:rPr>
          <w:sz w:val="20"/>
          <w:szCs w:val="20"/>
          <w:color w:val="auto"/>
        </w:rPr>
      </w:pPr>
    </w:p>
    <w:p>
      <w:pPr>
        <w:ind w:left="380" w:right="320" w:hanging="372"/>
        <w:spacing w:after="0" w:line="257" w:lineRule="auto"/>
        <w:tabs>
          <w:tab w:leader="none" w:pos="365" w:val="left"/>
        </w:tabs>
        <w:numPr>
          <w:ilvl w:val="0"/>
          <w:numId w:val="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Tender Offers or Exchange Offers</w:t>
      </w:r>
      <w:r>
        <w:rPr>
          <w:rFonts w:ascii="Times New Roman" w:cs="Times New Roman" w:eastAsia="Times New Roman" w:hAnsi="Times New Roman"/>
          <w:sz w:val="18"/>
          <w:szCs w:val="18"/>
          <w:color w:val="auto"/>
        </w:rPr>
        <w:t>. If the Company or any of its subsidiaries makes a payment in respect of a tender offer or exchange offer for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shares of Class A (other than solely pursuant to an odd-lot tender offer pursuant to Rule 13e-4(h)(5) under the Exchange Act), and the value (determined as of the expiration time by the Company in good faith and in a commercially reasonable manner) of the cash and other consideration paid per share of Class A in such tender or exchange offer exceeds the last reported sale price per share of the Class A on the trading day immediately after the last date (the “expiration date”) on which tenders or exchanges may be made pursuant to such tender or exchange offer (as it may be amended), then the conversion rate will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2148205</wp:posOffset>
            </wp:positionH>
            <wp:positionV relativeFrom="paragraph">
              <wp:posOffset>51435</wp:posOffset>
            </wp:positionV>
            <wp:extent cx="2751455" cy="788670"/>
            <wp:wrapNone/>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697">
                      <a:extLst>
                        <a:ext uri="{28A0092B-C50C-407E-A947-70E740481C1C}"/>
                      </a:extLst>
                    </a:blip>
                    <a:srcRect/>
                    <a:stretch>
                      <a:fillRect/>
                    </a:stretch>
                  </pic:blipFill>
                  <pic:spPr bwMode="auto">
                    <a:xfrm>
                      <a:off x="0" y="0"/>
                      <a:ext cx="2751455" cy="78867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12"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1020" w:type="dxa"/>
            <w:vAlign w:val="bottom"/>
            <w:gridSpan w:val="2"/>
          </w:tcPr>
          <w:p>
            <w:pPr>
              <w:ind w:left="380"/>
              <w:spacing w:after="0"/>
              <w:rPr>
                <w:sz w:val="20"/>
                <w:szCs w:val="20"/>
                <w:color w:val="auto"/>
              </w:rPr>
            </w:pPr>
            <w:r>
              <w:rPr>
                <w:rFonts w:ascii="Times New Roman" w:cs="Times New Roman" w:eastAsia="Times New Roman" w:hAnsi="Times New Roman"/>
                <w:sz w:val="18"/>
                <w:szCs w:val="18"/>
                <w:color w:val="auto"/>
              </w:rPr>
              <w:t>where:</w:t>
            </w:r>
          </w:p>
        </w:tc>
        <w:tc>
          <w:tcPr>
            <w:tcW w:w="10220" w:type="dxa"/>
            <w:vAlign w:val="bottom"/>
          </w:tcPr>
          <w:p>
            <w:pPr>
              <w:spacing w:after="0"/>
              <w:rPr>
                <w:sz w:val="20"/>
                <w:szCs w:val="20"/>
                <w:color w:val="auto"/>
              </w:rPr>
            </w:pPr>
          </w:p>
        </w:tc>
      </w:tr>
      <w:tr>
        <w:trPr>
          <w:trHeight w:val="333"/>
        </w:trPr>
        <w:tc>
          <w:tcPr>
            <w:tcW w:w="760" w:type="dxa"/>
            <w:vAlign w:val="bottom"/>
          </w:tcPr>
          <w:p>
            <w:pPr>
              <w:ind w:left="38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0</w:t>
            </w: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2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the conversion rate in effect immediately before the close of business on the last trading day of the “tender/exchange offer valuation</w:t>
            </w:r>
          </w:p>
        </w:tc>
      </w:tr>
      <w:tr>
        <w:trPr>
          <w:trHeight w:val="234"/>
        </w:trPr>
        <w:tc>
          <w:tcPr>
            <w:tcW w:w="76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10220" w:type="dxa"/>
            <w:vAlign w:val="bottom"/>
          </w:tcPr>
          <w:p>
            <w:pPr>
              <w:ind w:left="860"/>
              <w:spacing w:after="0"/>
              <w:rPr>
                <w:sz w:val="20"/>
                <w:szCs w:val="20"/>
                <w:color w:val="auto"/>
              </w:rPr>
            </w:pPr>
            <w:r>
              <w:rPr>
                <w:rFonts w:ascii="Times New Roman" w:cs="Times New Roman" w:eastAsia="Times New Roman" w:hAnsi="Times New Roman"/>
                <w:sz w:val="18"/>
                <w:szCs w:val="18"/>
                <w:color w:val="auto"/>
              </w:rPr>
              <w:t>period” (as defined below) for such tender or exchange offer;</w:t>
            </w:r>
          </w:p>
        </w:tc>
      </w:tr>
      <w:tr>
        <w:trPr>
          <w:trHeight w:val="351"/>
        </w:trPr>
        <w:tc>
          <w:tcPr>
            <w:tcW w:w="760" w:type="dxa"/>
            <w:vAlign w:val="bottom"/>
          </w:tcPr>
          <w:p>
            <w:pPr>
              <w:ind w:left="38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1"/>
                <w:szCs w:val="11"/>
                <w:i w:val="1"/>
                <w:iCs w:val="1"/>
                <w:color w:val="auto"/>
              </w:rPr>
              <w:t>1</w:t>
            </w: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2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the conversion rate in effect immediately after the close of business on the last trading day of the tender/exchange offer valuation period;</w:t>
            </w:r>
          </w:p>
        </w:tc>
      </w:tr>
      <w:tr>
        <w:trPr>
          <w:trHeight w:val="333"/>
        </w:trPr>
        <w:tc>
          <w:tcPr>
            <w:tcW w:w="760" w:type="dxa"/>
            <w:vAlign w:val="bottom"/>
          </w:tcPr>
          <w:p>
            <w:pPr>
              <w:ind w:left="380"/>
              <w:spacing w:after="0"/>
              <w:rPr>
                <w:sz w:val="20"/>
                <w:szCs w:val="20"/>
                <w:color w:val="auto"/>
              </w:rPr>
            </w:pPr>
            <w:r>
              <w:rPr>
                <w:rFonts w:ascii="Times New Roman" w:cs="Times New Roman" w:eastAsia="Times New Roman" w:hAnsi="Times New Roman"/>
                <w:sz w:val="18"/>
                <w:szCs w:val="18"/>
                <w:i w:val="1"/>
                <w:iCs w:val="1"/>
                <w:color w:val="auto"/>
              </w:rPr>
              <w:t>AC</w:t>
            </w: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22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the aggregate value (determined as of the time (the “expiration time”) such tender or exchange offer expires by the Company in good</w:t>
            </w:r>
          </w:p>
        </w:tc>
      </w:tr>
      <w:tr>
        <w:trPr>
          <w:trHeight w:val="216"/>
        </w:trPr>
        <w:tc>
          <w:tcPr>
            <w:tcW w:w="760" w:type="dxa"/>
            <w:vAlign w:val="bottom"/>
          </w:tcPr>
          <w:p>
            <w:pPr>
              <w:spacing w:after="0"/>
              <w:rPr>
                <w:sz w:val="18"/>
                <w:szCs w:val="18"/>
                <w:color w:val="auto"/>
              </w:rPr>
            </w:pPr>
          </w:p>
        </w:tc>
        <w:tc>
          <w:tcPr>
            <w:tcW w:w="260" w:type="dxa"/>
            <w:vAlign w:val="bottom"/>
          </w:tcPr>
          <w:p>
            <w:pPr>
              <w:spacing w:after="0"/>
              <w:rPr>
                <w:sz w:val="18"/>
                <w:szCs w:val="18"/>
                <w:color w:val="auto"/>
              </w:rPr>
            </w:pPr>
          </w:p>
        </w:tc>
        <w:tc>
          <w:tcPr>
            <w:tcW w:w="10220" w:type="dxa"/>
            <w:vAlign w:val="bottom"/>
          </w:tcPr>
          <w:p>
            <w:pPr>
              <w:ind w:left="860"/>
              <w:spacing w:after="0"/>
              <w:rPr>
                <w:sz w:val="20"/>
                <w:szCs w:val="20"/>
                <w:color w:val="auto"/>
              </w:rPr>
            </w:pPr>
            <w:r>
              <w:rPr>
                <w:rFonts w:ascii="Times New Roman" w:cs="Times New Roman" w:eastAsia="Times New Roman" w:hAnsi="Times New Roman"/>
                <w:sz w:val="18"/>
                <w:szCs w:val="18"/>
                <w:color w:val="auto"/>
              </w:rPr>
              <w:t>faith and in a commercially reasonable manner) of all cash and other consideration paid for shares of Class A purchased or</w:t>
            </w:r>
          </w:p>
        </w:tc>
      </w:tr>
      <w:tr>
        <w:trPr>
          <w:trHeight w:val="234"/>
        </w:trPr>
        <w:tc>
          <w:tcPr>
            <w:tcW w:w="76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10220" w:type="dxa"/>
            <w:vAlign w:val="bottom"/>
          </w:tcPr>
          <w:p>
            <w:pPr>
              <w:ind w:left="860"/>
              <w:spacing w:after="0"/>
              <w:rPr>
                <w:sz w:val="20"/>
                <w:szCs w:val="20"/>
                <w:color w:val="auto"/>
              </w:rPr>
            </w:pPr>
            <w:r>
              <w:rPr>
                <w:rFonts w:ascii="Times New Roman" w:cs="Times New Roman" w:eastAsia="Times New Roman" w:hAnsi="Times New Roman"/>
                <w:sz w:val="18"/>
                <w:szCs w:val="18"/>
                <w:color w:val="auto"/>
              </w:rPr>
              <w:t>exchanged in such tender or exchange offer;</w:t>
            </w:r>
          </w:p>
        </w:tc>
      </w:tr>
      <w:tr>
        <w:trPr>
          <w:trHeight w:val="1816"/>
        </w:trPr>
        <w:tc>
          <w:tcPr>
            <w:tcW w:w="760" w:type="dxa"/>
            <w:vAlign w:val="bottom"/>
            <w:tcBorders>
              <w:bottom w:val="single" w:sz="8" w:color="9A9A9A"/>
            </w:tcBorders>
          </w:tcPr>
          <w:p>
            <w:pPr>
              <w:spacing w:after="0"/>
              <w:rPr>
                <w:sz w:val="24"/>
                <w:szCs w:val="24"/>
                <w:color w:val="auto"/>
              </w:rPr>
            </w:pPr>
          </w:p>
        </w:tc>
        <w:tc>
          <w:tcPr>
            <w:tcW w:w="260" w:type="dxa"/>
            <w:vAlign w:val="bottom"/>
            <w:tcBorders>
              <w:bottom w:val="single" w:sz="8" w:color="9A9A9A"/>
            </w:tcBorders>
          </w:tcPr>
          <w:p>
            <w:pPr>
              <w:spacing w:after="0"/>
              <w:rPr>
                <w:sz w:val="24"/>
                <w:szCs w:val="24"/>
                <w:color w:val="auto"/>
              </w:rPr>
            </w:pPr>
          </w:p>
        </w:tc>
        <w:tc>
          <w:tcPr>
            <w:tcW w:w="102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698">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699">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type w:val="continuous"/>
        </w:sectPr>
      </w:pPr>
    </w:p>
    <w:bookmarkStart w:id="145" w:name="page146"/>
    <w:bookmarkEnd w:id="145"/>
    <w:tbl>
      <w:tblPr>
        <w:tblLayout w:type="fixed"/>
        <w:tblInd w:w="380" w:type="dxa"/>
        <w:tblCellMar>
          <w:top w:w="0" w:type="dxa"/>
          <w:left w:w="0" w:type="dxa"/>
          <w:bottom w:w="0" w:type="dxa"/>
          <w:right w:w="0" w:type="dxa"/>
        </w:tblCellMar>
      </w:tblPr>
      <w:tr>
        <w:trPr>
          <w:trHeight w:val="218"/>
        </w:trPr>
        <w:tc>
          <w:tcPr>
            <w:tcW w:w="38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OS</w:t>
            </w:r>
            <w:r>
              <w:rPr>
                <w:rFonts w:ascii="Times New Roman" w:cs="Times New Roman" w:eastAsia="Times New Roman" w:hAnsi="Times New Roman"/>
                <w:sz w:val="11"/>
                <w:szCs w:val="11"/>
                <w:i w:val="1"/>
                <w:iCs w:val="1"/>
                <w:color w:val="auto"/>
              </w:rPr>
              <w:t>0</w:t>
            </w: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9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the number of shares of Class A outstanding immediately before the expiration time (including all shares of Class A accepted for</w:t>
            </w:r>
          </w:p>
        </w:tc>
        <w:tc>
          <w:tcPr>
            <w:tcW w:w="0" w:type="dxa"/>
            <w:vAlign w:val="bottom"/>
          </w:tcPr>
          <w:p>
            <w:pPr>
              <w:spacing w:after="0"/>
              <w:rPr>
                <w:sz w:val="1"/>
                <w:szCs w:val="1"/>
                <w:color w:val="auto"/>
              </w:rPr>
            </w:pPr>
          </w:p>
        </w:tc>
      </w:tr>
      <w:tr>
        <w:trPr>
          <w:trHeight w:val="216"/>
        </w:trPr>
        <w:tc>
          <w:tcPr>
            <w:tcW w:w="380" w:type="dxa"/>
            <w:vAlign w:val="bottom"/>
            <w:vMerge w:val="restart"/>
          </w:tcPr>
          <w:p>
            <w:pPr>
              <w:spacing w:after="0"/>
              <w:rPr>
                <w:sz w:val="20"/>
                <w:szCs w:val="20"/>
                <w:color w:val="auto"/>
              </w:rPr>
            </w:pPr>
            <w:r>
              <w:rPr>
                <w:rFonts w:ascii="Times New Roman" w:cs="Times New Roman" w:eastAsia="Times New Roman" w:hAnsi="Times New Roman"/>
                <w:sz w:val="18"/>
                <w:szCs w:val="18"/>
                <w:i w:val="1"/>
                <w:iCs w:val="1"/>
                <w:color w:val="auto"/>
              </w:rPr>
              <w:t>OS</w:t>
            </w:r>
            <w:r>
              <w:rPr>
                <w:rFonts w:ascii="Times New Roman" w:cs="Times New Roman" w:eastAsia="Times New Roman" w:hAnsi="Times New Roman"/>
                <w:sz w:val="11"/>
                <w:szCs w:val="11"/>
                <w:i w:val="1"/>
                <w:iCs w:val="1"/>
                <w:color w:val="auto"/>
              </w:rPr>
              <w:t>1</w:t>
            </w:r>
          </w:p>
        </w:tc>
        <w:tc>
          <w:tcPr>
            <w:tcW w:w="260" w:type="dxa"/>
            <w:vAlign w:val="bottom"/>
          </w:tcPr>
          <w:p>
            <w:pPr>
              <w:spacing w:after="0"/>
              <w:rPr>
                <w:sz w:val="18"/>
                <w:szCs w:val="18"/>
                <w:color w:val="auto"/>
              </w:rPr>
            </w:pPr>
          </w:p>
        </w:tc>
        <w:tc>
          <w:tcPr>
            <w:tcW w:w="9960" w:type="dxa"/>
            <w:vAlign w:val="bottom"/>
          </w:tcPr>
          <w:p>
            <w:pPr>
              <w:ind w:left="860"/>
              <w:spacing w:after="0"/>
              <w:rPr>
                <w:sz w:val="20"/>
                <w:szCs w:val="20"/>
                <w:color w:val="auto"/>
              </w:rPr>
            </w:pPr>
            <w:r>
              <w:rPr>
                <w:rFonts w:ascii="Times New Roman" w:cs="Times New Roman" w:eastAsia="Times New Roman" w:hAnsi="Times New Roman"/>
                <w:sz w:val="18"/>
                <w:szCs w:val="18"/>
                <w:color w:val="auto"/>
              </w:rPr>
              <w:t>purchase or exchange in such tender or exchange offer);</w:t>
            </w:r>
          </w:p>
        </w:tc>
        <w:tc>
          <w:tcPr>
            <w:tcW w:w="0" w:type="dxa"/>
            <w:vAlign w:val="bottom"/>
          </w:tcPr>
          <w:p>
            <w:pPr>
              <w:spacing w:after="0"/>
              <w:rPr>
                <w:sz w:val="1"/>
                <w:szCs w:val="1"/>
                <w:color w:val="auto"/>
              </w:rPr>
            </w:pPr>
          </w:p>
        </w:tc>
      </w:tr>
      <w:tr>
        <w:trPr>
          <w:trHeight w:val="216"/>
        </w:trPr>
        <w:tc>
          <w:tcPr>
            <w:tcW w:w="380" w:type="dxa"/>
            <w:vAlign w:val="bottom"/>
            <w:vMerge w:val="continue"/>
          </w:tcPr>
          <w:p>
            <w:pPr>
              <w:spacing w:after="0"/>
              <w:rPr>
                <w:sz w:val="18"/>
                <w:szCs w:val="18"/>
                <w:color w:val="auto"/>
              </w:rPr>
            </w:pPr>
          </w:p>
        </w:tc>
        <w:tc>
          <w:tcPr>
            <w:tcW w:w="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960" w:type="dxa"/>
            <w:vAlign w:val="bottom"/>
          </w:tcPr>
          <w:p>
            <w:pPr>
              <w:ind w:left="80"/>
              <w:spacing w:after="0"/>
              <w:rPr>
                <w:sz w:val="20"/>
                <w:szCs w:val="20"/>
                <w:color w:val="auto"/>
              </w:rPr>
            </w:pPr>
            <w:r>
              <w:rPr>
                <w:rFonts w:ascii="Times New Roman" w:cs="Times New Roman" w:eastAsia="Times New Roman" w:hAnsi="Times New Roman"/>
                <w:sz w:val="18"/>
                <w:szCs w:val="18"/>
                <w:color w:val="auto"/>
                <w:w w:val="99"/>
              </w:rPr>
              <w:t>the number of shares of Class A outstanding immediately after the expiration time (excluding all shares of Class A accepted for purchase</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9960" w:type="dxa"/>
            <w:vAlign w:val="bottom"/>
          </w:tcPr>
          <w:p>
            <w:pPr>
              <w:ind w:left="860"/>
              <w:spacing w:after="0"/>
              <w:rPr>
                <w:sz w:val="20"/>
                <w:szCs w:val="20"/>
                <w:color w:val="auto"/>
              </w:rPr>
            </w:pPr>
            <w:r>
              <w:rPr>
                <w:rFonts w:ascii="Times New Roman" w:cs="Times New Roman" w:eastAsia="Times New Roman" w:hAnsi="Times New Roman"/>
                <w:sz w:val="18"/>
                <w:szCs w:val="18"/>
                <w:color w:val="auto"/>
              </w:rPr>
              <w:t>or exchange in such tender or exchange offer); and</w:t>
            </w:r>
          </w:p>
        </w:tc>
        <w:tc>
          <w:tcPr>
            <w:tcW w:w="0" w:type="dxa"/>
            <w:vAlign w:val="bottom"/>
          </w:tcPr>
          <w:p>
            <w:pPr>
              <w:spacing w:after="0"/>
              <w:rPr>
                <w:sz w:val="1"/>
                <w:szCs w:val="1"/>
                <w:color w:val="auto"/>
              </w:rPr>
            </w:pPr>
          </w:p>
        </w:tc>
      </w:tr>
    </w:tbl>
    <w:p>
      <w:pPr>
        <w:spacing w:after="0" w:line="115" w:lineRule="exact"/>
        <w:rPr>
          <w:sz w:val="20"/>
          <w:szCs w:val="20"/>
          <w:color w:val="auto"/>
        </w:rPr>
      </w:pPr>
    </w:p>
    <w:p>
      <w:pPr>
        <w:jc w:val="center"/>
        <w:ind w:right="140"/>
        <w:spacing w:after="0" w:line="284" w:lineRule="auto"/>
        <w:rPr>
          <w:sz w:val="20"/>
          <w:szCs w:val="20"/>
          <w:color w:val="auto"/>
        </w:rPr>
      </w:pPr>
      <w:r>
        <w:rPr>
          <w:rFonts w:ascii="Times New Roman" w:cs="Times New Roman" w:eastAsia="Times New Roman" w:hAnsi="Times New Roman"/>
          <w:sz w:val="18"/>
          <w:szCs w:val="18"/>
          <w:i w:val="1"/>
          <w:iCs w:val="1"/>
          <w:color w:val="auto"/>
        </w:rPr>
        <w:t xml:space="preserve">SP </w:t>
      </w:r>
      <w:r>
        <w:rPr>
          <w:rFonts w:ascii="Times New Roman" w:cs="Times New Roman" w:eastAsia="Times New Roman" w:hAnsi="Times New Roman"/>
          <w:sz w:val="18"/>
          <w:szCs w:val="18"/>
          <w:color w:val="auto"/>
        </w:rPr>
        <w:t>= the average of the last reported sale prices per share of the Class A over the 10 consecutive trading day period (the “tender/exchange offer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valuation period”) beginning on, and including, the trading day immediately after the expiration date;</w:t>
      </w:r>
    </w:p>
    <w:p>
      <w:pPr>
        <w:spacing w:after="0" w:line="50" w:lineRule="exact"/>
        <w:rPr>
          <w:sz w:val="20"/>
          <w:szCs w:val="20"/>
          <w:color w:val="auto"/>
        </w:rPr>
      </w:pPr>
    </w:p>
    <w:p>
      <w:pPr>
        <w:ind w:left="380" w:right="200"/>
        <w:spacing w:after="0" w:line="257"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the conversion rate will in no event be adjusted down pursuant to the provisions described in this paragraph (5), except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extent provided in the immediately following paragraph. Notwithstanding anything to the contrary, if the conversion date for any share of Series A Strike Preferred to be converted occurs during the tender/exchange offer valuation period for such tender or exchange offer, then, solely for purposes of determining the consideration due in respect of such conversion, such tender/exchange offer valuation period will be deemed to consist of the trading days occurring in the period from, and including, the trading day immediately after the expiration date to, and including, such conversion date.</w:t>
      </w:r>
    </w:p>
    <w:p>
      <w:pPr>
        <w:spacing w:after="0" w:line="184" w:lineRule="exact"/>
        <w:rPr>
          <w:sz w:val="20"/>
          <w:szCs w:val="20"/>
          <w:color w:val="auto"/>
        </w:rPr>
      </w:pPr>
    </w:p>
    <w:p>
      <w:pPr>
        <w:ind w:left="380" w:right="240"/>
        <w:spacing w:after="0" w:line="261" w:lineRule="auto"/>
        <w:rPr>
          <w:sz w:val="20"/>
          <w:szCs w:val="20"/>
          <w:color w:val="auto"/>
        </w:rPr>
      </w:pPr>
      <w:r>
        <w:rPr>
          <w:rFonts w:ascii="Times New Roman" w:cs="Times New Roman" w:eastAsia="Times New Roman" w:hAnsi="Times New Roman"/>
          <w:sz w:val="18"/>
          <w:szCs w:val="18"/>
          <w:color w:val="auto"/>
        </w:rPr>
        <w:t>To the extent such tender or exchange offer is announced but not consummated (including as a result of being precluded from consummating such tender or exchange offer under applicable law), or any purchases or exchanges of shares of Class A in such tender or exchange offer are rescinded, the conversion rate will be readjusted to the conversion rate that would then be in effect had the adjustment been made on the basis of only the purchases or exchanges of shares of Class A, if any, actually made, and not rescinded, in such tender or exchange offer.</w:t>
      </w:r>
    </w:p>
    <w:p>
      <w:pPr>
        <w:spacing w:after="0" w:line="1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 will not be required to adjust the conversion rate except as described above in this “Conversion Rate Adjustments—Generally” section.</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Without limiting the foregoing, the Company will not be required to adjust the conversion rate on account of:</w:t>
      </w:r>
    </w:p>
    <w:p>
      <w:pPr>
        <w:spacing w:after="0" w:line="207" w:lineRule="exact"/>
        <w:rPr>
          <w:sz w:val="20"/>
          <w:szCs w:val="20"/>
          <w:color w:val="auto"/>
        </w:rPr>
      </w:pPr>
    </w:p>
    <w:p>
      <w:pPr>
        <w:ind w:left="740" w:right="180" w:hanging="358"/>
        <w:spacing w:after="0" w:line="282" w:lineRule="auto"/>
        <w:tabs>
          <w:tab w:leader="none" w:pos="740" w:val="left"/>
        </w:tabs>
        <w:numPr>
          <w:ilvl w:val="0"/>
          <w:numId w:val="8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except as described above, the sale of shares of Class A for a purchase price that is less than the market price per share of Class A or less than the conversion price of the Series A Strike Preferred;</w:t>
      </w:r>
    </w:p>
    <w:p>
      <w:pPr>
        <w:spacing w:after="0" w:line="94" w:lineRule="exact"/>
        <w:rPr>
          <w:rFonts w:ascii="Times New Roman" w:cs="Times New Roman" w:eastAsia="Times New Roman" w:hAnsi="Times New Roman"/>
          <w:sz w:val="18"/>
          <w:szCs w:val="18"/>
          <w:color w:val="auto"/>
        </w:rPr>
      </w:pPr>
    </w:p>
    <w:p>
      <w:pPr>
        <w:ind w:left="760" w:right="240" w:hanging="378"/>
        <w:spacing w:after="0" w:line="282" w:lineRule="auto"/>
        <w:tabs>
          <w:tab w:leader="none" w:pos="760" w:val="left"/>
        </w:tabs>
        <w:numPr>
          <w:ilvl w:val="0"/>
          <w:numId w:val="8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any shares of Class A pursuant to any present or future plan providing for the reinvestment of dividends or interest payable on the Company’s securities and the investment of additional optional amounts in shares of Class A under any such plan;</w:t>
      </w:r>
    </w:p>
    <w:p>
      <w:pPr>
        <w:spacing w:after="0" w:line="80" w:lineRule="exact"/>
        <w:rPr>
          <w:rFonts w:ascii="Times New Roman" w:cs="Times New Roman" w:eastAsia="Times New Roman" w:hAnsi="Times New Roman"/>
          <w:sz w:val="18"/>
          <w:szCs w:val="18"/>
          <w:color w:val="auto"/>
        </w:rPr>
      </w:pPr>
    </w:p>
    <w:p>
      <w:pPr>
        <w:ind w:left="740" w:right="180" w:hanging="358"/>
        <w:spacing w:after="0" w:line="282" w:lineRule="auto"/>
        <w:tabs>
          <w:tab w:leader="none" w:pos="740" w:val="left"/>
        </w:tabs>
        <w:numPr>
          <w:ilvl w:val="0"/>
          <w:numId w:val="8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any shares of Class A or options or rights to purchase shares of Class A pursuant to any present or future employee, director or consultant benefit plan or program of, or assumed by, the Company or any of its subsidiaries;</w:t>
      </w:r>
    </w:p>
    <w:p>
      <w:pPr>
        <w:spacing w:after="0" w:line="80" w:lineRule="exact"/>
        <w:rPr>
          <w:rFonts w:ascii="Times New Roman" w:cs="Times New Roman" w:eastAsia="Times New Roman" w:hAnsi="Times New Roman"/>
          <w:sz w:val="18"/>
          <w:szCs w:val="18"/>
          <w:color w:val="auto"/>
        </w:rPr>
      </w:pPr>
    </w:p>
    <w:p>
      <w:pPr>
        <w:ind w:left="740" w:right="820" w:hanging="358"/>
        <w:spacing w:after="0" w:line="282" w:lineRule="auto"/>
        <w:tabs>
          <w:tab w:leader="none" w:pos="740" w:val="left"/>
        </w:tabs>
        <w:numPr>
          <w:ilvl w:val="0"/>
          <w:numId w:val="8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any shares of Class A pursuant to any option, warrant, right or convertible or exchangeable security of the Company’s outstanding as of the initial issue date; or</w:t>
      </w:r>
    </w:p>
    <w:p>
      <w:pPr>
        <w:spacing w:after="0" w:line="94"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8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solely a change in the par value of the Class A.</w:t>
      </w:r>
    </w:p>
    <w:p>
      <w:pPr>
        <w:spacing w:after="0" w:line="237"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Notice of Conversion Rate Adjustments</w:t>
      </w:r>
    </w:p>
    <w:p>
      <w:pPr>
        <w:spacing w:after="0" w:line="160" w:lineRule="exact"/>
        <w:rPr>
          <w:sz w:val="20"/>
          <w:szCs w:val="20"/>
          <w:color w:val="auto"/>
        </w:rPr>
      </w:pPr>
    </w:p>
    <w:p>
      <w:pPr>
        <w:spacing w:after="0" w:line="257" w:lineRule="auto"/>
        <w:rPr>
          <w:sz w:val="20"/>
          <w:szCs w:val="20"/>
          <w:color w:val="auto"/>
        </w:rPr>
      </w:pPr>
      <w:r>
        <w:rPr>
          <w:rFonts w:ascii="Times New Roman" w:cs="Times New Roman" w:eastAsia="Times New Roman" w:hAnsi="Times New Roman"/>
          <w:sz w:val="18"/>
          <w:szCs w:val="18"/>
          <w:color w:val="auto"/>
        </w:rPr>
        <w:t>Upon the effectiveness of any adjustment to the conversion rate pursuant to the provisions described above under the caption “—Conversion Rate Adjustments—Generally,” the Company will, as soon as reasonably practicable and no later than 10 business days after the date of such effectiveness, send notice to the preferred stockholders containing (i) a brief description of the transaction or other event on account of which such adjustment was made;</w:t>
      </w:r>
    </w:p>
    <w:p>
      <w:pPr>
        <w:spacing w:after="0" w:line="1" w:lineRule="exact"/>
        <w:rPr>
          <w:sz w:val="20"/>
          <w:szCs w:val="20"/>
          <w:color w:val="auto"/>
        </w:rPr>
      </w:pPr>
    </w:p>
    <w:p>
      <w:pPr>
        <w:ind w:left="1140" w:right="2940" w:hanging="1132"/>
        <w:spacing w:after="0" w:line="511" w:lineRule="auto"/>
        <w:tabs>
          <w:tab w:leader="none" w:pos="282" w:val="left"/>
        </w:tabs>
        <w:numPr>
          <w:ilvl w:val="0"/>
          <w:numId w:val="8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conversion rate in effect immediately after such adjustment; and (iii) the effective time of such adjustment. </w:t>
      </w:r>
      <w:r>
        <w:rPr>
          <w:rFonts w:ascii="Times New Roman" w:cs="Times New Roman" w:eastAsia="Times New Roman" w:hAnsi="Times New Roman"/>
          <w:sz w:val="18"/>
          <w:szCs w:val="18"/>
          <w:i w:val="1"/>
          <w:iCs w:val="1"/>
          <w:color w:val="auto"/>
        </w:rPr>
        <w:t>Voluntary Conversion Rate Increases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842010</wp:posOffset>
            </wp:positionV>
            <wp:extent cx="7157720" cy="42545"/>
            <wp:wrapNone/>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70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80"/>
          </w:cols>
          <w:pgMar w:left="320" w:top="1402" w:right="399" w:bottom="1440" w:gutter="0" w:footer="0" w:header="0"/>
        </w:sectPr>
      </w:pPr>
    </w:p>
    <w:bookmarkStart w:id="146" w:name="page147"/>
    <w:bookmarkEnd w:id="146"/>
    <w:p>
      <w:pPr>
        <w:spacing w:after="0" w:line="113" w:lineRule="exact"/>
        <w:rPr>
          <w:sz w:val="20"/>
          <w:szCs w:val="20"/>
          <w:color w:val="auto"/>
        </w:rPr>
      </w:pPr>
    </w:p>
    <w:p>
      <w:pPr>
        <w:ind w:right="40"/>
        <w:spacing w:after="0" w:line="258" w:lineRule="auto"/>
        <w:rPr>
          <w:sz w:val="20"/>
          <w:szCs w:val="20"/>
          <w:color w:val="auto"/>
        </w:rPr>
      </w:pPr>
      <w:r>
        <w:rPr>
          <w:rFonts w:ascii="Times New Roman" w:cs="Times New Roman" w:eastAsia="Times New Roman" w:hAnsi="Times New Roman"/>
          <w:sz w:val="18"/>
          <w:szCs w:val="18"/>
          <w:color w:val="auto"/>
        </w:rPr>
        <w:t>To the extent permitted by law and applicable stock exchange rules, the Company, from time to time, may (but is not required to) increase the conversion rate by any amount if (i) the Board determines that such increase is in the Company’s best interest or that such increase is advisable to avoid or diminish any income tax imposed on holders of Class A or rights to purchase Class A as a result of any dividend or distribution of shares (or rights to acquire shares) of the Company’s common stock or any similar event; (ii) such increase is in effect for a period of at least 20 business days; and (iii) such increase is irrevocable during such period.</w:t>
      </w:r>
    </w:p>
    <w:p>
      <w:pPr>
        <w:spacing w:after="0" w:line="181"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Tax Considerations</w:t>
      </w:r>
    </w:p>
    <w:p>
      <w:pPr>
        <w:spacing w:after="0" w:line="133"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8"/>
          <w:szCs w:val="18"/>
          <w:color w:val="auto"/>
        </w:rPr>
        <w:t>A holder or beneficial owner of the Series A Strike Preferred may, in some circumstances, including a cash distribution or dividend on the Class A, be deemed to have received a distribution that is subject to U.S. federal income tax as a result of an adjustment or the non-occurrence of an adjustment to the conversion rate or with respect to any deferred dividend or discount at issuance. Applicable withholding taxes (including backup withholding) may be withheld from dividends and payments upon conversion of the Series A Strike Preferred. In addition, if any withholding taxes (including backup withholding) are paid on behalf of a preferred stockholder, then those withholding taxes may be set off against payments of cash or the delivery of shares of Class A in respect of the Series A Strike Preferred (or, in some circumstances, any payments on the Class A) or sales proceeds received by, or other funds or assets of, that preferred stockholder. The Company or any other withholding agent may also require alternative arrangements to collect any withholding tax (</w:t>
      </w:r>
      <w:r>
        <w:rPr>
          <w:rFonts w:ascii="Times New Roman" w:cs="Times New Roman" w:eastAsia="Times New Roman" w:hAnsi="Times New Roman"/>
          <w:sz w:val="18"/>
          <w:szCs w:val="18"/>
          <w:i w:val="1"/>
          <w:iCs w:val="1"/>
          <w:color w:val="auto"/>
        </w:rPr>
        <w:t>e.g.</w:t>
      </w:r>
      <w:r>
        <w:rPr>
          <w:rFonts w:ascii="Times New Roman" w:cs="Times New Roman" w:eastAsia="Times New Roman" w:hAnsi="Times New Roman"/>
          <w:sz w:val="18"/>
          <w:szCs w:val="18"/>
          <w:color w:val="auto"/>
        </w:rPr>
        <w:t>, a deposit for taxes prior to delivery of conversion consideration) to ensure that the Company or such withholding agent is not out-of-pocket for any potential withholding tax liability.</w:t>
      </w:r>
    </w:p>
    <w:p>
      <w:pPr>
        <w:spacing w:after="0" w:line="267"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The Deferral Exception</w:t>
      </w:r>
    </w:p>
    <w:p>
      <w:pPr>
        <w:spacing w:after="0" w:line="119" w:lineRule="exact"/>
        <w:rPr>
          <w:sz w:val="20"/>
          <w:szCs w:val="20"/>
          <w:color w:val="auto"/>
        </w:rPr>
      </w:pPr>
    </w:p>
    <w:p>
      <w:pPr>
        <w:ind w:right="280"/>
        <w:spacing w:after="0" w:line="256" w:lineRule="auto"/>
        <w:rPr>
          <w:sz w:val="20"/>
          <w:szCs w:val="20"/>
          <w:color w:val="auto"/>
        </w:rPr>
      </w:pPr>
      <w:r>
        <w:rPr>
          <w:rFonts w:ascii="Times New Roman" w:cs="Times New Roman" w:eastAsia="Times New Roman" w:hAnsi="Times New Roman"/>
          <w:sz w:val="18"/>
          <w:szCs w:val="18"/>
          <w:color w:val="auto"/>
        </w:rPr>
        <w:t>If an adjustment to the conversion rate otherwise required by the Certificate of Designations would result in a change of less than 1% to the conversion rate, then the Company may, at its election, defer and carry forward such adjustment, except that all such deferred adjustments must be given effect immediately upon the earliest of the following: (i) when all such deferred adjustments would, had they not been so deferred and carried forward, result in a change of at least 1% to the conversion rate; (ii) the conversion date of any share of Series A Strike Preferred; (iii) the day the Company sends a notice of redemption; and (iv) the date on which a fundamental change occurs. The Company’s ability to defer adjustments as described above is referred to herein as the “deferral exception.”</w:t>
      </w:r>
    </w:p>
    <w:p>
      <w:pPr>
        <w:spacing w:after="0" w:line="266"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Stockholder Rights Plans</w:t>
      </w:r>
    </w:p>
    <w:p>
      <w:pPr>
        <w:spacing w:after="0" w:line="119" w:lineRule="exact"/>
        <w:rPr>
          <w:sz w:val="20"/>
          <w:szCs w:val="20"/>
          <w:color w:val="auto"/>
        </w:rPr>
      </w:pPr>
    </w:p>
    <w:p>
      <w:pPr>
        <w:spacing w:after="0" w:line="255" w:lineRule="auto"/>
        <w:rPr>
          <w:sz w:val="20"/>
          <w:szCs w:val="20"/>
          <w:color w:val="auto"/>
        </w:rPr>
      </w:pPr>
      <w:r>
        <w:rPr>
          <w:rFonts w:ascii="Times New Roman" w:cs="Times New Roman" w:eastAsia="Times New Roman" w:hAnsi="Times New Roman"/>
          <w:sz w:val="18"/>
          <w:szCs w:val="18"/>
          <w:color w:val="auto"/>
        </w:rPr>
        <w:t>If any shares of Class A are to be issued upon conversion of any Series A Strike Preferred and, at the time of such conversion, the Company has in effect any stockholder rights plan, then the holder of such Series A Strike Preferred will be entitled to receive, in addition to, and concurrently with the delivery of, the consideration otherwise due upon such conversion, the rights set forth in such stockholder rights plan, unless such rights have separated from the Class A at such time, in which case, and only in such case, the conversion rate will be adjusted pursuant to the provisions described above in paragraph (3)</w:t>
      </w:r>
    </w:p>
    <w:p>
      <w:pPr>
        <w:spacing w:after="0" w:line="3" w:lineRule="exact"/>
        <w:rPr>
          <w:sz w:val="20"/>
          <w:szCs w:val="20"/>
          <w:color w:val="auto"/>
        </w:rPr>
      </w:pPr>
    </w:p>
    <w:p>
      <w:pPr>
        <w:ind w:right="120" w:firstLine="8"/>
        <w:spacing w:after="0" w:line="255" w:lineRule="auto"/>
        <w:tabs>
          <w:tab w:leader="none" w:pos="245" w:val="left"/>
        </w:tabs>
        <w:numPr>
          <w:ilvl w:val="0"/>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under the caption “—Conversion Rate Adjustments—Generally” on account of such separation as if, at the time of such separation, the Company had made a distribution of the type referred to in such paragraph to all holders of the Class A, subject to potential readjustment pursuant to the provisions described in such paragraph.</w:t>
      </w:r>
    </w:p>
    <w:p>
      <w:pPr>
        <w:spacing w:after="0" w:line="290"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Effect of Class A Common Stock Change Event</w:t>
      </w:r>
    </w:p>
    <w:p>
      <w:pPr>
        <w:spacing w:after="0" w:line="119"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Generally</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If there occurs any:</w:t>
      </w:r>
    </w:p>
    <w:p>
      <w:pPr>
        <w:spacing w:after="0" w:line="131" w:lineRule="exact"/>
        <w:rPr>
          <w:sz w:val="20"/>
          <w:szCs w:val="20"/>
          <w:color w:val="auto"/>
        </w:rPr>
      </w:pPr>
    </w:p>
    <w:p>
      <w:pPr>
        <w:ind w:left="760" w:right="140" w:hanging="378"/>
        <w:spacing w:after="0" w:line="266" w:lineRule="auto"/>
        <w:tabs>
          <w:tab w:leader="none" w:pos="760" w:val="left"/>
        </w:tabs>
        <w:numPr>
          <w:ilvl w:val="0"/>
          <w:numId w:val="8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recapitalization, reclassification or change of the Class A, other than (x) changes solely resulting from a subdivision or combination of the Class A, (y) a change only in par value or from par value to no par value or no par value to par value or (z) stock splits and stock combinations that do not involve the issuance of any other series or class of securities;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976630</wp:posOffset>
            </wp:positionV>
            <wp:extent cx="7157720" cy="42545"/>
            <wp:wrapNone/>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70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40" w:right="419" w:bottom="1440" w:gutter="0" w:footer="0" w:header="0"/>
        </w:sectPr>
      </w:pPr>
    </w:p>
    <w:bookmarkStart w:id="147" w:name="page148"/>
    <w:bookmarkEnd w:id="147"/>
    <w:p>
      <w:pPr>
        <w:spacing w:after="0" w:line="45" w:lineRule="exact"/>
        <w:rPr>
          <w:sz w:val="20"/>
          <w:szCs w:val="20"/>
          <w:color w:val="auto"/>
        </w:rPr>
      </w:pPr>
    </w:p>
    <w:p>
      <w:pPr>
        <w:ind w:left="760" w:hanging="378"/>
        <w:spacing w:after="0"/>
        <w:tabs>
          <w:tab w:leader="none" w:pos="76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consolidation, merger, combination or binding or statutory share exchange involving the Company;</w:t>
      </w:r>
    </w:p>
    <w:p>
      <w:pPr>
        <w:spacing w:after="0" w:line="117" w:lineRule="exact"/>
        <w:rPr>
          <w:rFonts w:ascii="Times New Roman" w:cs="Times New Roman" w:eastAsia="Times New Roman" w:hAnsi="Times New Roman"/>
          <w:sz w:val="18"/>
          <w:szCs w:val="18"/>
          <w:color w:val="auto"/>
        </w:rPr>
      </w:pPr>
    </w:p>
    <w:p>
      <w:pPr>
        <w:ind w:left="740" w:hanging="358"/>
        <w:spacing w:after="0"/>
        <w:tabs>
          <w:tab w:leader="none" w:pos="74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sale, lease or other transfer of all or substantially all of the assets of the Company and its subsidiaries, taken as a whole, to any person; or</w:t>
      </w:r>
    </w:p>
    <w:p>
      <w:pPr>
        <w:spacing w:after="0" w:line="76"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other similar event,</w:t>
      </w:r>
    </w:p>
    <w:p>
      <w:pPr>
        <w:spacing w:after="0" w:line="77"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and, as a result of which, the Class A is converted into, or is exchanged for, or represents solely the right to receive, other securities, cash or other property, or any combination of the foregoing (such an event, a “class A common stock change event,” and such other securities, cash or property, the “reference property,” and the amount and kind of reference property that a holder of one share of Class A would be entitled to receive on account of such class A common stock change event (without giving effect to any arrangement not to issue or deliver a fractional portion of any security or other property), a “reference property unit”), then, notwithstanding anything to the contrary,</w:t>
      </w:r>
    </w:p>
    <w:p>
      <w:pPr>
        <w:spacing w:after="0" w:line="102" w:lineRule="exact"/>
        <w:rPr>
          <w:sz w:val="20"/>
          <w:szCs w:val="20"/>
          <w:color w:val="auto"/>
        </w:rPr>
      </w:pPr>
    </w:p>
    <w:p>
      <w:pPr>
        <w:ind w:left="760" w:right="60" w:hanging="378"/>
        <w:spacing w:after="0" w:line="255" w:lineRule="auto"/>
        <w:tabs>
          <w:tab w:leader="none" w:pos="760" w:val="left"/>
        </w:tabs>
        <w:numPr>
          <w:ilvl w:val="0"/>
          <w:numId w:val="9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from and after the effective time of such class A common stock change event, (i) the consideration due upon conversion of any Series A Strike Preferred or regular dividends paid in shares of Class A will be determined in the same manner as if each reference to any number of shares of Class A in the provisions described under this “—Conversion Rights” section or under the caption “—Regular Dividends” above, as applicable, or in any related definitions, were instead a reference to the same number of reference property units; and (ii) for purposes of the definitions of “fundamental change,” “ex-dividend date” and “record date,” (x) references to “Class A” will be deemed to mean the common equity, if any, forming part of such reference property; and (y) references to the Company’s “common equity” will be deemed to mean the common equity, if any, of the issuer of the common equity, if any, forming part of such reference property; and</w:t>
      </w:r>
    </w:p>
    <w:p>
      <w:pPr>
        <w:spacing w:after="0" w:line="107" w:lineRule="exact"/>
        <w:rPr>
          <w:rFonts w:ascii="Times New Roman" w:cs="Times New Roman" w:eastAsia="Times New Roman" w:hAnsi="Times New Roman"/>
          <w:sz w:val="18"/>
          <w:szCs w:val="18"/>
          <w:color w:val="auto"/>
        </w:rPr>
      </w:pPr>
    </w:p>
    <w:p>
      <w:pPr>
        <w:jc w:val="both"/>
        <w:ind w:left="760" w:right="100" w:hanging="378"/>
        <w:spacing w:after="0" w:line="256" w:lineRule="auto"/>
        <w:tabs>
          <w:tab w:leader="none" w:pos="760" w:val="left"/>
        </w:tabs>
        <w:numPr>
          <w:ilvl w:val="0"/>
          <w:numId w:val="9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these purposes, (i) the daily VWAP of any reference property unit or portion thereof that consists of a class of common equity securities will be determined by reference to the definition of “daily VWAP,” substituting, if applicable, the Bloomberg page for such class of securities in such definition; and (ii) the daily VWAP of any reference property unit or portion thereof that does not consist of a class of common equity securities, and the last reported sale price of any reference property unit or portion thereof that does not consist of a class of common equity securities will be the fair value of such reference property unit or portion thereof, as applicable, determined in good faith by the Company (or, in the case of cash denominated in U.S. dollars, the face amount thereof).</w:t>
      </w:r>
    </w:p>
    <w:p>
      <w:pPr>
        <w:spacing w:after="0" w:line="241" w:lineRule="exact"/>
        <w:rPr>
          <w:sz w:val="20"/>
          <w:szCs w:val="20"/>
          <w:color w:val="auto"/>
        </w:rPr>
      </w:pPr>
    </w:p>
    <w:p>
      <w:pPr>
        <w:ind w:right="100"/>
        <w:spacing w:after="0" w:line="261" w:lineRule="auto"/>
        <w:rPr>
          <w:sz w:val="20"/>
          <w:szCs w:val="20"/>
          <w:color w:val="auto"/>
        </w:rPr>
      </w:pPr>
      <w:r>
        <w:rPr>
          <w:rFonts w:ascii="Times New Roman" w:cs="Times New Roman" w:eastAsia="Times New Roman" w:hAnsi="Times New Roman"/>
          <w:sz w:val="18"/>
          <w:szCs w:val="18"/>
          <w:color w:val="auto"/>
        </w:rPr>
        <w:t>If the reference property consists of more than a single type of consideration to be determined based in part upon any form of stockholder election, then the composition of the reference property unit will be deemed to be the weighted average of the types and amounts of consideration actually received, per share of Class A, by the holders of the Class A. The Company will notify the preferred stockholders of such weighted average as soon as practicable after such determination is made.</w:t>
      </w:r>
    </w:p>
    <w:p>
      <w:pPr>
        <w:spacing w:after="0" w:line="234" w:lineRule="exact"/>
        <w:rPr>
          <w:sz w:val="20"/>
          <w:szCs w:val="20"/>
          <w:color w:val="auto"/>
        </w:rPr>
      </w:pPr>
    </w:p>
    <w:p>
      <w:pPr>
        <w:ind w:right="460"/>
        <w:spacing w:after="0" w:line="282" w:lineRule="auto"/>
        <w:rPr>
          <w:sz w:val="20"/>
          <w:szCs w:val="20"/>
          <w:color w:val="auto"/>
        </w:rPr>
      </w:pPr>
      <w:r>
        <w:rPr>
          <w:rFonts w:ascii="Times New Roman" w:cs="Times New Roman" w:eastAsia="Times New Roman" w:hAnsi="Times New Roman"/>
          <w:sz w:val="18"/>
          <w:szCs w:val="18"/>
          <w:color w:val="auto"/>
        </w:rPr>
        <w:t>The Company will not become a party to any class A common stock change event unless its terms are consistent with the provisions described under this “—Effect of Class A Common Stock Change Event” caption.</w:t>
      </w:r>
    </w:p>
    <w:p>
      <w:pPr>
        <w:spacing w:after="0" w:line="335"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Execution of Supplemental Instruments</w:t>
      </w:r>
    </w:p>
    <w:p>
      <w:pPr>
        <w:spacing w:after="0" w:line="146" w:lineRule="exact"/>
        <w:rPr>
          <w:sz w:val="20"/>
          <w:szCs w:val="20"/>
          <w:color w:val="auto"/>
        </w:rPr>
      </w:pPr>
    </w:p>
    <w:p>
      <w:pPr>
        <w:ind w:right="200"/>
        <w:spacing w:after="0" w:line="254" w:lineRule="auto"/>
        <w:rPr>
          <w:sz w:val="20"/>
          <w:szCs w:val="20"/>
          <w:color w:val="auto"/>
        </w:rPr>
      </w:pPr>
      <w:r>
        <w:rPr>
          <w:rFonts w:ascii="Times New Roman" w:cs="Times New Roman" w:eastAsia="Times New Roman" w:hAnsi="Times New Roman"/>
          <w:sz w:val="18"/>
          <w:szCs w:val="18"/>
          <w:color w:val="auto"/>
        </w:rPr>
        <w:t>On or before the date the class A common stock change event becomes effective, the Company and, if applicable, the resulting, surviving or transferee person (if not the Company) of such class A common stock change event (the “successor person”) will execute and deliver such supplemental instruments, if any, as the Company reasonably determines are necessary or desirable to (i) provide for subsequent adjustments to the conversion rate (and other related terms of the Series A Strike Preferred) in a manner consistent with the provisions described above; and (ii) give effect to such other provisions, if any, as the Company reasonably determines are appropriate to preserve the economic interests of the preferred stockholders and to give effect to the provisions described above. If the reference property includes shares of stock or other securities or assets (other than cash) of a person other than the successor person, then such other person will also execute such supplemental instrument(s) and such supplemental instrument(s) will contain such additional provisions, if any, that the Company reasonably determines are appropriate to preserve the economic interests of preferred stockholders.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986155</wp:posOffset>
            </wp:positionV>
            <wp:extent cx="7157720" cy="42545"/>
            <wp:wrapNone/>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70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80"/>
          </w:cols>
          <w:pgMar w:left="320" w:top="1440" w:right="399" w:bottom="1440" w:gutter="0" w:footer="0" w:header="0"/>
        </w:sectPr>
      </w:pPr>
    </w:p>
    <w:bookmarkStart w:id="148" w:name="page149"/>
    <w:bookmarkEnd w:id="148"/>
    <w:p>
      <w:pPr>
        <w:spacing w:after="0" w:line="30"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i w:val="1"/>
          <w:iCs w:val="1"/>
          <w:color w:val="auto"/>
        </w:rPr>
        <w:t>Notice of Class A Common Stock Change Event</w:t>
      </w:r>
    </w:p>
    <w:p>
      <w:pPr>
        <w:spacing w:after="0" w:line="146" w:lineRule="exact"/>
        <w:rPr>
          <w:sz w:val="20"/>
          <w:szCs w:val="20"/>
          <w:color w:val="auto"/>
        </w:rPr>
      </w:pPr>
    </w:p>
    <w:p>
      <w:pPr>
        <w:ind w:right="280"/>
        <w:spacing w:after="0" w:line="282" w:lineRule="auto"/>
        <w:rPr>
          <w:sz w:val="20"/>
          <w:szCs w:val="20"/>
          <w:color w:val="auto"/>
        </w:rPr>
      </w:pPr>
      <w:r>
        <w:rPr>
          <w:rFonts w:ascii="Times New Roman" w:cs="Times New Roman" w:eastAsia="Times New Roman" w:hAnsi="Times New Roman"/>
          <w:sz w:val="18"/>
          <w:szCs w:val="18"/>
          <w:color w:val="auto"/>
        </w:rPr>
        <w:t>The Company will provide notice of each class A common stock change event to preferred stockholders no later than the second business day after the effective date of the class A common stock change event.</w:t>
      </w:r>
    </w:p>
    <w:p>
      <w:pPr>
        <w:spacing w:after="0" w:line="117"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Exchange in Lieu of Conversion</w:t>
      </w:r>
    </w:p>
    <w:p>
      <w:pPr>
        <w:spacing w:after="0" w:line="148" w:lineRule="exact"/>
        <w:rPr>
          <w:sz w:val="20"/>
          <w:szCs w:val="20"/>
          <w:color w:val="auto"/>
        </w:rPr>
      </w:pPr>
    </w:p>
    <w:p>
      <w:pPr>
        <w:ind w:right="100"/>
        <w:spacing w:after="0" w:line="256" w:lineRule="auto"/>
        <w:rPr>
          <w:sz w:val="20"/>
          <w:szCs w:val="20"/>
          <w:color w:val="auto"/>
        </w:rPr>
      </w:pPr>
      <w:r>
        <w:rPr>
          <w:rFonts w:ascii="Times New Roman" w:cs="Times New Roman" w:eastAsia="Times New Roman" w:hAnsi="Times New Roman"/>
          <w:sz w:val="18"/>
          <w:szCs w:val="18"/>
          <w:color w:val="auto"/>
        </w:rPr>
        <w:t>Notwithstanding anything to the contrary, and subject to the terms of the Certificate of Designations, if any Series A Strike Preferred is to be submitted for conversion, the Company may elect to arrange to have such Series A Strike Preferred exchanged in lieu of conversion by a financial institution the Company designates. To make such election, the Company must send notice of such election to the holder of such Series A Strike Preferred before the close of business on the business day immediately following the conversion date for such Series A Strike Preferred, and the Company must arrange for the financial institution to deliver the consideration due upon such conversion in the same manner and at the same time as the Company would have been required to do so. The Company will remain responsible to deliver such consideration if the financial institution fails to timely deliver the same.</w:t>
      </w:r>
    </w:p>
    <w:p>
      <w:pPr>
        <w:spacing w:after="0" w:line="143"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Equitable Adjustments to Prices</w:t>
      </w:r>
    </w:p>
    <w:p>
      <w:pPr>
        <w:spacing w:after="0" w:line="148"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Whenever the Certificate of Designations requires the Company to calculate the average of the last reported sale prices, or any function thereof, over a period of multiple days (including to calculate an adjustment to the conversion rate), the Company will make appropriate adjustments, if any, to those calculations to account for any adjustment to the conversion rate pursuant to the provisions described above under the caption “—Conversion Rights— Conversion Rate Adjustments—Generally” that becomes effective, or any event requiring such an adjustment to the conversion rate where the record date, ex-dividend date, effective date or expiration date, as applicable, of such event occurs, at any time during such period.</w:t>
      </w:r>
    </w:p>
    <w:p>
      <w:pPr>
        <w:spacing w:after="0" w:line="355"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Fundamental Change Permits Preferred Stockholders to Require the Company to Repurchase Series A Strike Preferred</w:t>
      </w:r>
    </w:p>
    <w:p>
      <w:pPr>
        <w:spacing w:after="0" w:line="144"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Generally</w:t>
      </w:r>
    </w:p>
    <w:p>
      <w:pPr>
        <w:spacing w:after="0" w:line="148"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If a fundamental change occurs, then, except as described below, each preferred stockholder will have the right (the “fundamental change repurchase right”) to require the Company to repurchase some or all of its shares of Series A Strike Preferred for cash on a date (the “fundamental change repurchase date”) of the Company’s choosing, which must be a business day that is no more than 35, nor less than 20, business days after the date the Company sends the related fundamental change notice, as described below. A repurchase of any Series A Strike Preferred pursuant to the provisions described in this section is referred to herein as a “repurchase upon fundamental change.” Notwithstanding anything to the contrary, in no event will any preferred stockholder be entitled to require the Company to repurchase a number of shares of Series A Strike Preferred that is not a whole number.</w:t>
      </w:r>
    </w:p>
    <w:p>
      <w:pPr>
        <w:spacing w:after="0" w:line="241" w:lineRule="exact"/>
        <w:rPr>
          <w:sz w:val="20"/>
          <w:szCs w:val="20"/>
          <w:color w:val="auto"/>
        </w:rPr>
      </w:pPr>
    </w:p>
    <w:p>
      <w:pPr>
        <w:ind w:right="100"/>
        <w:spacing w:after="0" w:line="254" w:lineRule="auto"/>
        <w:rPr>
          <w:sz w:val="20"/>
          <w:szCs w:val="20"/>
          <w:color w:val="auto"/>
        </w:rPr>
      </w:pPr>
      <w:r>
        <w:rPr>
          <w:rFonts w:ascii="Times New Roman" w:cs="Times New Roman" w:eastAsia="Times New Roman" w:hAnsi="Times New Roman"/>
          <w:sz w:val="18"/>
          <w:szCs w:val="18"/>
          <w:color w:val="auto"/>
        </w:rPr>
        <w:t>The repurchase price (the “fundamental change repurchase price”) for a share of Series A Strike Preferred tendered for repurchase will be an amount equal to (i) the liquidation preference of such share, plus (ii) accumulated and unpaid regular dividends on such share to, but excluding, the fundamental change repurchase date. However, if the fundamental change repurchase date is after a regular record date for a declared regular dividend on the Series A Strike Preferred and on or before the next regular dividend payment date, then (a) the holder of such share at the close of business on such regular record date will be entitled, notwithstanding such repurchase, to receive, on or, at the Company’s election, before such regular dividend payment date, such declared regular dividend on such share; and (b) the amount referred to in clause (ii) of the preceding sentence will instead be the excess, if any, of (x) the accumulated and unpaid regular dividends on such share to, but excluding, such fundamental change repurchase date over (y) the amount of such declared regular dividend on such share.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1115060</wp:posOffset>
            </wp:positionV>
            <wp:extent cx="7157720" cy="42545"/>
            <wp:wrapNone/>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70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40"/>
          </w:cols>
          <w:pgMar w:left="320" w:top="1440" w:right="439" w:bottom="1440" w:gutter="0" w:footer="0" w:header="0"/>
        </w:sectPr>
      </w:pPr>
    </w:p>
    <w:bookmarkStart w:id="149" w:name="page150"/>
    <w:bookmarkEnd w:id="149"/>
    <w:p>
      <w:pPr>
        <w:spacing w:after="0" w:line="28"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Notice of Fundamental Change</w:t>
      </w:r>
    </w:p>
    <w:p>
      <w:pPr>
        <w:spacing w:after="0" w:line="1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On or before the 20th calendar day after the effective date of a fundamental change, the Company will send to each</w:t>
      </w:r>
    </w:p>
    <w:p>
      <w:pPr>
        <w:spacing w:after="0" w:line="27" w:lineRule="exact"/>
        <w:rPr>
          <w:sz w:val="20"/>
          <w:szCs w:val="20"/>
          <w:color w:val="auto"/>
        </w:rPr>
      </w:pPr>
    </w:p>
    <w:p>
      <w:pPr>
        <w:jc w:val="both"/>
        <w:spacing w:after="0" w:line="263" w:lineRule="auto"/>
        <w:rPr>
          <w:sz w:val="20"/>
          <w:szCs w:val="20"/>
          <w:color w:val="auto"/>
        </w:rPr>
      </w:pPr>
      <w:r>
        <w:rPr>
          <w:rFonts w:ascii="Times New Roman" w:cs="Times New Roman" w:eastAsia="Times New Roman" w:hAnsi="Times New Roman"/>
          <w:sz w:val="18"/>
          <w:szCs w:val="18"/>
          <w:color w:val="auto"/>
        </w:rPr>
        <w:t>preferred stockholder notice of such fundamental change containing certain information set forth in the Certificate of Designations, including the fundamental change repurchase date, the fundamental change repurchase price and the procedures preferred stockholders must follow to tender their Series A Strike Preferred for repurchase.</w:t>
      </w:r>
    </w:p>
    <w:p>
      <w:pPr>
        <w:spacing w:after="0" w:line="107"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Procedures to Exercise the Fundamental Change Repurchase Right</w:t>
      </w:r>
    </w:p>
    <w:p>
      <w:pPr>
        <w:spacing w:after="0" w:line="148" w:lineRule="exact"/>
        <w:rPr>
          <w:sz w:val="20"/>
          <w:szCs w:val="20"/>
          <w:color w:val="auto"/>
        </w:rPr>
      </w:pPr>
    </w:p>
    <w:p>
      <w:pPr>
        <w:jc w:val="both"/>
        <w:ind w:right="1020"/>
        <w:spacing w:after="0" w:line="266" w:lineRule="auto"/>
        <w:rPr>
          <w:sz w:val="20"/>
          <w:szCs w:val="20"/>
          <w:color w:val="auto"/>
        </w:rPr>
      </w:pPr>
      <w:r>
        <w:rPr>
          <w:rFonts w:ascii="Times New Roman" w:cs="Times New Roman" w:eastAsia="Times New Roman" w:hAnsi="Times New Roman"/>
          <w:sz w:val="18"/>
          <w:szCs w:val="18"/>
          <w:color w:val="auto"/>
        </w:rPr>
        <w:t>To exercise its fundamental change repurchase right with respect to any Series A Strike Preferred, the holder thereof must deliver a notice (a “fundamental change repurchase notice”) to the paying agent before the close of business on the business day immediately before the related fundamental change repurchase date (or such later time as may be required by law).</w:t>
      </w:r>
    </w:p>
    <w:p>
      <w:pPr>
        <w:spacing w:after="0" w:line="203" w:lineRule="exact"/>
        <w:rPr>
          <w:sz w:val="20"/>
          <w:szCs w:val="20"/>
          <w:color w:val="auto"/>
        </w:rPr>
      </w:pPr>
    </w:p>
    <w:p>
      <w:pPr>
        <w:ind w:right="800"/>
        <w:spacing w:after="0" w:line="266" w:lineRule="auto"/>
        <w:rPr>
          <w:sz w:val="20"/>
          <w:szCs w:val="20"/>
          <w:color w:val="auto"/>
        </w:rPr>
      </w:pPr>
      <w:r>
        <w:rPr>
          <w:rFonts w:ascii="Times New Roman" w:cs="Times New Roman" w:eastAsia="Times New Roman" w:hAnsi="Times New Roman"/>
          <w:sz w:val="18"/>
          <w:szCs w:val="18"/>
          <w:color w:val="auto"/>
        </w:rPr>
        <w:t>The fundamental change repurchase notice must contain certain information set forth in the Certificate of Designations, including the certificate number of any physical certificate representing any Series A Strike Preferred to be repurchased, or must otherwise comply with the depositary procedures in the case of a global certificate.</w:t>
      </w:r>
    </w:p>
    <w:p>
      <w:pPr>
        <w:spacing w:after="0" w:line="216" w:lineRule="exact"/>
        <w:rPr>
          <w:sz w:val="20"/>
          <w:szCs w:val="20"/>
          <w:color w:val="auto"/>
        </w:rPr>
      </w:pPr>
    </w:p>
    <w:p>
      <w:pPr>
        <w:ind w:right="60"/>
        <w:spacing w:after="0" w:line="258" w:lineRule="auto"/>
        <w:rPr>
          <w:sz w:val="20"/>
          <w:szCs w:val="20"/>
          <w:color w:val="auto"/>
        </w:rPr>
      </w:pPr>
      <w:r>
        <w:rPr>
          <w:rFonts w:ascii="Times New Roman" w:cs="Times New Roman" w:eastAsia="Times New Roman" w:hAnsi="Times New Roman"/>
          <w:sz w:val="18"/>
          <w:szCs w:val="18"/>
          <w:color w:val="auto"/>
        </w:rPr>
        <w:t>A preferred stockholder that has delivered a fundamental change repurchase notice with respect to any Series A Strike Preferred may withdraw that notice by delivering a withdrawal notice to the paying agent at any time before the close of business on the business day immediately before the fundamental change repurchase date. The withdrawal notice must contain certain information set forth in the Certificate of Designations, including the certificate number of any physical certificate representing any Series A Strike Preferred with respect to which the withdrawal notice is being delivered, or must otherwise comply with the depositary procedures in the case of a global certificate.</w:t>
      </w:r>
    </w:p>
    <w:p>
      <w:pPr>
        <w:spacing w:after="0" w:line="210" w:lineRule="exact"/>
        <w:rPr>
          <w:sz w:val="20"/>
          <w:szCs w:val="20"/>
          <w:color w:val="auto"/>
        </w:rPr>
      </w:pPr>
    </w:p>
    <w:p>
      <w:pPr>
        <w:ind w:right="340"/>
        <w:spacing w:after="0" w:line="266" w:lineRule="auto"/>
        <w:rPr>
          <w:sz w:val="20"/>
          <w:szCs w:val="20"/>
          <w:color w:val="auto"/>
        </w:rPr>
      </w:pPr>
      <w:r>
        <w:rPr>
          <w:rFonts w:ascii="Times New Roman" w:cs="Times New Roman" w:eastAsia="Times New Roman" w:hAnsi="Times New Roman"/>
          <w:sz w:val="18"/>
          <w:szCs w:val="18"/>
          <w:color w:val="auto"/>
        </w:rPr>
        <w:t>Series A Strike Preferred to be repurchased must be delivered to the paying agent (in the case of Series A Strike Preferred represented by any physical certificate) or the depositary procedures must be complied with (in the case of Series A Strike Preferred represented by any global certificate) for the holder of such Series A Strike Preferred to be entitled to receive the fundamental change repurchase price.</w:t>
      </w:r>
    </w:p>
    <w:p>
      <w:pPr>
        <w:spacing w:after="0" w:line="172"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Compliance with Securities Laws</w:t>
      </w:r>
    </w:p>
    <w:p>
      <w:pPr>
        <w:spacing w:after="0" w:line="162" w:lineRule="exact"/>
        <w:rPr>
          <w:sz w:val="20"/>
          <w:szCs w:val="20"/>
          <w:color w:val="auto"/>
        </w:rPr>
      </w:pPr>
    </w:p>
    <w:p>
      <w:pPr>
        <w:ind w:right="100"/>
        <w:spacing w:after="0" w:line="258" w:lineRule="auto"/>
        <w:rPr>
          <w:sz w:val="20"/>
          <w:szCs w:val="20"/>
          <w:color w:val="auto"/>
        </w:rPr>
      </w:pPr>
      <w:r>
        <w:rPr>
          <w:rFonts w:ascii="Times New Roman" w:cs="Times New Roman" w:eastAsia="Times New Roman" w:hAnsi="Times New Roman"/>
          <w:sz w:val="18"/>
          <w:szCs w:val="18"/>
          <w:color w:val="auto"/>
        </w:rPr>
        <w:t>The Company will comply, in all material respects, with all federal and state securities laws in connection with a repurchase following a fundamental change (including complying with Rules 13e-4 and 14e-1 under the Exchange Act and filing any required Schedule TO, to the extent applicable) so as to permit effecting such repurchase in the manner described above. However, to the extent that the Company’s obligations to offer to repurchase and to repurchase Series A Strike Preferred pursuant to the provisions described above conflict with any law or regulation that is applicable to the Company, the Company’s compliance with such law or regulation will not be considered to be a breach of those obligations.</w:t>
      </w:r>
    </w:p>
    <w:p>
      <w:pPr>
        <w:spacing w:after="0" w:line="112" w:lineRule="exact"/>
        <w:rPr>
          <w:sz w:val="20"/>
          <w:szCs w:val="20"/>
          <w:color w:val="auto"/>
        </w:rPr>
      </w:pPr>
    </w:p>
    <w:p>
      <w:pPr>
        <w:ind w:right="2800" w:firstLine="749"/>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Funds Legally Available for Payment of the Fundamental Change Repurchase Price; Covenant Not to Take Certain Actions</w:t>
      </w:r>
    </w:p>
    <w:p>
      <w:pPr>
        <w:spacing w:after="0" w:line="78" w:lineRule="exact"/>
        <w:rPr>
          <w:sz w:val="20"/>
          <w:szCs w:val="20"/>
          <w:color w:val="auto"/>
        </w:rPr>
      </w:pPr>
    </w:p>
    <w:p>
      <w:pPr>
        <w:ind w:right="60"/>
        <w:spacing w:after="0" w:line="255" w:lineRule="auto"/>
        <w:rPr>
          <w:sz w:val="20"/>
          <w:szCs w:val="20"/>
          <w:color w:val="auto"/>
        </w:rPr>
      </w:pPr>
      <w:r>
        <w:rPr>
          <w:rFonts w:ascii="Times New Roman" w:cs="Times New Roman" w:eastAsia="Times New Roman" w:hAnsi="Times New Roman"/>
          <w:sz w:val="18"/>
          <w:szCs w:val="18"/>
          <w:color w:val="auto"/>
        </w:rPr>
        <w:t>Notwithstanding anything to the contrary, (i) the Company will not be obligated to pay the fundamental change repurchase price of any shares of Series A Strike Preferred to the extent, and only to the extent, the Company does not have sufficient funds legally available to pay the same; and (ii) if the Company does not have sufficient funds legally available to pay the fundamental change repurchase price of all shares of Series A Strike Preferred that are otherwise to be repurchased pursuant to a repurchase upon fundamental change, then (a) the Company will pay the maximum amount of such fundamental change repurchase price that can be paid out of funds legally available for payment, which payment will be made pro rata to each preferred stockholder based on the total number of shares of Series A Strike Preferred of such preferred stockholder that were otherwise to be repurchased pursuant to such</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1121410</wp:posOffset>
            </wp:positionV>
            <wp:extent cx="7157720" cy="42545"/>
            <wp:wrapNone/>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70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40" w:right="419" w:bottom="1440" w:gutter="0" w:footer="0" w:header="0"/>
        </w:sectPr>
      </w:pPr>
    </w:p>
    <w:bookmarkStart w:id="150" w:name="page151"/>
    <w:bookmarkEnd w:id="150"/>
    <w:p>
      <w:pPr>
        <w:spacing w:after="0" w:line="32"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repurchase upon fundamental change; and (b) the Company will cause all such shares as to which the fundamental change repurchase price was not paid to be returned to the holder(s) thereof, and such shares will be deemed to remain outstanding. The Company will not voluntarily take any action, or voluntarily engage in any transaction, that would result in a fundamental change unless the Company has sufficient funds legally available to fully pay the maximum aggregate fundamental change repurchase price that would be payable in respect of such fundamental change on all shares of Series A Strike Preferred then outstanding.</w:t>
      </w:r>
    </w:p>
    <w:p>
      <w:pPr>
        <w:spacing w:after="0" w:line="112"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Repurchase by Third Party</w:t>
      </w:r>
    </w:p>
    <w:p>
      <w:pPr>
        <w:spacing w:after="0" w:line="162" w:lineRule="exact"/>
        <w:rPr>
          <w:sz w:val="20"/>
          <w:szCs w:val="20"/>
          <w:color w:val="auto"/>
        </w:rPr>
      </w:pPr>
    </w:p>
    <w:p>
      <w:pPr>
        <w:ind w:right="220"/>
        <w:spacing w:after="0" w:line="258" w:lineRule="auto"/>
        <w:rPr>
          <w:sz w:val="20"/>
          <w:szCs w:val="20"/>
          <w:color w:val="auto"/>
        </w:rPr>
      </w:pPr>
      <w:r>
        <w:rPr>
          <w:rFonts w:ascii="Times New Roman" w:cs="Times New Roman" w:eastAsia="Times New Roman" w:hAnsi="Times New Roman"/>
          <w:sz w:val="18"/>
          <w:szCs w:val="18"/>
          <w:color w:val="auto"/>
        </w:rPr>
        <w:t>Notwithstanding anything to the contrary, the Company will be deemed to satisfy its obligations to repurchase Series A Strike Preferred pursuant to a repurchase upon fundamental change if (i) one or more third parties conduct the repurchase offer and repurchase tendered Series A Strike Preferred in a manner that would have satisfied the Company’s obligations to do the same if conducted directly by the Company; and (ii) an owner of a beneficial interest in any Series A Strike Preferred repurchased by such third party or parties will not receive a lesser amount (as a result of withholding or other similar taxes) than such owner would have received had the Company repurchased such Series A Strike Preferred.</w:t>
      </w:r>
    </w:p>
    <w:p>
      <w:pPr>
        <w:spacing w:after="0" w:line="98"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No Repurchase Right in Certain Circumstances</w:t>
      </w:r>
    </w:p>
    <w:p>
      <w:pPr>
        <w:spacing w:after="0" w:line="148" w:lineRule="exact"/>
        <w:rPr>
          <w:sz w:val="20"/>
          <w:szCs w:val="20"/>
          <w:color w:val="auto"/>
        </w:rPr>
      </w:pPr>
    </w:p>
    <w:p>
      <w:pPr>
        <w:ind w:right="40"/>
        <w:spacing w:after="0" w:line="261" w:lineRule="auto"/>
        <w:rPr>
          <w:sz w:val="20"/>
          <w:szCs w:val="20"/>
          <w:color w:val="auto"/>
        </w:rPr>
      </w:pPr>
      <w:r>
        <w:rPr>
          <w:rFonts w:ascii="Times New Roman" w:cs="Times New Roman" w:eastAsia="Times New Roman" w:hAnsi="Times New Roman"/>
          <w:sz w:val="18"/>
          <w:szCs w:val="18"/>
          <w:color w:val="auto"/>
        </w:rPr>
        <w:t>Notwithstanding anything to the contrary, the Company will not be required to send a fundamental change notice, or offer to repurchase or repurchase any Series A Strike Preferred, as described above, in connection with a class A common stock change event that constitutes a fundamental change pursuant to clause (ii)(2) of the definition thereof (regardless of whether such class A common stock change event also constitutes a fundamental change pursuant to any other clause of such definition), if:</w:t>
      </w:r>
    </w:p>
    <w:p>
      <w:pPr>
        <w:spacing w:after="0" w:line="180" w:lineRule="exact"/>
        <w:rPr>
          <w:sz w:val="20"/>
          <w:szCs w:val="20"/>
          <w:color w:val="auto"/>
        </w:rPr>
      </w:pPr>
    </w:p>
    <w:p>
      <w:pPr>
        <w:ind w:left="740" w:hanging="358"/>
        <w:spacing w:after="0"/>
        <w:tabs>
          <w:tab w:leader="none" w:pos="740" w:val="left"/>
        </w:tabs>
        <w:numPr>
          <w:ilvl w:val="0"/>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reference property of such class A common stock change event consists entirely of cash in U.S. dollars;</w:t>
      </w:r>
    </w:p>
    <w:p>
      <w:pPr>
        <w:spacing w:after="0" w:line="144" w:lineRule="exact"/>
        <w:rPr>
          <w:rFonts w:ascii="Times New Roman" w:cs="Times New Roman" w:eastAsia="Times New Roman" w:hAnsi="Times New Roman"/>
          <w:sz w:val="18"/>
          <w:szCs w:val="18"/>
          <w:color w:val="auto"/>
        </w:rPr>
      </w:pPr>
    </w:p>
    <w:p>
      <w:pPr>
        <w:ind w:left="760" w:right="20" w:hanging="378"/>
        <w:spacing w:after="0" w:line="255" w:lineRule="auto"/>
        <w:tabs>
          <w:tab w:leader="none" w:pos="760" w:val="left"/>
        </w:tabs>
        <w:numPr>
          <w:ilvl w:val="0"/>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immediately after such fundamental change, the Series A Strike Preferred becomes convertible (pursuant to the provisions described above under the caption “—Conversion Rights—Effect of Class A Common Stock Change Event”) into consideration that consists solely of U.S. dollars in an amount per share of Series A Strike Preferred that equals or exceeds the fundamental change repurchase price per share of Series A Strike Preferred (calculated (i) assuming that the same includes accumulated and unpaid regular dividends to, but excluding, the latest possible fundamental change repurchase date for such fundamental change; and (ii) without regard to the provision described in the second sentence of the second paragraph under the caption “—Fundamental Change Permits Preferred Stockholders to Require the Company to Repurchase Series A Strike Preferred—Generally”); and</w:t>
      </w:r>
    </w:p>
    <w:p>
      <w:pPr>
        <w:spacing w:after="0" w:line="94" w:lineRule="exact"/>
        <w:rPr>
          <w:rFonts w:ascii="Times New Roman" w:cs="Times New Roman" w:eastAsia="Times New Roman" w:hAnsi="Times New Roman"/>
          <w:sz w:val="18"/>
          <w:szCs w:val="18"/>
          <w:color w:val="auto"/>
        </w:rPr>
      </w:pPr>
    </w:p>
    <w:p>
      <w:pPr>
        <w:ind w:left="760" w:right="100" w:hanging="378"/>
        <w:spacing w:after="0" w:line="261" w:lineRule="auto"/>
        <w:tabs>
          <w:tab w:leader="none" w:pos="760" w:val="left"/>
        </w:tabs>
        <w:numPr>
          <w:ilvl w:val="0"/>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timely sends the notice relating to such class A common stock change event pursuant to the provisions described above under the caption “—Conversion Rights—Effect of Class A Common Stock Change Event—Notice of Class A Common Stock Change Event” and includes, in such notice, a statement that it is relying on the provisions described in this “—No Repurchase Right in Certain Circumstances” section.</w:t>
      </w:r>
    </w:p>
    <w:p>
      <w:pPr>
        <w:spacing w:after="0" w:line="207" w:lineRule="exact"/>
        <w:rPr>
          <w:sz w:val="20"/>
          <w:szCs w:val="20"/>
          <w:color w:val="auto"/>
        </w:rPr>
      </w:pPr>
    </w:p>
    <w:p>
      <w:pPr>
        <w:ind w:right="620"/>
        <w:spacing w:after="0" w:line="282" w:lineRule="auto"/>
        <w:rPr>
          <w:sz w:val="20"/>
          <w:szCs w:val="20"/>
          <w:color w:val="auto"/>
        </w:rPr>
      </w:pPr>
      <w:r>
        <w:rPr>
          <w:rFonts w:ascii="Times New Roman" w:cs="Times New Roman" w:eastAsia="Times New Roman" w:hAnsi="Times New Roman"/>
          <w:sz w:val="18"/>
          <w:szCs w:val="18"/>
          <w:color w:val="auto"/>
        </w:rPr>
        <w:t>Any fundamental change with respect to which, in accordance with the provisions described above, the Company does not offer to repurchase any Series A Strike Preferred is referred to herein as an “exempted fundamental change.”</w:t>
      </w:r>
    </w:p>
    <w:p>
      <w:pPr>
        <w:spacing w:after="0" w:line="158"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No Preemptive Rights</w:t>
      </w:r>
    </w:p>
    <w:p>
      <w:pPr>
        <w:spacing w:after="0" w:line="162" w:lineRule="exact"/>
        <w:rPr>
          <w:sz w:val="20"/>
          <w:szCs w:val="20"/>
          <w:color w:val="auto"/>
        </w:rPr>
      </w:pPr>
    </w:p>
    <w:p>
      <w:pPr>
        <w:ind w:right="300"/>
        <w:spacing w:after="0" w:line="266" w:lineRule="auto"/>
        <w:rPr>
          <w:sz w:val="20"/>
          <w:szCs w:val="20"/>
          <w:color w:val="auto"/>
        </w:rPr>
      </w:pPr>
      <w:r>
        <w:rPr>
          <w:rFonts w:ascii="Times New Roman" w:cs="Times New Roman" w:eastAsia="Times New Roman" w:hAnsi="Times New Roman"/>
          <w:sz w:val="18"/>
          <w:szCs w:val="18"/>
          <w:color w:val="auto"/>
        </w:rPr>
        <w:t>Without limiting the rights of preferred stockholders described above (including in connection with the issuance of Class A or reference property upon conversion of the Series A Strike Preferred), the Series A Strike Preferred will not have any preemptive rights to subscribe for or purchase any of the Company’s securities.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1104900</wp:posOffset>
            </wp:positionV>
            <wp:extent cx="7157720" cy="42545"/>
            <wp:wrapNone/>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70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40" w:right="419" w:bottom="1440" w:gutter="0" w:footer="0" w:header="0"/>
        </w:sectPr>
      </w:pPr>
    </w:p>
    <w:bookmarkStart w:id="151" w:name="page152"/>
    <w:bookmarkEnd w:id="151"/>
    <w:p>
      <w:pPr>
        <w:spacing w:after="0" w:line="41"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Calculations</w:t>
      </w:r>
    </w:p>
    <w:p>
      <w:pPr>
        <w:spacing w:after="0" w:line="131"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Responsibility; Schedule of Calculations</w:t>
      </w:r>
    </w:p>
    <w:p>
      <w:pPr>
        <w:spacing w:after="0" w:line="148" w:lineRule="exact"/>
        <w:rPr>
          <w:sz w:val="20"/>
          <w:szCs w:val="20"/>
          <w:color w:val="auto"/>
        </w:rPr>
      </w:pPr>
    </w:p>
    <w:p>
      <w:pPr>
        <w:ind w:right="160"/>
        <w:spacing w:after="0" w:line="258" w:lineRule="auto"/>
        <w:rPr>
          <w:sz w:val="20"/>
          <w:szCs w:val="20"/>
          <w:color w:val="auto"/>
        </w:rPr>
      </w:pPr>
      <w:r>
        <w:rPr>
          <w:rFonts w:ascii="Times New Roman" w:cs="Times New Roman" w:eastAsia="Times New Roman" w:hAnsi="Times New Roman"/>
          <w:sz w:val="18"/>
          <w:szCs w:val="18"/>
          <w:color w:val="auto"/>
        </w:rPr>
        <w:t>Except as otherwise provided in the Certificate of Designations, the Company will be responsible for making all calculations called for under the Certificate of Designations or the Series A Strike Preferred, including determinations of the conversion rate, the daily VWAP, the regular dividend stock price, the floor price, the last reported sale prices and accumulated regular dividends on the Series A Strike Preferred. The Company will make all calculations in good faith, and, absent manifest error, the Company’s calculations will be final and binding on all preferred stockholders. The Company will provide a schedule of these calculations to any preferred stockholder or any beneficial owner of any Series A Strike Preferred upon written request.</w:t>
      </w:r>
    </w:p>
    <w:p>
      <w:pPr>
        <w:spacing w:after="0" w:line="112"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Calculations Aggregated for Each Preferred Stockholder</w:t>
      </w:r>
    </w:p>
    <w:p>
      <w:pPr>
        <w:spacing w:after="0" w:line="135" w:lineRule="exact"/>
        <w:rPr>
          <w:sz w:val="20"/>
          <w:szCs w:val="20"/>
          <w:color w:val="auto"/>
        </w:rPr>
      </w:pPr>
    </w:p>
    <w:p>
      <w:pPr>
        <w:ind w:right="80"/>
        <w:spacing w:after="0" w:line="255" w:lineRule="auto"/>
        <w:rPr>
          <w:sz w:val="20"/>
          <w:szCs w:val="20"/>
          <w:color w:val="auto"/>
        </w:rPr>
      </w:pPr>
      <w:r>
        <w:rPr>
          <w:rFonts w:ascii="Times New Roman" w:cs="Times New Roman" w:eastAsia="Times New Roman" w:hAnsi="Times New Roman"/>
          <w:sz w:val="18"/>
          <w:szCs w:val="18"/>
          <w:color w:val="auto"/>
        </w:rPr>
        <w:t>The composition of the consideration due upon conversion of, the payment of the fundamental change repurchase price or redemption price for, and the payment on a regular dividend payment date of regular dividends on, the Series A Strike Preferred of any preferred stockholder will (in the case of a global certificate, to the extent permitted by, and practicable under, the depositary procedures) be computed based on the total number of shares of Series A Strike Preferred of such preferred stockholder being converted with the same conversion date (in the case of consideration due upon conversion), to be repurchased (in the case of payment of the fundamental change repurchase price) or redeemed (in the case of payment of the redemption price) or held by such preferred stockholder as of the close of business on the related regular record date (in the case of payment of such regular dividends), as applicable. Any cash amounts due to such preferred stockholder in respect thereof will, after giving effect to the preceding sentence, be rounded to the nearest cent.</w:t>
      </w:r>
    </w:p>
    <w:p>
      <w:pPr>
        <w:spacing w:after="0" w:line="185"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Notices</w:t>
      </w:r>
    </w:p>
    <w:p>
      <w:pPr>
        <w:spacing w:after="0" w:line="148" w:lineRule="exact"/>
        <w:rPr>
          <w:sz w:val="20"/>
          <w:szCs w:val="20"/>
          <w:color w:val="auto"/>
        </w:rPr>
      </w:pPr>
    </w:p>
    <w:p>
      <w:pPr>
        <w:ind w:right="160"/>
        <w:spacing w:after="0" w:line="258" w:lineRule="auto"/>
        <w:rPr>
          <w:sz w:val="20"/>
          <w:szCs w:val="20"/>
          <w:color w:val="auto"/>
        </w:rPr>
      </w:pPr>
      <w:r>
        <w:rPr>
          <w:rFonts w:ascii="Times New Roman" w:cs="Times New Roman" w:eastAsia="Times New Roman" w:hAnsi="Times New Roman"/>
          <w:sz w:val="18"/>
          <w:szCs w:val="18"/>
          <w:color w:val="auto"/>
        </w:rPr>
        <w:t>The Company will send all notices or communications to preferred stockholders pursuant to the Certificate of Designations in writing by first class mail, certified or registered, return receipt requested, or by overnight air courier guaranteeing next day delivery, to the preferred stockholders’ respective addresses shown on the register for the Series A Strike Preferred. However, in the case of Series A Strike Preferred represented by one or more global certificates, the Company is permitted to send notices or communications to preferred stockholders pursuant to the depositary procedures, and notices and communications that the Company sends in this manner will be deemed to have been properly sent to such preferred stockholders in writing.</w:t>
      </w:r>
    </w:p>
    <w:p>
      <w:pPr>
        <w:spacing w:after="0" w:line="314"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Definitions</w:t>
      </w:r>
    </w:p>
    <w:p>
      <w:pPr>
        <w:spacing w:after="0" w:line="1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“Affiliate” has the meaning set forth in Rule 144 under the Securities Act as in effect on the initial issue date.</w:t>
      </w:r>
    </w:p>
    <w:p>
      <w:pPr>
        <w:spacing w:after="0" w:line="266" w:lineRule="exact"/>
        <w:rPr>
          <w:sz w:val="20"/>
          <w:szCs w:val="20"/>
          <w:color w:val="auto"/>
        </w:rPr>
      </w:pPr>
    </w:p>
    <w:p>
      <w:pPr>
        <w:ind w:right="3000"/>
        <w:spacing w:after="0" w:line="282" w:lineRule="auto"/>
        <w:rPr>
          <w:sz w:val="20"/>
          <w:szCs w:val="20"/>
          <w:color w:val="auto"/>
        </w:rPr>
      </w:pPr>
      <w:r>
        <w:rPr>
          <w:rFonts w:ascii="Times New Roman" w:cs="Times New Roman" w:eastAsia="Times New Roman" w:hAnsi="Times New Roman"/>
          <w:sz w:val="18"/>
          <w:szCs w:val="18"/>
          <w:color w:val="auto"/>
        </w:rPr>
        <w:t>“Business day” means any day other than a Saturday, a Sunday or any day on which the Federal Reserve Bank of New York is authorized or required by law or executive order to close or be closed.</w:t>
      </w:r>
    </w:p>
    <w:p>
      <w:pPr>
        <w:spacing w:after="0" w:line="202"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“Capital stock” of any person means any and all shares of, interests in, rights to purchase, warrants or options for, participations in, or other equivalents of, in each case however designated, the equity of such person, but excluding any debt securities convertible into such equity.</w:t>
      </w:r>
    </w:p>
    <w:p>
      <w:pPr>
        <w:spacing w:after="0" w:line="175" w:lineRule="exact"/>
        <w:rPr>
          <w:sz w:val="20"/>
          <w:szCs w:val="20"/>
          <w:color w:val="auto"/>
        </w:rPr>
      </w:pPr>
    </w:p>
    <w:p>
      <w:pPr>
        <w:ind w:right="3580"/>
        <w:spacing w:after="0" w:line="297" w:lineRule="auto"/>
        <w:rPr>
          <w:sz w:val="20"/>
          <w:szCs w:val="20"/>
          <w:color w:val="auto"/>
        </w:rPr>
      </w:pPr>
      <w:r>
        <w:rPr>
          <w:rFonts w:ascii="Times New Roman" w:cs="Times New Roman" w:eastAsia="Times New Roman" w:hAnsi="Times New Roman"/>
          <w:sz w:val="18"/>
          <w:szCs w:val="18"/>
          <w:color w:val="auto"/>
        </w:rPr>
        <w:t>“Class A common stock change event” has the meaning set forth above under the caption “—Conversion Rights—Effect of Class A Common Stock Change Event—Generally.”</w:t>
      </w:r>
    </w:p>
    <w:p>
      <w:pPr>
        <w:spacing w:after="0" w:line="16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“Close of business” means 5:00 p.m., New York City time.</w:t>
      </w:r>
    </w:p>
    <w:p>
      <w:pPr>
        <w:spacing w:after="0" w:line="27" w:lineRule="exact"/>
        <w:rPr>
          <w:sz w:val="20"/>
          <w:szCs w:val="20"/>
          <w:color w:val="auto"/>
        </w:rPr>
      </w:pPr>
    </w:p>
    <w:p>
      <w:pPr>
        <w:ind w:right="140"/>
        <w:spacing w:after="0" w:line="250" w:lineRule="auto"/>
        <w:rPr>
          <w:sz w:val="20"/>
          <w:szCs w:val="20"/>
          <w:color w:val="auto"/>
        </w:rPr>
      </w:pPr>
      <w:r>
        <w:rPr>
          <w:rFonts w:ascii="Times New Roman" w:cs="Times New Roman" w:eastAsia="Times New Roman" w:hAnsi="Times New Roman"/>
          <w:sz w:val="18"/>
          <w:szCs w:val="18"/>
          <w:color w:val="auto"/>
        </w:rPr>
        <w:t>“Compounded dividends” has the meaning set forth above under the caption “—Regular Dividends—Generally.” “Conversion date” means, with respect to any share of Series A Strike Preferred, the first business day on</w:t>
      </w:r>
    </w:p>
    <w:p>
      <w:pPr>
        <w:spacing w:after="0" w:line="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which the requirements described above under the caption “—Conversion Rights—Conversion Procedures” to convert such share are satisfied.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1030605</wp:posOffset>
            </wp:positionV>
            <wp:extent cx="7157720" cy="42545"/>
            <wp:wrapNone/>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70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40" w:right="419" w:bottom="1440" w:gutter="0" w:footer="0" w:header="0"/>
        </w:sectPr>
      </w:pPr>
    </w:p>
    <w:bookmarkStart w:id="152" w:name="page153"/>
    <w:bookmarkEnd w:id="152"/>
    <w:p>
      <w:pPr>
        <w:ind w:right="500"/>
        <w:spacing w:after="0" w:line="284" w:lineRule="auto"/>
        <w:rPr>
          <w:sz w:val="20"/>
          <w:szCs w:val="20"/>
          <w:color w:val="auto"/>
        </w:rPr>
      </w:pPr>
      <w:r>
        <w:rPr>
          <w:rFonts w:ascii="Times New Roman" w:cs="Times New Roman" w:eastAsia="Times New Roman" w:hAnsi="Times New Roman"/>
          <w:sz w:val="18"/>
          <w:szCs w:val="18"/>
          <w:color w:val="auto"/>
        </w:rPr>
        <w:t xml:space="preserve">“Conversion price” means, as of any time, an amount equal to (i) the liquidation preference per share of Series A Strike Preferred,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(ii) the conversion rate in effect at such time.</w:t>
      </w:r>
    </w:p>
    <w:p>
      <w:pPr>
        <w:spacing w:after="0" w:line="214" w:lineRule="exact"/>
        <w:rPr>
          <w:sz w:val="20"/>
          <w:szCs w:val="20"/>
          <w:color w:val="auto"/>
        </w:rPr>
      </w:pPr>
    </w:p>
    <w:p>
      <w:pPr>
        <w:ind w:right="220"/>
        <w:spacing w:after="0" w:line="261" w:lineRule="auto"/>
        <w:rPr>
          <w:sz w:val="20"/>
          <w:szCs w:val="20"/>
          <w:color w:val="auto"/>
        </w:rPr>
      </w:pPr>
      <w:r>
        <w:rPr>
          <w:rFonts w:ascii="Times New Roman" w:cs="Times New Roman" w:eastAsia="Times New Roman" w:hAnsi="Times New Roman"/>
          <w:sz w:val="18"/>
          <w:szCs w:val="18"/>
          <w:color w:val="auto"/>
        </w:rPr>
        <w:t>“Conversion rate” initially means 0.1000 shares of Class A per share of Series A Strike Preferred, which amount is subject to adjustment as described above under the caption “—Conversion Rights—Conversion Rate Adjustments.” Whenever there is reference made herein to the conversion rate as of a particular date without setting forth a particular time on such date, such reference will be deemed to be to the conversion rate immediately before the close of business on such date.</w:t>
      </w:r>
    </w:p>
    <w:p>
      <w:pPr>
        <w:spacing w:after="0" w:line="234" w:lineRule="exact"/>
        <w:rPr>
          <w:sz w:val="20"/>
          <w:szCs w:val="20"/>
          <w:color w:val="auto"/>
        </w:rPr>
      </w:pPr>
    </w:p>
    <w:p>
      <w:pPr>
        <w:ind w:right="340"/>
        <w:spacing w:after="0" w:line="256" w:lineRule="auto"/>
        <w:rPr>
          <w:sz w:val="20"/>
          <w:szCs w:val="20"/>
          <w:color w:val="auto"/>
        </w:rPr>
      </w:pPr>
      <w:r>
        <w:rPr>
          <w:rFonts w:ascii="Times New Roman" w:cs="Times New Roman" w:eastAsia="Times New Roman" w:hAnsi="Times New Roman"/>
          <w:sz w:val="18"/>
          <w:szCs w:val="18"/>
          <w:color w:val="auto"/>
        </w:rPr>
        <w:t>“Daily VWAP” means, for any VWAP trading day, the per share volume-weighted average price of the Class A as displayed under the heading “Bloomberg VWAP” on Bloomberg page “MSTR &lt;EQUITY&gt; AQR” (or, if such page is not available, its equivalent successor page) in respect of the period from the scheduled open of trading until the scheduled close of trading of the primary trading session on such VWAP trading day (or, if such volume-weighted average price is unavailable, the market value of one share of Class A on such VWAP trading day, determined, using a volume-weighted average price method, by a nationally recognized independent investment banking firm the Company selects). The daily VWAP will be determined without regard to after-hours trading or any other trading outside of the regular trading session.</w:t>
      </w:r>
    </w:p>
    <w:p>
      <w:pPr>
        <w:spacing w:after="0" w:line="241" w:lineRule="exact"/>
        <w:rPr>
          <w:sz w:val="20"/>
          <w:szCs w:val="20"/>
          <w:color w:val="auto"/>
        </w:rPr>
      </w:pPr>
    </w:p>
    <w:p>
      <w:pPr>
        <w:ind w:right="3020"/>
        <w:spacing w:after="0" w:line="297" w:lineRule="auto"/>
        <w:rPr>
          <w:sz w:val="20"/>
          <w:szCs w:val="20"/>
          <w:color w:val="auto"/>
        </w:rPr>
      </w:pPr>
      <w:r>
        <w:rPr>
          <w:rFonts w:ascii="Times New Roman" w:cs="Times New Roman" w:eastAsia="Times New Roman" w:hAnsi="Times New Roman"/>
          <w:sz w:val="18"/>
          <w:szCs w:val="18"/>
          <w:color w:val="auto"/>
        </w:rPr>
        <w:t>“Deferral exception” has the meaning set forth above under the caption “—Conversion Rights—Conversion Rate Adjustments—The Deferral Exception.”</w:t>
      </w:r>
    </w:p>
    <w:p>
      <w:pPr>
        <w:spacing w:after="0" w:line="203" w:lineRule="exact"/>
        <w:rPr>
          <w:sz w:val="20"/>
          <w:szCs w:val="20"/>
          <w:color w:val="auto"/>
        </w:rPr>
      </w:pPr>
    </w:p>
    <w:p>
      <w:pPr>
        <w:ind w:right="1040"/>
        <w:spacing w:after="0" w:line="282" w:lineRule="auto"/>
        <w:rPr>
          <w:sz w:val="20"/>
          <w:szCs w:val="20"/>
          <w:color w:val="auto"/>
        </w:rPr>
      </w:pPr>
      <w:r>
        <w:rPr>
          <w:rFonts w:ascii="Times New Roman" w:cs="Times New Roman" w:eastAsia="Times New Roman" w:hAnsi="Times New Roman"/>
          <w:sz w:val="18"/>
          <w:szCs w:val="18"/>
          <w:color w:val="auto"/>
        </w:rPr>
        <w:t>“Depositary” means The Depository Trust Company or its successor, or any successor depositary for the applicable shares of Series A Strike Preferred.</w:t>
      </w:r>
    </w:p>
    <w:p>
      <w:pPr>
        <w:spacing w:after="0" w:line="216" w:lineRule="exact"/>
        <w:rPr>
          <w:sz w:val="20"/>
          <w:szCs w:val="20"/>
          <w:color w:val="auto"/>
        </w:rPr>
      </w:pPr>
    </w:p>
    <w:p>
      <w:pPr>
        <w:jc w:val="both"/>
        <w:ind w:right="20"/>
        <w:spacing w:after="0" w:line="266" w:lineRule="auto"/>
        <w:rPr>
          <w:sz w:val="20"/>
          <w:szCs w:val="20"/>
          <w:color w:val="auto"/>
        </w:rPr>
      </w:pPr>
      <w:r>
        <w:rPr>
          <w:rFonts w:ascii="Times New Roman" w:cs="Times New Roman" w:eastAsia="Times New Roman" w:hAnsi="Times New Roman"/>
          <w:sz w:val="18"/>
          <w:szCs w:val="18"/>
          <w:color w:val="auto"/>
        </w:rPr>
        <w:t>“Depositary procedures” means, with respect to any conversion, transfer, exchange or other transaction involving a global certificate representing any Series A Strike Preferred, or any beneficial interest in such certificate, the rules and procedures of the depositary applicable to such conversion, transfer, exchange or transaction.</w:t>
      </w:r>
    </w:p>
    <w:p>
      <w:pPr>
        <w:spacing w:after="0" w:line="230" w:lineRule="exact"/>
        <w:rPr>
          <w:sz w:val="20"/>
          <w:szCs w:val="20"/>
          <w:color w:val="auto"/>
        </w:rPr>
      </w:pPr>
    </w:p>
    <w:p>
      <w:pPr>
        <w:ind w:right="3320"/>
        <w:spacing w:after="0" w:line="329" w:lineRule="auto"/>
        <w:rPr>
          <w:sz w:val="20"/>
          <w:szCs w:val="20"/>
          <w:color w:val="auto"/>
        </w:rPr>
      </w:pPr>
      <w:r>
        <w:rPr>
          <w:rFonts w:ascii="Times New Roman" w:cs="Times New Roman" w:eastAsia="Times New Roman" w:hAnsi="Times New Roman"/>
          <w:sz w:val="17"/>
          <w:szCs w:val="17"/>
          <w:color w:val="auto"/>
        </w:rPr>
        <w:t>“Director qualification requirement” has the meaning set forth under the caption “—Voting Rights—Right to Designate up to Two Preferred Stock Directors Upon Regular Dividend Non-Payment Events—Generally.”</w:t>
      </w:r>
    </w:p>
    <w:p>
      <w:pPr>
        <w:spacing w:after="0" w:line="193"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“Dividend junior stock” means any class or series of our stock whose terms do not expressly provide that such class or series will rank senior to, or equally with, the Series A Strike Preferred with respect to the payment of dividends (without regard to whether or not dividends accumulate cumulatively). Dividend junior stock includes the Class A and the Class B. For the avoidance of doubt, dividend junior stock will not include any securities of the Company’s subsidiaries.</w:t>
      </w:r>
    </w:p>
    <w:p>
      <w:pPr>
        <w:spacing w:after="0" w:line="180" w:lineRule="exact"/>
        <w:rPr>
          <w:sz w:val="20"/>
          <w:szCs w:val="20"/>
          <w:color w:val="auto"/>
        </w:rPr>
      </w:pPr>
    </w:p>
    <w:p>
      <w:pPr>
        <w:ind w:right="260"/>
        <w:spacing w:after="0" w:line="266" w:lineRule="auto"/>
        <w:rPr>
          <w:sz w:val="20"/>
          <w:szCs w:val="20"/>
          <w:color w:val="auto"/>
        </w:rPr>
      </w:pPr>
      <w:r>
        <w:rPr>
          <w:rFonts w:ascii="Times New Roman" w:cs="Times New Roman" w:eastAsia="Times New Roman" w:hAnsi="Times New Roman"/>
          <w:sz w:val="18"/>
          <w:szCs w:val="18"/>
          <w:color w:val="auto"/>
        </w:rPr>
        <w:t>“Dividend parity stock” means any class or series of the Company’s stock (other than the Series A Strike Preferred) whose terms expressly provide that such class or series will rank equally with the Series A Strike Preferred with respect to the payment of dividends (without regard to whether or not dividends accumulate cumulatively). For the avoidance of doubt, dividend parity stock will not include any securities of the Company’s subsidiaries.</w:t>
      </w:r>
    </w:p>
    <w:p>
      <w:pPr>
        <w:spacing w:after="0" w:line="230" w:lineRule="exact"/>
        <w:rPr>
          <w:sz w:val="20"/>
          <w:szCs w:val="20"/>
          <w:color w:val="auto"/>
        </w:rPr>
      </w:pPr>
    </w:p>
    <w:p>
      <w:pPr>
        <w:ind w:right="200"/>
        <w:spacing w:after="0" w:line="266" w:lineRule="auto"/>
        <w:rPr>
          <w:sz w:val="20"/>
          <w:szCs w:val="20"/>
          <w:color w:val="auto"/>
        </w:rPr>
      </w:pPr>
      <w:r>
        <w:rPr>
          <w:rFonts w:ascii="Times New Roman" w:cs="Times New Roman" w:eastAsia="Times New Roman" w:hAnsi="Times New Roman"/>
          <w:sz w:val="18"/>
          <w:szCs w:val="18"/>
          <w:color w:val="auto"/>
        </w:rPr>
        <w:t>“Dividend senior stock” means any class or series of the Company’s stock whose terms expressly provide that such class or series will rank senior to the Series A Strike Preferred with respect to the payment of dividends (without regard to whether or not dividends accumulate cumulatively). For the avoidance of doubt, dividend senior stock will not include any securities of the Company’s subsidiaries.</w:t>
      </w:r>
    </w:p>
    <w:p>
      <w:pPr>
        <w:spacing w:after="0" w:line="230" w:lineRule="exact"/>
        <w:rPr>
          <w:sz w:val="20"/>
          <w:szCs w:val="20"/>
          <w:color w:val="auto"/>
        </w:rPr>
      </w:pPr>
    </w:p>
    <w:p>
      <w:pPr>
        <w:ind w:right="300"/>
        <w:spacing w:after="0" w:line="258" w:lineRule="auto"/>
        <w:rPr>
          <w:sz w:val="20"/>
          <w:szCs w:val="20"/>
          <w:color w:val="auto"/>
        </w:rPr>
      </w:pPr>
      <w:r>
        <w:rPr>
          <w:rFonts w:ascii="Times New Roman" w:cs="Times New Roman" w:eastAsia="Times New Roman" w:hAnsi="Times New Roman"/>
          <w:sz w:val="18"/>
          <w:szCs w:val="18"/>
          <w:color w:val="auto"/>
        </w:rPr>
        <w:t>“Ex-dividend date” means, with respect to an issuance, dividend or distribution on the Class A, the first date on which shares of Class A trade on the applicable exchange or in the applicable market, regular way, without the right to receive such issuance, dividend or distribution (including pursuant to due bills or similar arrangements required by the relevant stock exchange). For the avoidance of doubt, any alternative trading convention on the applicable exchange or market in respect of the Class A under a separate ticker symbol or CUSIP number will not be considered “regular way” for this purpose.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1007110</wp:posOffset>
            </wp:positionV>
            <wp:extent cx="7157720" cy="42545"/>
            <wp:wrapNone/>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70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80"/>
          </w:cols>
          <w:pgMar w:left="320" w:top="1415" w:right="399" w:bottom="1440" w:gutter="0" w:footer="0" w:header="0"/>
        </w:sectPr>
      </w:pPr>
    </w:p>
    <w:bookmarkStart w:id="153" w:name="page154"/>
    <w:bookmarkEnd w:id="153"/>
    <w:p>
      <w:pPr>
        <w:ind w:right="860"/>
        <w:spacing w:after="0" w:line="282" w:lineRule="auto"/>
        <w:rPr>
          <w:sz w:val="20"/>
          <w:szCs w:val="20"/>
          <w:color w:val="auto"/>
        </w:rPr>
      </w:pPr>
      <w:r>
        <w:rPr>
          <w:rFonts w:ascii="Times New Roman" w:cs="Times New Roman" w:eastAsia="Times New Roman" w:hAnsi="Times New Roman"/>
          <w:sz w:val="18"/>
          <w:szCs w:val="18"/>
          <w:color w:val="auto"/>
        </w:rPr>
        <w:t>“Expiration date” has the meaning set forth above in paragraph (5) under the caption “—Conversion Rights— Conversion Rate Adjustments— Generally.”</w:t>
      </w:r>
    </w:p>
    <w:p>
      <w:pPr>
        <w:spacing w:after="0" w:line="216" w:lineRule="exact"/>
        <w:rPr>
          <w:sz w:val="20"/>
          <w:szCs w:val="20"/>
          <w:color w:val="auto"/>
        </w:rPr>
      </w:pPr>
    </w:p>
    <w:p>
      <w:pPr>
        <w:ind w:right="840"/>
        <w:spacing w:after="0" w:line="282" w:lineRule="auto"/>
        <w:rPr>
          <w:sz w:val="20"/>
          <w:szCs w:val="20"/>
          <w:color w:val="auto"/>
        </w:rPr>
      </w:pPr>
      <w:r>
        <w:rPr>
          <w:rFonts w:ascii="Times New Roman" w:cs="Times New Roman" w:eastAsia="Times New Roman" w:hAnsi="Times New Roman"/>
          <w:sz w:val="18"/>
          <w:szCs w:val="18"/>
          <w:color w:val="auto"/>
        </w:rPr>
        <w:t>“Expiration time” has the meaning set forth above in paragraph (5) under the caption “—Conversion Rights— Conversion Rate Adjustments— Generally.”</w:t>
      </w:r>
    </w:p>
    <w:p>
      <w:pPr>
        <w:spacing w:after="0" w:line="216" w:lineRule="exact"/>
        <w:rPr>
          <w:sz w:val="20"/>
          <w:szCs w:val="20"/>
          <w:color w:val="auto"/>
        </w:rPr>
      </w:pPr>
    </w:p>
    <w:p>
      <w:pPr>
        <w:ind w:right="100"/>
        <w:spacing w:after="0" w:line="261" w:lineRule="auto"/>
        <w:rPr>
          <w:sz w:val="20"/>
          <w:szCs w:val="20"/>
          <w:color w:val="auto"/>
        </w:rPr>
      </w:pPr>
      <w:r>
        <w:rPr>
          <w:rFonts w:ascii="Times New Roman" w:cs="Times New Roman" w:eastAsia="Times New Roman" w:hAnsi="Times New Roman"/>
          <w:sz w:val="18"/>
          <w:szCs w:val="18"/>
          <w:color w:val="auto"/>
        </w:rPr>
        <w:t>“Floor price” initially means $119.03 per share of Class A. However, the floor price will be adjusted in the same manner as, and at the same time and for the same events for which, the conversion price is adjusted as a result of the operation of the provisions described above under the caption “—Conversion Rights— Conversion Rate Adjustments.” Whenever reference is made in this section to the floor price as of a particular date without setting forth a particular time on such date, such reference will be deemed to be to the floor price immediately before the close of business on such date.</w:t>
      </w:r>
    </w:p>
    <w:p>
      <w:pPr>
        <w:spacing w:after="0" w:line="23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“Fundamental change” means any of the following events:</w:t>
      </w:r>
    </w:p>
    <w:p>
      <w:pPr>
        <w:spacing w:after="0" w:line="293" w:lineRule="exact"/>
        <w:rPr>
          <w:sz w:val="20"/>
          <w:szCs w:val="20"/>
          <w:color w:val="auto"/>
        </w:rPr>
      </w:pPr>
    </w:p>
    <w:p>
      <w:pPr>
        <w:ind w:firstLine="8"/>
        <w:spacing w:after="0" w:line="254" w:lineRule="auto"/>
        <w:tabs>
          <w:tab w:leader="none" w:pos="215" w:val="left"/>
        </w:tabs>
        <w:numPr>
          <w:ilvl w:val="0"/>
          <w:numId w:val="9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either (a) a “person” or “group” (within the meaning of Section 13(d)(3) of the Exchange Act) (other than (w) the Company; (x) the Company’s “wholly owned subsidiaries” (as defined below); (y) any employee benefit plans of the Company or the Company’s wholly owned subsidiaries; or (z) any “permitted party” (as defined below)), files any report with the U.S. Securities and Exchange Commission indicating that such person or group has become the direct or indirect “beneficial owner” (as defined below) of shares of the Company’s common equity representing more than 50% of the voting power of all of the Company’s common equity; or</w:t>
      </w:r>
    </w:p>
    <w:p>
      <w:pPr>
        <w:spacing w:after="0" w:line="3" w:lineRule="exact"/>
        <w:rPr>
          <w:rFonts w:ascii="Times New Roman" w:cs="Times New Roman" w:eastAsia="Times New Roman" w:hAnsi="Times New Roman"/>
          <w:sz w:val="18"/>
          <w:szCs w:val="18"/>
          <w:color w:val="auto"/>
        </w:rPr>
      </w:pPr>
    </w:p>
    <w:p>
      <w:pPr>
        <w:ind w:right="280" w:firstLine="8"/>
        <w:spacing w:after="0" w:line="252" w:lineRule="auto"/>
        <w:tabs>
          <w:tab w:leader="none" w:pos="255" w:val="left"/>
        </w:tabs>
        <w:numPr>
          <w:ilvl w:val="0"/>
          <w:numId w:val="9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“person” or “group” (within the meaning of Section 13(d)(3) of the Exchange Act) (other than (w) the Company; (x) the Company’s “wholly owned subsidiaries” (as defined below); or (y) any employee benefit plans of the Company or the Company’s wholly owned subsidiaries), files any report with the U.S. Securities and Exchange Commission indicating that such person or group has become the direct or indirect “beneficial owner” (as defined below) of shares of Class A representing more than 50% of the voting power of all of the Class A,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solely for purposes of this clause (b), none of the following will constitute beneficial ownership of Class A: (x) beneficial ownership of Class B; and (y) beneficial ownership by any permitted party of any of Class A issued upon conversion of Class B;</w:t>
      </w:r>
    </w:p>
    <w:p>
      <w:pPr>
        <w:spacing w:after="0" w:line="244" w:lineRule="exact"/>
        <w:rPr>
          <w:sz w:val="20"/>
          <w:szCs w:val="20"/>
          <w:color w:val="auto"/>
        </w:rPr>
      </w:pPr>
    </w:p>
    <w:p>
      <w:pPr>
        <w:jc w:val="both"/>
        <w:ind w:right="160" w:firstLine="8"/>
        <w:spacing w:after="0" w:line="254" w:lineRule="auto"/>
        <w:tabs>
          <w:tab w:leader="none" w:pos="271" w:val="left"/>
        </w:tabs>
        <w:numPr>
          <w:ilvl w:val="0"/>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consummation of: (1) any sale, lease or other transfer, in one transaction or a series of transactions, of all or substantially all of the assets of the Company and its subsidiaries, taken as a whole, to any person, other than solely to one or more of the Company’s wholly owned subsidiaries; or (2) any transaction or series of related transactions in connection with which (whether by means of merger, consolidation, share exchange, combination, reclassification, recapitalization, acquisition, liquidation or otherwise) all of the Class A is exchanged for, converted into, acquired for, or constitutes solely the right to receive, other securities, cash or other property;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any merger, consolidation, share exchange or combination of the Company pursuant to which the persons that directly or indirectly “beneficially owned” (as defined below) all classes of the Company’s common equity immediately before such transaction directly or indirectly “beneficially own,” immediately after such transaction, more than 50% of all classes of common equity of the surviving, continuing or acquiring company or other transferee, as applicable, or the parent thereof, in substantially the same proportions vis-à-vis each other as immediately before such transaction will be deemed not to be a fundamental change pursuant to this clause (ii); or</w:t>
      </w:r>
    </w:p>
    <w:p>
      <w:pPr>
        <w:spacing w:after="0" w:line="242" w:lineRule="exact"/>
        <w:rPr>
          <w:rFonts w:ascii="Times New Roman" w:cs="Times New Roman" w:eastAsia="Times New Roman" w:hAnsi="Times New Roman"/>
          <w:sz w:val="18"/>
          <w:szCs w:val="18"/>
          <w:color w:val="auto"/>
        </w:rPr>
      </w:pPr>
    </w:p>
    <w:p>
      <w:pPr>
        <w:ind w:right="320" w:firstLine="8"/>
        <w:spacing w:after="0" w:line="282" w:lineRule="auto"/>
        <w:tabs>
          <w:tab w:leader="none" w:pos="315" w:val="left"/>
        </w:tabs>
        <w:numPr>
          <w:ilvl w:val="0"/>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Class A ceases to be listed on any of The New York Stock Exchange, The Nasdaq Global Market or The Nasdaq Global Select Market (or any of their respective successors);</w:t>
      </w:r>
    </w:p>
    <w:p>
      <w:pPr>
        <w:spacing w:after="0" w:line="214" w:lineRule="exact"/>
        <w:rPr>
          <w:sz w:val="20"/>
          <w:szCs w:val="20"/>
          <w:color w:val="auto"/>
        </w:rPr>
      </w:pPr>
    </w:p>
    <w:p>
      <w:pPr>
        <w:ind w:right="280"/>
        <w:spacing w:after="0" w:line="257"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a transaction or event described in clause (i) or (ii) above will not constitute a fundamental change if at least 90% of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consideration received or to be received by the holders of Class A (excluding cash payments for fractional shares or pursuant to dissenters rights), in connection with such transaction or event, consists of shares of common stock or other corporate common equity interests listed (or depositary receipts representing shares of common stock or other corporate common equity interests, which depositary receipts are listed) on any of The New York Stock Exchange, The Nasdaq Global Market or The Nasdaq Global Select Market (or any of their respective successors), or that will be so listed when issued or exchanged in connection with such</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869950</wp:posOffset>
            </wp:positionV>
            <wp:extent cx="7157720" cy="42545"/>
            <wp:wrapNone/>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70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80"/>
          </w:cols>
          <w:pgMar w:left="320" w:top="1417" w:right="399" w:bottom="1440" w:gutter="0" w:footer="0" w:header="0"/>
        </w:sectPr>
      </w:pPr>
    </w:p>
    <w:bookmarkStart w:id="154" w:name="page155"/>
    <w:bookmarkEnd w:id="154"/>
    <w:p>
      <w:pPr>
        <w:ind w:right="880"/>
        <w:spacing w:after="0" w:line="282" w:lineRule="auto"/>
        <w:rPr>
          <w:sz w:val="20"/>
          <w:szCs w:val="20"/>
          <w:color w:val="auto"/>
        </w:rPr>
      </w:pPr>
      <w:r>
        <w:rPr>
          <w:rFonts w:ascii="Times New Roman" w:cs="Times New Roman" w:eastAsia="Times New Roman" w:hAnsi="Times New Roman"/>
          <w:sz w:val="18"/>
          <w:szCs w:val="18"/>
          <w:color w:val="auto"/>
        </w:rPr>
        <w:t>transaction or event, and such transaction or event constitutes a class A common stock change event whose reference property consists of such consideration.</w:t>
      </w:r>
    </w:p>
    <w:p>
      <w:pPr>
        <w:spacing w:after="0" w:line="21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the purposes of this definition, (x) any transaction or event described in both clause (i) and in clause (ii)(1) or</w:t>
      </w:r>
    </w:p>
    <w:p>
      <w:pPr>
        <w:spacing w:after="0" w:line="27" w:lineRule="exact"/>
        <w:rPr>
          <w:sz w:val="20"/>
          <w:szCs w:val="20"/>
          <w:color w:val="auto"/>
        </w:rPr>
      </w:pPr>
    </w:p>
    <w:p>
      <w:pPr>
        <w:ind w:right="500" w:firstLine="8"/>
        <w:spacing w:after="0" w:line="263" w:lineRule="auto"/>
        <w:tabs>
          <w:tab w:leader="none" w:pos="255"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above (without regard to the proviso in clause (ii)) will be deemed to occur solely pursuant to clause (ii) above (subject to such proviso); and (y) whether a person is a “beneficial owner,” whether shares are “beneficially owned,” and percentage beneficial ownership, will be determined in accordance with Rule 13d-3 under the Exchange Act.</w:t>
      </w:r>
    </w:p>
    <w:p>
      <w:pPr>
        <w:spacing w:after="0" w:line="233" w:lineRule="exact"/>
        <w:rPr>
          <w:sz w:val="20"/>
          <w:szCs w:val="20"/>
          <w:color w:val="auto"/>
        </w:rPr>
      </w:pPr>
    </w:p>
    <w:p>
      <w:pPr>
        <w:ind w:right="700"/>
        <w:spacing w:after="0" w:line="282" w:lineRule="auto"/>
        <w:rPr>
          <w:sz w:val="20"/>
          <w:szCs w:val="20"/>
          <w:color w:val="auto"/>
        </w:rPr>
      </w:pPr>
      <w:r>
        <w:rPr>
          <w:rFonts w:ascii="Times New Roman" w:cs="Times New Roman" w:eastAsia="Times New Roman" w:hAnsi="Times New Roman"/>
          <w:sz w:val="18"/>
          <w:szCs w:val="18"/>
          <w:color w:val="auto"/>
        </w:rPr>
        <w:t>For the avoidance of doubt, references to “Class A” and “common equity” in this definition will be subject to the provision described in the fifth bullet point under the caption “—Conversion Rights— Effect of Class A Common Stock Change Event—Generally” above.</w:t>
      </w:r>
    </w:p>
    <w:p>
      <w:pPr>
        <w:spacing w:after="0" w:line="21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“Initial issue date” means the first date any Series A Strike Preferred offered in the initial offering of Series A Strike Preferred was issued.</w:t>
      </w:r>
    </w:p>
    <w:p>
      <w:pPr>
        <w:spacing w:after="0" w:line="2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“Junior stock” means any dividend junior stock or liquidation junior stock.</w:t>
      </w:r>
    </w:p>
    <w:p>
      <w:pPr>
        <w:spacing w:after="0" w:line="279" w:lineRule="exact"/>
        <w:rPr>
          <w:sz w:val="20"/>
          <w:szCs w:val="20"/>
          <w:color w:val="auto"/>
        </w:rPr>
      </w:pPr>
    </w:p>
    <w:p>
      <w:pPr>
        <w:spacing w:after="0" w:line="252" w:lineRule="auto"/>
        <w:rPr>
          <w:sz w:val="20"/>
          <w:szCs w:val="20"/>
          <w:color w:val="auto"/>
        </w:rPr>
      </w:pPr>
      <w:r>
        <w:rPr>
          <w:rFonts w:ascii="Times New Roman" w:cs="Times New Roman" w:eastAsia="Times New Roman" w:hAnsi="Times New Roman"/>
          <w:sz w:val="18"/>
          <w:szCs w:val="18"/>
          <w:color w:val="auto"/>
        </w:rPr>
        <w:t xml:space="preserve">“Last reported sale price” of the Class A or the Series A Strike Preferred for any trading day means the closing sale price per share (or, if no closing sale price is reported, the average of the last bid price and the last ask price per share or, if more than one in either case, the average of the average last bid prices and the average last ask prices per share) of the Class A or the Series A Strike Preferred, as applicable, on such trading day as reported in composite transactions for the principal U.S. national or regional securities exchange on which the Class A or the Series A Strike Preferred, as applicable, is then listed. If the Class A or the Series A Strike Preferred, as applicable, is not listed on a U.S. national or regional securities exchange on such trading day, then the last reported sale price will be the last quoted bid price per share of the Class A or the Series A Strike Preferred, as applicable, on such trading day in the over-the-counter market as reported by OTC Markets Group Inc. or a similar organization. If the Class A or the Series A Strike Preferred, as applicable, is not so quoted on such trading day, then the last reported sale price will be the mid-point of the last bid price and the last ask price per share the Class A or the Series A Strike Preferred, as applicable, on such trading day from a nationally recognized independent investment banking firm the Company selects (or, if no such last bid price or last ask price is available, the fair value of one share of the Class A or the Series A Strike Preferred, as applicable, on such trading day determined by a nationally recognized independent investment banking firm the Company selects). However, if the Series A Strike Preferred is not so quoted on such trading day, then, in lieu of the calculation referred to in the preceding sentence, the last reported sale price per share of Series A Strike Preferred on such trading day will be the product of (a) the conversion rate in effect immediately before the close of business on such trading day; and (b) the last reported sale price per share of the Class A on such trading day (or, if such day is not a trading day with respect to the Class A, the immediately preceding trading day with respect to the Class A);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on such trading day, the Class A is not so listed or quoted, and the Company is unable to obtain a last reported sale price for the Class A pursuant to the provision described in the immediately preceding sentence, then the last reported sale price per share of the Series A Strike Preferred on such trading day will instead be the last reported sale price per share of the Series A Strike Preferred on the immediately preceding trading day.</w:t>
      </w:r>
    </w:p>
    <w:p>
      <w:pPr>
        <w:spacing w:after="0" w:line="246" w:lineRule="exact"/>
        <w:rPr>
          <w:sz w:val="20"/>
          <w:szCs w:val="20"/>
          <w:color w:val="auto"/>
        </w:rPr>
      </w:pPr>
    </w:p>
    <w:p>
      <w:pPr>
        <w:ind w:right="200"/>
        <w:spacing w:after="0" w:line="261" w:lineRule="auto"/>
        <w:rPr>
          <w:sz w:val="20"/>
          <w:szCs w:val="20"/>
          <w:color w:val="auto"/>
        </w:rPr>
      </w:pPr>
      <w:r>
        <w:rPr>
          <w:rFonts w:ascii="Times New Roman" w:cs="Times New Roman" w:eastAsia="Times New Roman" w:hAnsi="Times New Roman"/>
          <w:sz w:val="18"/>
          <w:szCs w:val="18"/>
          <w:color w:val="auto"/>
        </w:rPr>
        <w:t>“Liquidation junior stock” means any class or series of the Company’s stock whose terms do not expressly provide that such class or series will rank senior to, or equally with, the Series A Strike Preferred with respect to the distribution of assets upon the Company’s liquidation, dissolution or winding up. Liquidation junior stock includes the Class A and the Class B. For the avoidance of doubt, liquidation junior stock will not include any securities of the Company’s subsidiaries.</w:t>
      </w:r>
    </w:p>
    <w:p>
      <w:pPr>
        <w:spacing w:after="0" w:line="234"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“Liquidation parity stock” means any class or series of the Company’s stock (other than the Series A Strike Preferred) whose terms expressly provide that such class or series will rank equally with the Series A Strike Preferred with respect to the distribution of assets upon the Company’s liquidation, dissolution or winding up. For the avoidance of doubt, liquidation parity stock will not include any securities of the Company’s subsidiaries.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1002030</wp:posOffset>
            </wp:positionV>
            <wp:extent cx="7157720" cy="42545"/>
            <wp:wrapNone/>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70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17" w:right="419" w:bottom="1440" w:gutter="0" w:footer="0" w:header="0"/>
        </w:sectPr>
      </w:pPr>
    </w:p>
    <w:bookmarkStart w:id="155" w:name="page156"/>
    <w:bookmarkEnd w:id="155"/>
    <w:p>
      <w:pPr>
        <w:spacing w:after="0"/>
        <w:rPr>
          <w:sz w:val="20"/>
          <w:szCs w:val="20"/>
          <w:color w:val="auto"/>
        </w:rPr>
      </w:pPr>
      <w:r>
        <w:rPr>
          <w:rFonts w:ascii="Times New Roman" w:cs="Times New Roman" w:eastAsia="Times New Roman" w:hAnsi="Times New Roman"/>
          <w:sz w:val="18"/>
          <w:szCs w:val="18"/>
          <w:color w:val="auto"/>
        </w:rPr>
        <w:t>“Liquidation preference” means, with respect to the Series A Strike Preferred, an amount equal to $100 per share of Series A Strike Preferred.</w:t>
      </w:r>
    </w:p>
    <w:p>
      <w:pPr>
        <w:spacing w:after="0" w:line="279" w:lineRule="exact"/>
        <w:rPr>
          <w:sz w:val="20"/>
          <w:szCs w:val="20"/>
          <w:color w:val="auto"/>
        </w:rPr>
      </w:pPr>
    </w:p>
    <w:p>
      <w:pPr>
        <w:jc w:val="both"/>
        <w:ind w:right="260"/>
        <w:spacing w:after="0" w:line="266" w:lineRule="auto"/>
        <w:rPr>
          <w:sz w:val="20"/>
          <w:szCs w:val="20"/>
          <w:color w:val="auto"/>
        </w:rPr>
      </w:pPr>
      <w:r>
        <w:rPr>
          <w:rFonts w:ascii="Times New Roman" w:cs="Times New Roman" w:eastAsia="Times New Roman" w:hAnsi="Times New Roman"/>
          <w:sz w:val="18"/>
          <w:szCs w:val="18"/>
          <w:color w:val="auto"/>
        </w:rPr>
        <w:t>“Liquidation senior stock” means any class or series of the Company’s stock whose terms expressly provide that such class or series will rank senior to the Series A Strike Preferred with respect to the distribution of assets upon the Company’s liquidation, dissolution or winding up. For the avoidance of doubt, liquidation senior stock will not include any securities of the Company’s subsidiaries.</w:t>
      </w:r>
    </w:p>
    <w:p>
      <w:pPr>
        <w:spacing w:after="0" w:line="230" w:lineRule="exact"/>
        <w:rPr>
          <w:sz w:val="20"/>
          <w:szCs w:val="20"/>
          <w:color w:val="auto"/>
        </w:rPr>
      </w:pPr>
    </w:p>
    <w:p>
      <w:pPr>
        <w:ind w:right="240"/>
        <w:spacing w:after="0" w:line="258" w:lineRule="auto"/>
        <w:rPr>
          <w:sz w:val="20"/>
          <w:szCs w:val="20"/>
          <w:color w:val="auto"/>
        </w:rPr>
      </w:pPr>
      <w:r>
        <w:rPr>
          <w:rFonts w:ascii="Times New Roman" w:cs="Times New Roman" w:eastAsia="Times New Roman" w:hAnsi="Times New Roman"/>
          <w:sz w:val="18"/>
          <w:szCs w:val="18"/>
          <w:color w:val="auto"/>
        </w:rPr>
        <w:t>“Market disruption event” means, with respect to the Class A or the Series A Strike Preferred, as applicable, and any date, the occurrence or existence, during the one-half hour period ending at the scheduled close of trading on such date on the principal U.S. national or regional securities exchange or other market on which the Class A or the Series A Strike Preferred, as applicable, is listed for trading or trades, of any material suspension or limitation imposed on trading (by reason of movements in price exceeding limits permitted by the relevant exchange or otherwise) in the Class A or the Series A Strike Preferred, as applicable, or in any options contracts or futures contracts relating to the Class A or the Series A Strike Preferred, as applicable.</w:t>
      </w:r>
    </w:p>
    <w:p>
      <w:pPr>
        <w:spacing w:after="0" w:line="237" w:lineRule="exact"/>
        <w:rPr>
          <w:sz w:val="20"/>
          <w:szCs w:val="20"/>
          <w:color w:val="auto"/>
        </w:rPr>
      </w:pPr>
    </w:p>
    <w:p>
      <w:pPr>
        <w:jc w:val="both"/>
        <w:ind w:right="200"/>
        <w:spacing w:after="0" w:line="266" w:lineRule="auto"/>
        <w:rPr>
          <w:sz w:val="20"/>
          <w:szCs w:val="20"/>
          <w:color w:val="auto"/>
        </w:rPr>
      </w:pPr>
      <w:r>
        <w:rPr>
          <w:rFonts w:ascii="Times New Roman" w:cs="Times New Roman" w:eastAsia="Times New Roman" w:hAnsi="Times New Roman"/>
          <w:sz w:val="18"/>
          <w:szCs w:val="18"/>
          <w:color w:val="auto"/>
        </w:rPr>
        <w:t>“Minimum perpetual strike preferred stock conversion denomination” means, with respect to the conversion of any Series A Strike Preferred, a number of shares of Series A Strike Preferred equal to the quotient (rounded up to the nearest whole number) obtained by dividing (i) one, by (ii) the conversion rate in effect immediately before the close of business on the conversion date for such conversion.</w:t>
      </w:r>
    </w:p>
    <w:p>
      <w:pPr>
        <w:spacing w:after="0" w:line="230" w:lineRule="exact"/>
        <w:rPr>
          <w:sz w:val="20"/>
          <w:szCs w:val="20"/>
          <w:color w:val="auto"/>
        </w:rPr>
      </w:pPr>
    </w:p>
    <w:p>
      <w:pPr>
        <w:ind w:right="40"/>
        <w:spacing w:after="0" w:line="261" w:lineRule="auto"/>
        <w:rPr>
          <w:sz w:val="20"/>
          <w:szCs w:val="20"/>
          <w:color w:val="auto"/>
        </w:rPr>
      </w:pPr>
      <w:r>
        <w:rPr>
          <w:rFonts w:ascii="Times New Roman" w:cs="Times New Roman" w:eastAsia="Times New Roman" w:hAnsi="Times New Roman"/>
          <w:sz w:val="18"/>
          <w:szCs w:val="18"/>
          <w:color w:val="auto"/>
        </w:rPr>
        <w:t>“Number of incremental diluted shares” means the increase in the number of diluted shares of the applicable class or series of junior stock (determined in accordance with generally accepted accounting principles in the United States, as the same is in effect on the initial issue date, and assuming net income is positive) that would result from the grant, vesting or exercise of equity-based compensation to directors, employees, contractors and agents (subject to proportionate adjustment for stock dividends, stock splits or stock combinations with respect to such class or series of junior stock).</w:t>
      </w:r>
    </w:p>
    <w:p>
      <w:pPr>
        <w:spacing w:after="0" w:line="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“Open of business” means 9:00 a.m., New York City time.</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“Permitted party” means any “person” or “group” (within the meaning of Section 13(d)(3) of the Exchange Act) that consists of, or includes, Michael J.</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Saylor, the heirs of Michael J. Saylor, or any affiliates of Michael J. Saylor or the heirs of Michael J. Saylor.</w:t>
      </w:r>
    </w:p>
    <w:p>
      <w:pPr>
        <w:spacing w:after="0" w:line="234" w:lineRule="exact"/>
        <w:rPr>
          <w:sz w:val="20"/>
          <w:szCs w:val="20"/>
          <w:color w:val="auto"/>
        </w:rPr>
      </w:pPr>
    </w:p>
    <w:p>
      <w:pPr>
        <w:ind w:right="700"/>
        <w:spacing w:after="0" w:line="266" w:lineRule="auto"/>
        <w:rPr>
          <w:sz w:val="20"/>
          <w:szCs w:val="20"/>
          <w:color w:val="auto"/>
        </w:rPr>
      </w:pPr>
      <w:r>
        <w:rPr>
          <w:rFonts w:ascii="Times New Roman" w:cs="Times New Roman" w:eastAsia="Times New Roman" w:hAnsi="Times New Roman"/>
          <w:sz w:val="18"/>
          <w:szCs w:val="18"/>
          <w:color w:val="auto"/>
        </w:rPr>
        <w:t>“Person” means any individual, corporation, partnership, limited liability company, joint venture, association, joint-stock company, trust, unincorporated organization or government or other agency or political subdivision thereof. Any division or series of a limited liability company, limited partnership or trust will constitute a separate “person.”</w:t>
      </w:r>
    </w:p>
    <w:p>
      <w:pPr>
        <w:spacing w:after="0" w:line="189" w:lineRule="exact"/>
        <w:rPr>
          <w:sz w:val="20"/>
          <w:szCs w:val="20"/>
          <w:color w:val="auto"/>
        </w:rPr>
      </w:pPr>
    </w:p>
    <w:p>
      <w:pPr>
        <w:ind w:right="200"/>
        <w:spacing w:after="0" w:line="266" w:lineRule="auto"/>
        <w:rPr>
          <w:sz w:val="20"/>
          <w:szCs w:val="20"/>
          <w:color w:val="auto"/>
        </w:rPr>
      </w:pPr>
      <w:r>
        <w:rPr>
          <w:rFonts w:ascii="Times New Roman" w:cs="Times New Roman" w:eastAsia="Times New Roman" w:hAnsi="Times New Roman"/>
          <w:sz w:val="18"/>
          <w:szCs w:val="18"/>
          <w:color w:val="auto"/>
        </w:rPr>
        <w:t>“Preferred stock director” means any person elected to serve as a director of the Company in connection with a regular dividend non-payment event pursuant to the provisions described above under the caption “—Voting Rights—Right to Designate up to Two Preferred Stock Directors Upon Regular Dividend Non-Payment Events.”</w:t>
      </w:r>
    </w:p>
    <w:p>
      <w:pPr>
        <w:spacing w:after="0" w:line="189" w:lineRule="exact"/>
        <w:rPr>
          <w:sz w:val="20"/>
          <w:szCs w:val="20"/>
          <w:color w:val="auto"/>
        </w:rPr>
      </w:pPr>
    </w:p>
    <w:p>
      <w:pPr>
        <w:ind w:right="740"/>
        <w:spacing w:after="0" w:line="282" w:lineRule="auto"/>
        <w:rPr>
          <w:sz w:val="20"/>
          <w:szCs w:val="20"/>
          <w:color w:val="auto"/>
        </w:rPr>
      </w:pPr>
      <w:r>
        <w:rPr>
          <w:rFonts w:ascii="Times New Roman" w:cs="Times New Roman" w:eastAsia="Times New Roman" w:hAnsi="Times New Roman"/>
          <w:sz w:val="18"/>
          <w:szCs w:val="18"/>
          <w:color w:val="auto"/>
        </w:rPr>
        <w:t>“Preferred stockholder,” or “holder” of any Series A Strike Preferred, means any person in whose name any share of Series A Strike Preferred is registered on the registrar’s books.</w:t>
      </w:r>
    </w:p>
    <w:p>
      <w:pPr>
        <w:spacing w:after="0" w:line="175" w:lineRule="exact"/>
        <w:rPr>
          <w:sz w:val="20"/>
          <w:szCs w:val="20"/>
          <w:color w:val="auto"/>
        </w:rPr>
      </w:pPr>
    </w:p>
    <w:p>
      <w:pPr>
        <w:ind w:right="280"/>
        <w:spacing w:after="0" w:line="282" w:lineRule="auto"/>
        <w:rPr>
          <w:sz w:val="20"/>
          <w:szCs w:val="20"/>
          <w:color w:val="auto"/>
        </w:rPr>
      </w:pPr>
      <w:r>
        <w:rPr>
          <w:rFonts w:ascii="Times New Roman" w:cs="Times New Roman" w:eastAsia="Times New Roman" w:hAnsi="Times New Roman"/>
          <w:sz w:val="18"/>
          <w:szCs w:val="18"/>
          <w:color w:val="auto"/>
        </w:rPr>
        <w:t>“Record date” means, with respect to any dividend or distribution on, or issuance to holders of, Class A, the date fixed (whether by law, contract or the Board or otherwise) to determine the holders of Class A that are entitled to such dividend, distribution or issuance.</w:t>
      </w:r>
    </w:p>
    <w:p>
      <w:pPr>
        <w:spacing w:after="0" w:line="175"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A “regular dividend non-payment event” will be deemed to occur upon the occurrence of each of the following events: (i) if less than the full amount of accumulated and unpaid regular dividends (whether in cash or shares of Class A) on the outstanding Series A Strike Preferred have been declared and paid in respect of each of four or more consecutive regular dividend payment dates; and (ii) if less than the full amount of accumulated and unpaid regular dividends (whether in cash or shares of Class A) on the outstanding Series A Strike Preferred have been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867410</wp:posOffset>
            </wp:positionV>
            <wp:extent cx="7157720" cy="42545"/>
            <wp:wrapNone/>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71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17" w:right="419" w:bottom="1440" w:gutter="0" w:footer="0" w:header="0"/>
        </w:sectPr>
      </w:pPr>
    </w:p>
    <w:bookmarkStart w:id="156" w:name="page157"/>
    <w:bookmarkEnd w:id="156"/>
    <w:p>
      <w:pPr>
        <w:spacing w:after="0" w:line="254" w:lineRule="auto"/>
        <w:rPr>
          <w:sz w:val="20"/>
          <w:szCs w:val="20"/>
          <w:color w:val="auto"/>
        </w:rPr>
      </w:pPr>
      <w:r>
        <w:rPr>
          <w:rFonts w:ascii="Times New Roman" w:cs="Times New Roman" w:eastAsia="Times New Roman" w:hAnsi="Times New Roman"/>
          <w:sz w:val="18"/>
          <w:szCs w:val="18"/>
          <w:color w:val="auto"/>
        </w:rPr>
        <w:t>declared and paid in respect of each of eight or more consecutive regular dividend payment dates. A regular dividend non-payment event that has occurred will be deemed to continue until such time when all accumulated and unpaid regular dividends on the outstanding Series A Strike Preferred have been paid in full, at which time such regular dividend non-payment event will be deemed to be cured and cease to be continuing. For purposes of this definition, a regular dividend on the Series A Strike Preferred will be deemed to have been paid if such dividend is declared and cash that is sufficient to pay such dividend is set aside for the benefit of the preferred stockholders entitled thereto. For the avoidance of doubt, the regular dividend non-payment events set forth in clauses (i) and (ii) above are separate regular dividend non-payment events, each providing for a separate right to appoint a preferred stock director pursuant to the provisions described above under the caption “—Voting Rights—Right to Designate up to Two Preferred Stock Directors Upon Regular Dividend Non-Payment Events.”</w:t>
      </w:r>
    </w:p>
    <w:p>
      <w:pPr>
        <w:spacing w:after="0" w:line="20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“Regular dividend payment date” means each March 31, June 30, September 30 and December 31 of each year, beginning on March 31, 2025.</w:t>
      </w:r>
    </w:p>
    <w:p>
      <w:pPr>
        <w:spacing w:after="0" w:line="239" w:lineRule="exact"/>
        <w:rPr>
          <w:sz w:val="20"/>
          <w:szCs w:val="20"/>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“Regular dividend period” means each period from, and including, a regular dividend payment date (or, in the case of the first regular dividend period, from, and including, the initial issue date) to, but excluding, the next regular dividend payment date.</w:t>
      </w:r>
    </w:p>
    <w:p>
      <w:pPr>
        <w:spacing w:after="0" w:line="189" w:lineRule="exact"/>
        <w:rPr>
          <w:sz w:val="20"/>
          <w:szCs w:val="20"/>
          <w:color w:val="auto"/>
        </w:rPr>
      </w:pPr>
    </w:p>
    <w:p>
      <w:pPr>
        <w:ind w:right="600"/>
        <w:spacing w:after="0" w:line="282" w:lineRule="auto"/>
        <w:rPr>
          <w:sz w:val="20"/>
          <w:szCs w:val="20"/>
          <w:color w:val="auto"/>
        </w:rPr>
      </w:pPr>
      <w:r>
        <w:rPr>
          <w:rFonts w:ascii="Times New Roman" w:cs="Times New Roman" w:eastAsia="Times New Roman" w:hAnsi="Times New Roman"/>
          <w:sz w:val="18"/>
          <w:szCs w:val="18"/>
          <w:color w:val="auto"/>
        </w:rPr>
        <w:t>“Regular dividend stock price” means, with respect to any declared regular dividend on the Series A Strike Preferred, 95% of the daily VWAP per share of Class A on the third VWAP trading day preceding the regular dividend payment date for such regular dividend.</w:t>
      </w:r>
    </w:p>
    <w:p>
      <w:pPr>
        <w:spacing w:after="0" w:line="17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“Regular dividend rate” means 8.00% per annum.</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“Regular dividends” has the meaning set forth above under the caption “—Regular Dividends—Generally.”</w:t>
      </w:r>
    </w:p>
    <w:p>
      <w:pPr>
        <w:spacing w:after="0" w:line="225" w:lineRule="exact"/>
        <w:rPr>
          <w:sz w:val="20"/>
          <w:szCs w:val="20"/>
          <w:color w:val="auto"/>
        </w:rPr>
      </w:pPr>
    </w:p>
    <w:p>
      <w:pPr>
        <w:jc w:val="both"/>
        <w:ind w:right="100"/>
        <w:spacing w:after="0" w:line="266" w:lineRule="auto"/>
        <w:rPr>
          <w:sz w:val="20"/>
          <w:szCs w:val="20"/>
          <w:color w:val="auto"/>
        </w:rPr>
      </w:pPr>
      <w:r>
        <w:rPr>
          <w:rFonts w:ascii="Times New Roman" w:cs="Times New Roman" w:eastAsia="Times New Roman" w:hAnsi="Times New Roman"/>
          <w:sz w:val="18"/>
          <w:szCs w:val="18"/>
          <w:color w:val="auto"/>
        </w:rPr>
        <w:t>“Regular record date” has the following meaning: (i) March 15, in the case of a regular dividend payment date occurring on March 31; (ii) June 15, in the case of a regular dividend payment date occurring on June 30; (iii) September 15, in the case of a regular dividend payment date occurring on September 30; and (iv) December 15, in the case of a regular dividend payment date occurring on December 31.</w:t>
      </w:r>
    </w:p>
    <w:p>
      <w:pPr>
        <w:spacing w:after="0" w:line="230" w:lineRule="exact"/>
        <w:rPr>
          <w:sz w:val="20"/>
          <w:szCs w:val="20"/>
          <w:color w:val="auto"/>
        </w:rPr>
      </w:pPr>
    </w:p>
    <w:p>
      <w:pPr>
        <w:ind w:right="3520"/>
        <w:spacing w:after="0" w:line="297" w:lineRule="auto"/>
        <w:rPr>
          <w:sz w:val="20"/>
          <w:szCs w:val="20"/>
          <w:color w:val="auto"/>
        </w:rPr>
      </w:pPr>
      <w:r>
        <w:rPr>
          <w:rFonts w:ascii="Times New Roman" w:cs="Times New Roman" w:eastAsia="Times New Roman" w:hAnsi="Times New Roman"/>
          <w:sz w:val="18"/>
          <w:szCs w:val="18"/>
          <w:color w:val="auto"/>
        </w:rPr>
        <w:t>“Reference property” has the meaning set forth above under the caption “—Conversion Rights—Effect of Class A Common Stock Change Event—Generally.”</w:t>
      </w:r>
    </w:p>
    <w:p>
      <w:pPr>
        <w:spacing w:after="0" w:line="217" w:lineRule="exact"/>
        <w:rPr>
          <w:sz w:val="20"/>
          <w:szCs w:val="20"/>
          <w:color w:val="auto"/>
        </w:rPr>
      </w:pPr>
    </w:p>
    <w:p>
      <w:pPr>
        <w:ind w:right="3200"/>
        <w:spacing w:after="0" w:line="282" w:lineRule="auto"/>
        <w:rPr>
          <w:sz w:val="20"/>
          <w:szCs w:val="20"/>
          <w:color w:val="auto"/>
        </w:rPr>
      </w:pPr>
      <w:r>
        <w:rPr>
          <w:rFonts w:ascii="Times New Roman" w:cs="Times New Roman" w:eastAsia="Times New Roman" w:hAnsi="Times New Roman"/>
          <w:sz w:val="18"/>
          <w:szCs w:val="18"/>
          <w:color w:val="auto"/>
        </w:rPr>
        <w:t>“Reference property unit” has the meaning set forth above under the caption “—Conversion Rights—Effect of Class A Common Stock Change Event—Generally.”</w:t>
      </w:r>
    </w:p>
    <w:p>
      <w:pPr>
        <w:spacing w:after="0" w:line="229" w:lineRule="exact"/>
        <w:rPr>
          <w:sz w:val="20"/>
          <w:szCs w:val="20"/>
          <w:color w:val="auto"/>
        </w:rPr>
      </w:pPr>
    </w:p>
    <w:p>
      <w:pPr>
        <w:ind w:right="1140"/>
        <w:spacing w:after="0" w:line="282" w:lineRule="auto"/>
        <w:rPr>
          <w:sz w:val="20"/>
          <w:szCs w:val="20"/>
          <w:color w:val="auto"/>
        </w:rPr>
      </w:pPr>
      <w:r>
        <w:rPr>
          <w:rFonts w:ascii="Times New Roman" w:cs="Times New Roman" w:eastAsia="Times New Roman" w:hAnsi="Times New Roman"/>
          <w:sz w:val="18"/>
          <w:szCs w:val="18"/>
          <w:color w:val="auto"/>
        </w:rPr>
        <w:t>“Spin-off” has the meaning set forth above in paragraph (3)(b) under the caption “—Conversion Rights— Conversion Rate Adjustments— Generally.”</w:t>
      </w:r>
    </w:p>
    <w:p>
      <w:pPr>
        <w:spacing w:after="0" w:line="216" w:lineRule="exact"/>
        <w:rPr>
          <w:sz w:val="20"/>
          <w:szCs w:val="20"/>
          <w:color w:val="auto"/>
        </w:rPr>
      </w:pPr>
    </w:p>
    <w:p>
      <w:pPr>
        <w:ind w:right="3000"/>
        <w:spacing w:after="0" w:line="297" w:lineRule="auto"/>
        <w:rPr>
          <w:sz w:val="20"/>
          <w:szCs w:val="20"/>
          <w:color w:val="auto"/>
        </w:rPr>
      </w:pPr>
      <w:r>
        <w:rPr>
          <w:rFonts w:ascii="Times New Roman" w:cs="Times New Roman" w:eastAsia="Times New Roman" w:hAnsi="Times New Roman"/>
          <w:sz w:val="18"/>
          <w:szCs w:val="18"/>
          <w:color w:val="auto"/>
        </w:rPr>
        <w:t>“Spin-off valuation period” has the meaning set forth above in paragraph (3)(b) under the caption “—Conversion Rights—Conversion Rate Adjustments—Generally.”</w:t>
      </w:r>
    </w:p>
    <w:p>
      <w:pPr>
        <w:spacing w:after="0" w:line="203" w:lineRule="exact"/>
        <w:rPr>
          <w:sz w:val="20"/>
          <w:szCs w:val="20"/>
          <w:color w:val="auto"/>
        </w:rPr>
      </w:pPr>
    </w:p>
    <w:p>
      <w:pPr>
        <w:ind w:right="140"/>
        <w:spacing w:after="0" w:line="254" w:lineRule="auto"/>
        <w:rPr>
          <w:sz w:val="20"/>
          <w:szCs w:val="20"/>
          <w:color w:val="auto"/>
        </w:rPr>
      </w:pPr>
      <w:r>
        <w:rPr>
          <w:rFonts w:ascii="Times New Roman" w:cs="Times New Roman" w:eastAsia="Times New Roman" w:hAnsi="Times New Roman"/>
          <w:sz w:val="18"/>
          <w:szCs w:val="18"/>
          <w:color w:val="auto"/>
        </w:rPr>
        <w:t>“Subsidiary” means, with respect to any person, (i) any corporation, association or other business entity (other than a partnership or limited liability company) of which more than 50% of the total voting power of the capital stock entitled (without regard to the occurrence of any contingency, but after giving effect to any voting agreement or stockholders’ agreement that effectively transfers voting power) to vote in the election of directors, managers or trustees, as applicable, of such corporation, association or other business entity is owned or controlled, directly or indirectly, by such person or one or more of the other subsidiaries of such person; and</w:t>
      </w:r>
    </w:p>
    <w:p>
      <w:pPr>
        <w:spacing w:after="0" w:line="3" w:lineRule="exact"/>
        <w:rPr>
          <w:sz w:val="20"/>
          <w:szCs w:val="20"/>
          <w:color w:val="auto"/>
        </w:rPr>
      </w:pPr>
    </w:p>
    <w:p>
      <w:pPr>
        <w:jc w:val="both"/>
        <w:ind w:right="100" w:firstLine="8"/>
        <w:spacing w:after="0" w:line="253" w:lineRule="auto"/>
        <w:tabs>
          <w:tab w:leader="none" w:pos="265" w:val="left"/>
        </w:tabs>
        <w:numPr>
          <w:ilvl w:val="0"/>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partnership or limited liability company where (x) more than 50% of the capital accounts, distribution rights, equity and voting interests, or of the general and limited partnership interests, as applicable, of such partnership or limited liability company are owned or controlled, directly or indirectly, by such person or one or more of the other subsidiaries of such person, whether in the form of membership, general, special or limited partnership or limited liability company interests or otherwise; and (y) such person or any one or more of the other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873125</wp:posOffset>
            </wp:positionV>
            <wp:extent cx="7157720" cy="42545"/>
            <wp:wrapNone/>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71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60"/>
          </w:cols>
          <w:pgMar w:left="320" w:top="1417" w:right="419" w:bottom="1440" w:gutter="0" w:footer="0" w:header="0"/>
        </w:sectPr>
      </w:pPr>
    </w:p>
    <w:bookmarkStart w:id="157" w:name="page158"/>
    <w:bookmarkEnd w:id="157"/>
    <w:p>
      <w:pPr>
        <w:spacing w:after="0"/>
        <w:rPr>
          <w:sz w:val="20"/>
          <w:szCs w:val="20"/>
          <w:color w:val="auto"/>
        </w:rPr>
      </w:pPr>
      <w:r>
        <w:rPr>
          <w:rFonts w:ascii="Times New Roman" w:cs="Times New Roman" w:eastAsia="Times New Roman" w:hAnsi="Times New Roman"/>
          <w:sz w:val="18"/>
          <w:szCs w:val="18"/>
          <w:color w:val="auto"/>
        </w:rPr>
        <w:t>subsidiaries of such person is a controlling general partner of, or otherwise controls, such partnership or limited liability company.</w:t>
      </w:r>
    </w:p>
    <w:p>
      <w:pPr>
        <w:spacing w:after="0" w:line="279" w:lineRule="exact"/>
        <w:rPr>
          <w:sz w:val="20"/>
          <w:szCs w:val="20"/>
          <w:color w:val="auto"/>
        </w:rPr>
      </w:pPr>
    </w:p>
    <w:p>
      <w:pPr>
        <w:ind w:right="3120"/>
        <w:spacing w:after="0" w:line="297" w:lineRule="auto"/>
        <w:rPr>
          <w:sz w:val="20"/>
          <w:szCs w:val="20"/>
          <w:color w:val="auto"/>
        </w:rPr>
      </w:pPr>
      <w:r>
        <w:rPr>
          <w:rFonts w:ascii="Times New Roman" w:cs="Times New Roman" w:eastAsia="Times New Roman" w:hAnsi="Times New Roman"/>
          <w:sz w:val="18"/>
          <w:szCs w:val="18"/>
          <w:color w:val="auto"/>
        </w:rPr>
        <w:t>“Successor person” has the meaning set forth above under the caption “—Conversion Rights—Conversion Rate Adjustments—Execution of Supplemental Instruments.”</w:t>
      </w:r>
    </w:p>
    <w:p>
      <w:pPr>
        <w:spacing w:after="0" w:line="20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 “tax event” will be deemed to occur if the Company has received an opinion of counsel experienced in such matters to the effect that, as a result of:</w:t>
      </w:r>
    </w:p>
    <w:p>
      <w:pPr>
        <w:spacing w:after="0" w:line="144" w:lineRule="exact"/>
        <w:rPr>
          <w:sz w:val="20"/>
          <w:szCs w:val="20"/>
          <w:color w:val="auto"/>
        </w:rPr>
      </w:pPr>
    </w:p>
    <w:p>
      <w:pPr>
        <w:ind w:left="740" w:right="380" w:hanging="358"/>
        <w:spacing w:after="0" w:line="282" w:lineRule="auto"/>
        <w:tabs>
          <w:tab w:leader="none" w:pos="740"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amendment to, clarification of, or change, including any announced prospective change, in the laws or treaties of the United States or any of its political subdivisions or taxing authorities, or any regulations under those laws or treaties;</w:t>
      </w:r>
    </w:p>
    <w:p>
      <w:pPr>
        <w:spacing w:after="0" w:line="80" w:lineRule="exact"/>
        <w:rPr>
          <w:rFonts w:ascii="Times New Roman" w:cs="Times New Roman" w:eastAsia="Times New Roman" w:hAnsi="Times New Roman"/>
          <w:sz w:val="18"/>
          <w:szCs w:val="18"/>
          <w:color w:val="auto"/>
        </w:rPr>
      </w:pPr>
    </w:p>
    <w:p>
      <w:pPr>
        <w:ind w:left="740" w:right="1500" w:hanging="358"/>
        <w:spacing w:after="0" w:line="266" w:lineRule="auto"/>
        <w:tabs>
          <w:tab w:leader="none" w:pos="740"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 administrative action, which means any judicial decision or any official administrative pronouncement, ruling, regulatory procedure, notice or announcement, including any notice or announcement of intent to issue or adopt any administrative pronouncement, ruling, regulatory procedure or regulation;</w:t>
      </w:r>
    </w:p>
    <w:p>
      <w:pPr>
        <w:spacing w:after="0" w:line="94" w:lineRule="exact"/>
        <w:rPr>
          <w:rFonts w:ascii="Times New Roman" w:cs="Times New Roman" w:eastAsia="Times New Roman" w:hAnsi="Times New Roman"/>
          <w:sz w:val="18"/>
          <w:szCs w:val="18"/>
          <w:color w:val="auto"/>
        </w:rPr>
      </w:pPr>
    </w:p>
    <w:p>
      <w:pPr>
        <w:ind w:left="740" w:right="280" w:hanging="358"/>
        <w:spacing w:after="0" w:line="261" w:lineRule="auto"/>
        <w:tabs>
          <w:tab w:leader="none" w:pos="740"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amendment to, clarification of, or change in the official position or the interpretation of any administrative action or judicial decision or any interpretation or pronouncement that provides for a position with respect to an administrative action or judicial decision that differs from the previously generally accepted position, in each case by any legislative body, court, governmental authority or regulatory body, regardless of the time or manner in which that amendment, clarification or change is introduced or made known; or</w:t>
      </w:r>
    </w:p>
    <w:p>
      <w:pPr>
        <w:spacing w:after="0" w:line="179" w:lineRule="exact"/>
        <w:rPr>
          <w:rFonts w:ascii="Times New Roman" w:cs="Times New Roman" w:eastAsia="Times New Roman" w:hAnsi="Times New Roman"/>
          <w:sz w:val="18"/>
          <w:szCs w:val="18"/>
          <w:color w:val="auto"/>
        </w:rPr>
      </w:pPr>
    </w:p>
    <w:p>
      <w:pPr>
        <w:ind w:left="740" w:right="340" w:hanging="358"/>
        <w:spacing w:after="0" w:line="266" w:lineRule="auto"/>
        <w:tabs>
          <w:tab w:leader="none" w:pos="740"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threatened challenge asserted in writing in connection with a tax audit of the Company or any of the Company’s subsidiaries, or a publicly known threatened challenge asserted in writing against any other taxpayer that has raised capital through the issuance of securities that are substantially similar to the Series A Strike Preferred,</w:t>
      </w:r>
    </w:p>
    <w:p>
      <w:pPr>
        <w:spacing w:after="0" w:line="230"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which amendment, clarification or change is effective or the administrative action is taken or judicial decision, interpretation or pronouncement is issued or threatened challenge is asserted or becomes publicly known after the date of the date of the prospectus supplement for the initial offering of the Series A Strike Preferred, there is more than an insubstantial risk that any of the outstanding Series A Strike Preferred is treated as “fast-pay stock” within the meaning of Treasury Regulation Section 1.7701(l)-3(b)(2) (or becomes subject to substantially similar successor provision).</w:t>
      </w:r>
    </w:p>
    <w:p>
      <w:pPr>
        <w:spacing w:after="0" w:line="247" w:lineRule="exact"/>
        <w:rPr>
          <w:sz w:val="20"/>
          <w:szCs w:val="20"/>
          <w:color w:val="auto"/>
        </w:rPr>
      </w:pPr>
    </w:p>
    <w:p>
      <w:pPr>
        <w:ind w:right="3340"/>
        <w:spacing w:after="0" w:line="297" w:lineRule="auto"/>
        <w:rPr>
          <w:sz w:val="20"/>
          <w:szCs w:val="20"/>
          <w:color w:val="auto"/>
        </w:rPr>
      </w:pPr>
      <w:r>
        <w:rPr>
          <w:rFonts w:ascii="Times New Roman" w:cs="Times New Roman" w:eastAsia="Times New Roman" w:hAnsi="Times New Roman"/>
          <w:sz w:val="18"/>
          <w:szCs w:val="18"/>
          <w:color w:val="auto"/>
        </w:rPr>
        <w:t>“Tender/exchange offer valuation period” has the meaning set forth above in paragraph (5) under the caption “—Conversion Rights—Conversion Rate Adjustments—Generally.”</w:t>
      </w:r>
    </w:p>
    <w:p>
      <w:pPr>
        <w:spacing w:after="0" w:line="203" w:lineRule="exact"/>
        <w:rPr>
          <w:sz w:val="20"/>
          <w:szCs w:val="20"/>
          <w:color w:val="auto"/>
        </w:rPr>
      </w:pPr>
    </w:p>
    <w:p>
      <w:pPr>
        <w:ind w:right="140"/>
        <w:spacing w:after="0" w:line="256" w:lineRule="auto"/>
        <w:rPr>
          <w:sz w:val="20"/>
          <w:szCs w:val="20"/>
          <w:color w:val="auto"/>
        </w:rPr>
      </w:pPr>
      <w:r>
        <w:rPr>
          <w:rFonts w:ascii="Times New Roman" w:cs="Times New Roman" w:eastAsia="Times New Roman" w:hAnsi="Times New Roman"/>
          <w:sz w:val="18"/>
          <w:szCs w:val="18"/>
          <w:color w:val="auto"/>
        </w:rPr>
        <w:t>“Trading day” means, with respect to the Class A or the Series A Strike Preferred, as applicable, any day on which (i) trading in the Class A or the Series A Strike Preferred, as applicable, generally occurs on the principal U.S. national or regional securities exchange on which the Class A or the Series A Strike Preferred, as applicable, is then listed or, if the Class A or the Series A Strike Preferred, as applicable, is not then listed on a U.S. national or regional securities exchange, on the principal other market on which the Class A or the Series A Strike Preferred, as applicable, is then traded; and (ii) there is no “market disruption event” (as defined above in this “—Definitions” section). If the Class A or the Series A Strike Preferred, as applicable, is not so listed or traded, then “trading day” with respect to the Class A or the Series A Strike Preferred, as applicable, means a business day.</w:t>
      </w:r>
    </w:p>
    <w:p>
      <w:pPr>
        <w:spacing w:after="0" w:line="241" w:lineRule="exact"/>
        <w:rPr>
          <w:sz w:val="20"/>
          <w:szCs w:val="20"/>
          <w:color w:val="auto"/>
        </w:rPr>
      </w:pPr>
    </w:p>
    <w:p>
      <w:pPr>
        <w:ind w:right="120"/>
        <w:spacing w:after="0" w:line="258" w:lineRule="auto"/>
        <w:rPr>
          <w:sz w:val="20"/>
          <w:szCs w:val="20"/>
          <w:color w:val="auto"/>
        </w:rPr>
      </w:pPr>
      <w:r>
        <w:rPr>
          <w:rFonts w:ascii="Times New Roman" w:cs="Times New Roman" w:eastAsia="Times New Roman" w:hAnsi="Times New Roman"/>
          <w:sz w:val="18"/>
          <w:szCs w:val="18"/>
          <w:color w:val="auto"/>
        </w:rPr>
        <w:t>“Voting parity stock” means, with respect to any matter as to which preferred stockholders are entitled to vote pursuant to the provisions described above under the caption “—Voting Rights—Right to Designate up to Two Preferred Stock Directors Upon Regular Dividend Non-Payment Events” or “— Voting and Consent Rights with Respect to Specified Matters,” each class or series of outstanding dividend parity stock or liquidation parity stock, if any, upon which similar voting rights are conferred and are exercisable with respect to such matter. For the avoidance of doubt, voting parity stock will not include any securities of the Company’s subsidiaries.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869950</wp:posOffset>
            </wp:positionV>
            <wp:extent cx="7157720" cy="42545"/>
            <wp:wrapNone/>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71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80"/>
          </w:cols>
          <w:pgMar w:left="320" w:top="1417" w:right="399" w:bottom="1440" w:gutter="0" w:footer="0" w:header="0"/>
        </w:sectPr>
      </w:pPr>
    </w:p>
    <w:bookmarkStart w:id="158" w:name="page159"/>
    <w:bookmarkEnd w:id="158"/>
    <w:p>
      <w:pPr>
        <w:spacing w:after="0" w:line="248" w:lineRule="exact"/>
        <w:rPr>
          <w:sz w:val="20"/>
          <w:szCs w:val="20"/>
          <w:color w:val="auto"/>
        </w:rPr>
      </w:pPr>
    </w:p>
    <w:p>
      <w:pPr>
        <w:ind w:right="120"/>
        <w:spacing w:after="0" w:line="256" w:lineRule="auto"/>
        <w:rPr>
          <w:sz w:val="20"/>
          <w:szCs w:val="20"/>
          <w:color w:val="auto"/>
        </w:rPr>
      </w:pPr>
      <w:r>
        <w:rPr>
          <w:rFonts w:ascii="Times New Roman" w:cs="Times New Roman" w:eastAsia="Times New Roman" w:hAnsi="Times New Roman"/>
          <w:sz w:val="18"/>
          <w:szCs w:val="18"/>
          <w:color w:val="auto"/>
        </w:rPr>
        <w:t>“VWAP market disruption event” means, with respect to any date, (i) the failure by the principal U.S. national or regional securities exchange on which the Class A is then listed, or, if the Class A is not then listed on a U.S. national or regional securities exchange, the principal other market on which the Class A is then traded, to open for trading during its regular trading session on such date; or (ii) the occurrence or existence, for more than one-half hour period in the aggregate, of any suspension or limitation imposed on trading (by reason of movements in price exceeding limits permitted by the relevant exchange or otherwise) in the Class A or in any options contracts or futures contracts relating to the Class A, and such suspension or limitation occurs or exists at any time before 1:00 p.m., New York City time, on such date.</w:t>
      </w:r>
    </w:p>
    <w:p>
      <w:pPr>
        <w:spacing w:after="0" w:line="241"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“VWAP trading day” means a day on which (i) there is no VWAP market disruption event; and (ii) trading in the Class A generally occurs on the principal U.S. national or regional securities exchange on which the Class A is then listed or, if the Class A is not then listed on a U.S. national or regional securities exchange, on the principal other market on which the Class A is then traded. If the Class A is not so listed or traded, then “VWAP trading day” means a business day.</w:t>
      </w:r>
    </w:p>
    <w:p>
      <w:pPr>
        <w:spacing w:after="0" w:line="234" w:lineRule="exact"/>
        <w:rPr>
          <w:sz w:val="20"/>
          <w:szCs w:val="20"/>
          <w:color w:val="auto"/>
        </w:rPr>
      </w:pPr>
    </w:p>
    <w:p>
      <w:pPr>
        <w:ind w:right="320"/>
        <w:spacing w:after="0" w:line="282" w:lineRule="auto"/>
        <w:rPr>
          <w:sz w:val="20"/>
          <w:szCs w:val="20"/>
          <w:color w:val="auto"/>
        </w:rPr>
      </w:pPr>
      <w:r>
        <w:rPr>
          <w:rFonts w:ascii="Times New Roman" w:cs="Times New Roman" w:eastAsia="Times New Roman" w:hAnsi="Times New Roman"/>
          <w:sz w:val="18"/>
          <w:szCs w:val="18"/>
          <w:color w:val="auto"/>
        </w:rPr>
        <w:t>“Wholly owned subsidiary” of a person means any subsidiary of such person all of the outstanding capital stock or other ownership interests of which (other than directors’ qualifying shares) are owned by such person or one or more wholly owned subsidiaries of such person.</w:t>
      </w:r>
    </w:p>
    <w:p>
      <w:pPr>
        <w:spacing w:after="0" w:line="158"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b w:val="1"/>
          <w:bCs w:val="1"/>
          <w:color w:val="auto"/>
        </w:rPr>
        <w:t>Book Entry, Settlement and Clearance</w:t>
      </w:r>
    </w:p>
    <w:p>
      <w:pPr>
        <w:spacing w:after="0" w:line="144"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Global Certificates</w:t>
      </w:r>
    </w:p>
    <w:p>
      <w:pPr>
        <w:spacing w:after="0" w:line="148" w:lineRule="exact"/>
        <w:rPr>
          <w:sz w:val="20"/>
          <w:szCs w:val="20"/>
          <w:color w:val="auto"/>
        </w:rPr>
      </w:pPr>
    </w:p>
    <w:p>
      <w:pPr>
        <w:ind w:right="460"/>
        <w:spacing w:after="0" w:line="282" w:lineRule="auto"/>
        <w:rPr>
          <w:sz w:val="20"/>
          <w:szCs w:val="20"/>
          <w:color w:val="auto"/>
        </w:rPr>
      </w:pPr>
      <w:r>
        <w:rPr>
          <w:rFonts w:ascii="Times New Roman" w:cs="Times New Roman" w:eastAsia="Times New Roman" w:hAnsi="Times New Roman"/>
          <w:sz w:val="18"/>
          <w:szCs w:val="18"/>
          <w:color w:val="auto"/>
        </w:rPr>
        <w:t>The Series A Strike Preferred was initially issued in the form of one or more certificates (the “global certificates”) registered in the name of Cede &amp; Co., as nominee of DTC, and was deposited with the transfer agent as custodian for DTC.</w:t>
      </w:r>
    </w:p>
    <w:p>
      <w:pPr>
        <w:spacing w:after="0" w:line="216"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Only persons who have accounts with DTC (“DTC participants”) or persons who hold interests through DTC participants may own beneficial interests in a global certificate. The Company expects that, under procedures established by DTC:</w:t>
      </w:r>
    </w:p>
    <w:p>
      <w:pPr>
        <w:spacing w:after="0" w:line="81" w:lineRule="exact"/>
        <w:rPr>
          <w:sz w:val="20"/>
          <w:szCs w:val="20"/>
          <w:color w:val="auto"/>
        </w:rPr>
      </w:pPr>
    </w:p>
    <w:p>
      <w:pPr>
        <w:ind w:left="740" w:right="740" w:hanging="358"/>
        <w:spacing w:after="0" w:line="282" w:lineRule="auto"/>
        <w:tabs>
          <w:tab w:leader="none" w:pos="740" w:val="left"/>
        </w:tabs>
        <w:numPr>
          <w:ilvl w:val="0"/>
          <w:numId w:val="9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deposit of a global certificate with DTC’s custodian, DTC will credit the shares of Series A Strike Preferred represented by such global certificate to the accounts of the DTC participants designated by the underwriters for the applicable offering; and</w:t>
      </w:r>
    </w:p>
    <w:p>
      <w:pPr>
        <w:spacing w:after="0" w:line="80" w:lineRule="exact"/>
        <w:rPr>
          <w:rFonts w:ascii="Times New Roman" w:cs="Times New Roman" w:eastAsia="Times New Roman" w:hAnsi="Times New Roman"/>
          <w:sz w:val="18"/>
          <w:szCs w:val="18"/>
          <w:color w:val="auto"/>
        </w:rPr>
      </w:pPr>
    </w:p>
    <w:p>
      <w:pPr>
        <w:ind w:left="760" w:right="200" w:hanging="378"/>
        <w:spacing w:after="0" w:line="266" w:lineRule="auto"/>
        <w:tabs>
          <w:tab w:leader="none" w:pos="760" w:val="left"/>
        </w:tabs>
        <w:numPr>
          <w:ilvl w:val="0"/>
          <w:numId w:val="9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ownership of beneficial interests in a global certificate will be shown on, and transfers of such interests will be effected only through, records maintained by DTC (with respect to interests of DTC participants) and the records of DTC participants (with respect to other owners of beneficial interests in the global certificate).</w:t>
      </w:r>
    </w:p>
    <w:p>
      <w:pPr>
        <w:spacing w:after="0" w:line="131"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Book-Entry Procedures for Global Certificates</w:t>
      </w:r>
    </w:p>
    <w:p>
      <w:pPr>
        <w:spacing w:after="0" w:line="148" w:lineRule="exact"/>
        <w:rPr>
          <w:sz w:val="20"/>
          <w:szCs w:val="20"/>
          <w:color w:val="auto"/>
        </w:rPr>
      </w:pPr>
    </w:p>
    <w:p>
      <w:pPr>
        <w:jc w:val="both"/>
        <w:ind w:right="180"/>
        <w:spacing w:after="0" w:line="261" w:lineRule="auto"/>
        <w:rPr>
          <w:sz w:val="20"/>
          <w:szCs w:val="20"/>
          <w:color w:val="auto"/>
        </w:rPr>
      </w:pPr>
      <w:r>
        <w:rPr>
          <w:rFonts w:ascii="Times New Roman" w:cs="Times New Roman" w:eastAsia="Times New Roman" w:hAnsi="Times New Roman"/>
          <w:sz w:val="18"/>
          <w:szCs w:val="18"/>
          <w:color w:val="auto"/>
        </w:rPr>
        <w:t>All interests in a global certificate will be subject to the operations and procedures of DTC. Accordingly, holders must allow for sufficient time in order to comply with those operations and procedures if they wish to exercise any of their rights with respect to the Series A Strike Preferred. The operations and procedures of DTC are controlled by DTC and may be changed at any time. None of the Company, the transfer agent or any of the underwriters of any offering of Series A Strike Preferred will be responsible for those operations or procedures.</w:t>
      </w:r>
    </w:p>
    <w:p>
      <w:pPr>
        <w:spacing w:after="0" w:line="23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DTC has advised the Company that it is:</w:t>
      </w:r>
    </w:p>
    <w:p>
      <w:pPr>
        <w:spacing w:after="0" w:line="144" w:lineRule="exact"/>
        <w:rPr>
          <w:sz w:val="20"/>
          <w:szCs w:val="20"/>
          <w:color w:val="auto"/>
        </w:rPr>
      </w:pPr>
    </w:p>
    <w:p>
      <w:pPr>
        <w:ind w:left="760" w:hanging="378"/>
        <w:spacing w:after="0"/>
        <w:tabs>
          <w:tab w:leader="none" w:pos="760" w:val="left"/>
        </w:tabs>
        <w:numPr>
          <w:ilvl w:val="0"/>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limited purpose trust company organized under the laws of the State of New York;</w:t>
      </w:r>
    </w:p>
    <w:p>
      <w:pPr>
        <w:spacing w:after="0" w:line="144"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“banking organization” within the meaning of the New York State Banking Law;</w:t>
      </w:r>
    </w:p>
    <w:p>
      <w:pPr>
        <w:spacing w:after="0" w:line="144"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member of the Federal Reserve System;</w:t>
      </w:r>
    </w:p>
    <w:p>
      <w:pPr>
        <w:spacing w:after="0" w:line="144"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“clearing corporation” within the meaning of the Uniform Commercial Code; and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895985</wp:posOffset>
            </wp:positionV>
            <wp:extent cx="7157720" cy="42545"/>
            <wp:wrapNone/>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71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20"/>
          </w:cols>
          <w:pgMar w:left="320" w:top="1440" w:right="459" w:bottom="1440" w:gutter="0" w:footer="0" w:header="0"/>
        </w:sectPr>
      </w:pPr>
    </w:p>
    <w:bookmarkStart w:id="159" w:name="page160"/>
    <w:bookmarkEnd w:id="159"/>
    <w:p>
      <w:pPr>
        <w:spacing w:after="0" w:line="113" w:lineRule="exact"/>
        <w:rPr>
          <w:sz w:val="20"/>
          <w:szCs w:val="20"/>
          <w:color w:val="auto"/>
        </w:rPr>
      </w:pPr>
    </w:p>
    <w:p>
      <w:pPr>
        <w:ind w:left="760" w:hanging="378"/>
        <w:spacing w:after="0"/>
        <w:tabs>
          <w:tab w:leader="none" w:pos="760" w:val="left"/>
        </w:tabs>
        <w:numPr>
          <w:ilvl w:val="0"/>
          <w:numId w:val="10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“clearing agency” registered under Section 17A of the Exchange Act.</w:t>
      </w:r>
    </w:p>
    <w:p>
      <w:pPr>
        <w:spacing w:after="0" w:line="293" w:lineRule="exact"/>
        <w:rPr>
          <w:sz w:val="20"/>
          <w:szCs w:val="20"/>
          <w:color w:val="auto"/>
        </w:rPr>
      </w:pPr>
    </w:p>
    <w:p>
      <w:pPr>
        <w:ind w:right="100"/>
        <w:spacing w:after="0" w:line="256" w:lineRule="auto"/>
        <w:rPr>
          <w:sz w:val="20"/>
          <w:szCs w:val="20"/>
          <w:color w:val="auto"/>
        </w:rPr>
      </w:pPr>
      <w:r>
        <w:rPr>
          <w:rFonts w:ascii="Times New Roman" w:cs="Times New Roman" w:eastAsia="Times New Roman" w:hAnsi="Times New Roman"/>
          <w:sz w:val="18"/>
          <w:szCs w:val="18"/>
          <w:color w:val="auto"/>
        </w:rPr>
        <w:t>DTC was created to hold securities for its participants and to facilitate the clearance and settlement of securities transactions between its participants through electronic book-entry changes to the accounts of its participants. DTC’s participants include securities brokers and dealers (including the underwriters), banks and trust companies, clearing corporations and other organizations. Indirect access to DTC’s book-entry system is also available to other “indirect participants,” such as banks, brokers, dealers and trust companies, who directly or indirectly clear through or maintain a custodial relationship with a DTC participant. Purchasers of Series A Strike Preferred who are not DTC participants may beneficially own securities held by or on behalf of DTC only through DTC participants or indirect participants in DTC.</w:t>
      </w:r>
    </w:p>
    <w:p>
      <w:pPr>
        <w:spacing w:after="0" w:line="241" w:lineRule="exact"/>
        <w:rPr>
          <w:sz w:val="20"/>
          <w:szCs w:val="20"/>
          <w:color w:val="auto"/>
        </w:rPr>
      </w:pPr>
    </w:p>
    <w:p>
      <w:pPr>
        <w:ind w:right="180"/>
        <w:spacing w:after="0" w:line="266" w:lineRule="auto"/>
        <w:rPr>
          <w:sz w:val="20"/>
          <w:szCs w:val="20"/>
          <w:color w:val="auto"/>
        </w:rPr>
      </w:pPr>
      <w:r>
        <w:rPr>
          <w:rFonts w:ascii="Times New Roman" w:cs="Times New Roman" w:eastAsia="Times New Roman" w:hAnsi="Times New Roman"/>
          <w:sz w:val="18"/>
          <w:szCs w:val="18"/>
          <w:color w:val="auto"/>
        </w:rPr>
        <w:t>So long as DTC or its nominee is the registered owner of a global certificate, DTC or that nominee will be considered the sole owner or holder of the Series A Strike Preferred represented by that global certificate for all purposes under the Certificate of Designations. Except as provided below, owners of beneficial interests in a global certificate:</w:t>
      </w:r>
    </w:p>
    <w:p>
      <w:pPr>
        <w:spacing w:after="0" w:line="95" w:lineRule="exact"/>
        <w:rPr>
          <w:sz w:val="20"/>
          <w:szCs w:val="20"/>
          <w:color w:val="auto"/>
        </w:rPr>
      </w:pPr>
    </w:p>
    <w:p>
      <w:pPr>
        <w:ind w:left="720" w:hanging="338"/>
        <w:spacing w:after="0"/>
        <w:tabs>
          <w:tab w:leader="none" w:pos="720" w:val="left"/>
        </w:tabs>
        <w:numPr>
          <w:ilvl w:val="0"/>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will not be entitled to have Series A Strike Preferred represented by the global certificate registered in their names;</w:t>
      </w:r>
    </w:p>
    <w:p>
      <w:pPr>
        <w:spacing w:after="0" w:line="76" w:lineRule="exact"/>
        <w:rPr>
          <w:rFonts w:ascii="Times New Roman" w:cs="Times New Roman" w:eastAsia="Times New Roman" w:hAnsi="Times New Roman"/>
          <w:sz w:val="18"/>
          <w:szCs w:val="18"/>
          <w:color w:val="auto"/>
        </w:rPr>
      </w:pPr>
    </w:p>
    <w:p>
      <w:pPr>
        <w:ind w:left="760" w:right="720" w:hanging="378"/>
        <w:spacing w:after="0" w:line="282" w:lineRule="auto"/>
        <w:tabs>
          <w:tab w:leader="none" w:pos="760" w:val="left"/>
        </w:tabs>
        <w:numPr>
          <w:ilvl w:val="0"/>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will not receive or be entitled to receive physical, certificated Series A Strike Preferred registered in their respective names (“physical certificates”); and</w:t>
      </w:r>
    </w:p>
    <w:p>
      <w:pPr>
        <w:spacing w:after="0" w:line="80"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will not be considered the owners or holders of the Series A Strike Preferred under the Certificate of Designations for any purpose.</w:t>
      </w:r>
    </w:p>
    <w:p>
      <w:pPr>
        <w:spacing w:after="0" w:line="279" w:lineRule="exact"/>
        <w:rPr>
          <w:sz w:val="20"/>
          <w:szCs w:val="20"/>
          <w:color w:val="auto"/>
        </w:rPr>
      </w:pPr>
    </w:p>
    <w:p>
      <w:pPr>
        <w:ind w:right="480"/>
        <w:spacing w:after="0" w:line="266" w:lineRule="auto"/>
        <w:rPr>
          <w:sz w:val="20"/>
          <w:szCs w:val="20"/>
          <w:color w:val="auto"/>
        </w:rPr>
      </w:pPr>
      <w:r>
        <w:rPr>
          <w:rFonts w:ascii="Times New Roman" w:cs="Times New Roman" w:eastAsia="Times New Roman" w:hAnsi="Times New Roman"/>
          <w:sz w:val="18"/>
          <w:szCs w:val="18"/>
          <w:color w:val="auto"/>
        </w:rPr>
        <w:t>As a result, each investor who owns a beneficial interest in a global certificate must rely on the procedures of DTC (and, if the investor is not a participant or an indirect participant in DTC, on the procedures of the DTC participant through whom the investor owns its interest) to exercise any rights of a preferred stockholder under the Certificate of Designations.</w:t>
      </w:r>
    </w:p>
    <w:p>
      <w:pPr>
        <w:spacing w:after="0" w:line="230" w:lineRule="exact"/>
        <w:rPr>
          <w:sz w:val="20"/>
          <w:szCs w:val="20"/>
          <w:color w:val="auto"/>
        </w:rPr>
      </w:pPr>
    </w:p>
    <w:p>
      <w:pPr>
        <w:ind w:right="20"/>
        <w:spacing w:after="0" w:line="258" w:lineRule="auto"/>
        <w:rPr>
          <w:sz w:val="20"/>
          <w:szCs w:val="20"/>
          <w:color w:val="auto"/>
        </w:rPr>
      </w:pPr>
      <w:r>
        <w:rPr>
          <w:rFonts w:ascii="Times New Roman" w:cs="Times New Roman" w:eastAsia="Times New Roman" w:hAnsi="Times New Roman"/>
          <w:sz w:val="18"/>
          <w:szCs w:val="18"/>
          <w:color w:val="auto"/>
        </w:rPr>
        <w:t>Payments on any global certificates will be made to DTC’s nominee as the registered holder of the global certificate. None of the Company, the transfer agent or the paying agent will have any responsibility or liability for the payment of amounts to owners of beneficial interests in a global certificate, for any aspect of the records relating to, or payments made on account of, those interests by DTC or for maintaining, supervising or reviewing any records of DTC relating to those interests. Payments by participants and indirect participants in DTC to the owners of beneficial interests in a global certificate will be governed by standing instructions and customary industry practice and will be the responsibility of those participants or indirect participants and DTC.</w:t>
      </w:r>
    </w:p>
    <w:p>
      <w:pPr>
        <w:spacing w:after="0" w:line="23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Transfers between participants in DTC will be effected under DTC’s procedures and will be settled in same-day funds.</w:t>
      </w:r>
    </w:p>
    <w:p>
      <w:pPr>
        <w:spacing w:after="0" w:line="397"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b w:val="1"/>
          <w:bCs w:val="1"/>
          <w:i w:val="1"/>
          <w:iCs w:val="1"/>
          <w:color w:val="auto"/>
        </w:rPr>
        <w:t>Physical Certificates</w:t>
      </w:r>
    </w:p>
    <w:p>
      <w:pPr>
        <w:spacing w:after="0" w:line="1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 global certificate will be exchanged, pursuant to customary procedures, for one or more physical certificates only if:</w:t>
      </w:r>
    </w:p>
    <w:p>
      <w:pPr>
        <w:spacing w:after="0" w:line="144" w:lineRule="exact"/>
        <w:rPr>
          <w:sz w:val="20"/>
          <w:szCs w:val="20"/>
          <w:color w:val="auto"/>
        </w:rPr>
      </w:pPr>
    </w:p>
    <w:p>
      <w:pPr>
        <w:ind w:left="760" w:hanging="378"/>
        <w:spacing w:after="0" w:line="266" w:lineRule="auto"/>
        <w:tabs>
          <w:tab w:leader="none" w:pos="760" w:val="left"/>
        </w:tabs>
        <w:numPr>
          <w:ilvl w:val="0"/>
          <w:numId w:val="10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DTC notifies the Company or the transfer agent that it is unwilling or unable to continue as depositary for such global certificate or DTC ceases to be a “clearing agency” registered under Section 17A of the Exchange Act and, in each case, the Company fails to appoint a successor depositary within 90 days of such notice or cessation; or</w:t>
      </w:r>
    </w:p>
    <w:p>
      <w:pPr>
        <w:spacing w:after="0" w:line="94" w:lineRule="exact"/>
        <w:rPr>
          <w:rFonts w:ascii="Times New Roman" w:cs="Times New Roman" w:eastAsia="Times New Roman" w:hAnsi="Times New Roman"/>
          <w:sz w:val="18"/>
          <w:szCs w:val="18"/>
          <w:color w:val="auto"/>
        </w:rPr>
      </w:pPr>
    </w:p>
    <w:p>
      <w:pPr>
        <w:ind w:left="740" w:right="780" w:hanging="358"/>
        <w:spacing w:after="0" w:line="282" w:lineRule="auto"/>
        <w:tabs>
          <w:tab w:leader="none" w:pos="740" w:val="left"/>
        </w:tabs>
        <w:numPr>
          <w:ilvl w:val="0"/>
          <w:numId w:val="10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in its sole discretion, permits the exchange of any beneficial interest in such global certificate for one or more physical certificates at the request of the owner of such beneficial interest.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1130300</wp:posOffset>
            </wp:positionV>
            <wp:extent cx="7157720" cy="42545"/>
            <wp:wrapNone/>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71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00"/>
          </w:cols>
          <w:pgMar w:left="320" w:top="1440" w:right="479" w:bottom="1440" w:gutter="0" w:footer="0" w:header="0"/>
        </w:sectPr>
      </w:pPr>
    </w:p>
    <w:bookmarkStart w:id="160" w:name="page161"/>
    <w:bookmarkEnd w:id="160"/>
    <w:p>
      <w:pPr>
        <w:spacing w:after="0"/>
        <w:rPr>
          <w:sz w:val="20"/>
          <w:szCs w:val="20"/>
          <w:color w:val="auto"/>
        </w:rPr>
      </w:pPr>
      <w:r>
        <w:rPr>
          <w:rFonts w:ascii="Times New Roman" w:cs="Times New Roman" w:eastAsia="Times New Roman" w:hAnsi="Times New Roman"/>
          <w:sz w:val="18"/>
          <w:szCs w:val="18"/>
          <w:b w:val="1"/>
          <w:bCs w:val="1"/>
          <w:color w:val="auto"/>
        </w:rPr>
        <w:t>Provisions that May Have Anti-takeover Effects</w:t>
      </w:r>
    </w:p>
    <w:p>
      <w:pPr>
        <w:spacing w:after="0" w:line="225"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b w:val="1"/>
          <w:bCs w:val="1"/>
          <w:i w:val="1"/>
          <w:iCs w:val="1"/>
          <w:color w:val="auto"/>
        </w:rPr>
        <w:t>Delaware Anti-takeover Law</w:t>
      </w:r>
      <w:r>
        <w:rPr>
          <w:rFonts w:ascii="Times New Roman" w:cs="Times New Roman" w:eastAsia="Times New Roman" w:hAnsi="Times New Roman"/>
          <w:sz w:val="18"/>
          <w:szCs w:val="18"/>
          <w:color w:val="auto"/>
        </w:rPr>
        <w:t>. The Company is a Delaware corporation subject to Section 203 of the DGCL (“Section 203”). Under Section 203, certain</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“business combinations” between a Delaware corporation whose stock generally is publicly traded or held of record by more than 2,000 stockholders and an “interested stockholder” are prohibited for a three-year period following the date that such stockholder became an interested stockholder, unless (1) the corporation has elected in its certificate of incorporation not to be governed by Section 203 (the Company has not made such an election), (2) the business combination or transaction which resulted in the stockholder becoming an interested stockholder was approved by the board of directors of the corporation before such stockholder became an interested stockholder, (3) upon consummation of the transaction that made such stockholder an interested stockholder, the interested stockholder owned at least 85% of the voting stock of the corporation outstanding at the commencement of the transaction (excluding voting stock owned by directors who are also officers or held in employee benefit plans in which the employees do not have a confidential right to tender stock held by the plan in a tender or exchange offer), or (4) the business combination is approved by the board of directors of the corporation and authorized at a meeting by two-thirds of the voting stock, which the interested stockholder did not own. The three-year prohibition also does not apply to certain business combinations proposed by an interested stockholder following the announcement or notification of certain extraordinary transactions involving the corporation and a person who had not been an interested stockholder during the previous three years or who became an interested stockholder with the approval of a majority of the corporation’s directors, and is approved or not opposed by a majority of the directors then in office who were directors prior to any person becoming an interested stockholder during the previous three years or were recommended for election or elected to succeed such directors by a majority of such directors. The term “business combination” is defined generally to include mergers or consolidations between a Delaware corporation and an interested stockholder, transactions with an interested stockholder involving the assets or stock of the corporation or its majority-owned subsidiaries, and transactions which increase an interested stockholder’s percentage ownership of stock. The term “interested stockholder” is defined generally as those stockholders who become beneficial owners of 15% or more of a Delaware corporation’s voting stock, together with the affiliates or associates of that stockholder.</w:t>
      </w:r>
    </w:p>
    <w:p>
      <w:pPr>
        <w:spacing w:after="0" w:line="19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b w:val="1"/>
          <w:bCs w:val="1"/>
          <w:i w:val="1"/>
          <w:iCs w:val="1"/>
          <w:color w:val="auto"/>
        </w:rPr>
        <w:t>Exclusive Forum Provision</w:t>
      </w:r>
      <w:r>
        <w:rPr>
          <w:rFonts w:ascii="Times New Roman" w:cs="Times New Roman" w:eastAsia="Times New Roman" w:hAnsi="Times New Roman"/>
          <w:sz w:val="18"/>
          <w:szCs w:val="18"/>
          <w:color w:val="auto"/>
        </w:rPr>
        <w:t>. Under the By-laws, unless the Company consents in writing to the selection of an alternative forum, the Court of Chancery of</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the State of Delaware (or if the Court of Chancery of the State of Delaware does not have jurisdiction, then any other state court located in the State of Delaware, or if no state court located within the State of Delaware has jurisdiction, the federal district court for the District of Delaware) shall, to the fullest extent permitted by law, be the sole and exclusive forum for (1) any derivative action or proceeding brought on behalf of the Company, (2) any action asserting a claim of breach of a fiduciary duty owed by any director, officer, other employee, or stockholder of the Company to the Company or its stockholders, (3) any action asserting a claim arising pursuant to a provision of the DGCL, Certificate, or By-laws (in each case, as they may be amended from time to time), or (4) any action asserting a claim governed by the internal affairs doctrine.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871855</wp:posOffset>
            </wp:positionV>
            <wp:extent cx="7157720" cy="42545"/>
            <wp:wrapNone/>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71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161" w:name="page162"/>
    <w:bookmarkEnd w:id="161"/>
    <w:p>
      <w:pPr>
        <w:jc w:val="right"/>
        <w:spacing w:after="0"/>
        <w:rPr>
          <w:sz w:val="20"/>
          <w:szCs w:val="20"/>
          <w:color w:val="auto"/>
        </w:rPr>
      </w:pPr>
      <w:r>
        <w:rPr>
          <w:rFonts w:ascii="Times New Roman" w:cs="Times New Roman" w:eastAsia="Times New Roman" w:hAnsi="Times New Roman"/>
          <w:sz w:val="18"/>
          <w:szCs w:val="18"/>
          <w:color w:val="auto"/>
        </w:rPr>
        <w:t>Exhibit 10.16</w:t>
      </w:r>
    </w:p>
    <w:p>
      <w:pPr>
        <w:spacing w:after="0" w:line="200" w:lineRule="exact"/>
        <w:rPr>
          <w:sz w:val="20"/>
          <w:szCs w:val="20"/>
          <w:color w:val="auto"/>
        </w:rPr>
      </w:pPr>
    </w:p>
    <w:p>
      <w:pPr>
        <w:spacing w:after="0" w:line="241"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u w:val="single" w:color="auto"/>
          <w:color w:val="auto"/>
        </w:rPr>
        <w:t>Plan Amendment &amp; Current Plan</w:t>
      </w:r>
    </w:p>
    <w:p>
      <w:pPr>
        <w:spacing w:after="0" w:line="225" w:lineRule="exact"/>
        <w:rPr>
          <w:sz w:val="20"/>
          <w:szCs w:val="20"/>
          <w:color w:val="auto"/>
        </w:rPr>
      </w:pPr>
    </w:p>
    <w:p>
      <w:pPr>
        <w:ind w:right="220"/>
        <w:spacing w:after="0" w:line="282" w:lineRule="auto"/>
        <w:rPr>
          <w:sz w:val="20"/>
          <w:szCs w:val="20"/>
          <w:color w:val="auto"/>
        </w:rPr>
      </w:pPr>
      <w:r>
        <w:rPr>
          <w:rFonts w:ascii="Times New Roman" w:cs="Times New Roman" w:eastAsia="Times New Roman" w:hAnsi="Times New Roman"/>
          <w:sz w:val="18"/>
          <w:szCs w:val="18"/>
          <w:color w:val="auto"/>
        </w:rPr>
        <w:t>Pursuant to Section 12(d) of the 2023 Equity Incentive Plan (the “Plan”) of MicroStrategy Incorporated (the “Company”), the Plan is hereby amended as follows:</w:t>
      </w:r>
    </w:p>
    <w:p>
      <w:pPr>
        <w:spacing w:after="0" w:line="162" w:lineRule="exact"/>
        <w:rPr>
          <w:sz w:val="20"/>
          <w:szCs w:val="20"/>
          <w:color w:val="auto"/>
        </w:rPr>
      </w:pPr>
    </w:p>
    <w:p>
      <w:pPr>
        <w:ind w:left="180" w:hanging="172"/>
        <w:spacing w:after="0"/>
        <w:tabs>
          <w:tab w:leader="none" w:pos="180" w:val="left"/>
        </w:tabs>
        <w:numPr>
          <w:ilvl w:val="0"/>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Section 4(c) of the Plan is amended to read in its entirety as follows:</w:t>
      </w:r>
    </w:p>
    <w:p>
      <w:pPr>
        <w:spacing w:after="0" w:line="225" w:lineRule="exact"/>
        <w:rPr>
          <w:rFonts w:ascii="Times New Roman" w:cs="Times New Roman" w:eastAsia="Times New Roman" w:hAnsi="Times New Roman"/>
          <w:sz w:val="18"/>
          <w:szCs w:val="18"/>
          <w:color w:val="auto"/>
        </w:rPr>
      </w:pPr>
    </w:p>
    <w:p>
      <w:pPr>
        <w:ind w:left="1100" w:hanging="243"/>
        <w:spacing w:after="0"/>
        <w:tabs>
          <w:tab w:leader="none" w:pos="1100" w:val="left"/>
        </w:tabs>
        <w:numPr>
          <w:ilvl w:val="1"/>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Awards to Outside Directors</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firstLine="1705"/>
        <w:spacing w:after="0" w:line="258" w:lineRule="auto"/>
        <w:tabs>
          <w:tab w:leader="none" w:pos="1912" w:val="left"/>
        </w:tabs>
        <w:numPr>
          <w:ilvl w:val="2"/>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Annual Grant</w:t>
      </w:r>
      <w:r>
        <w:rPr>
          <w:rFonts w:ascii="Times New Roman" w:cs="Times New Roman" w:eastAsia="Times New Roman" w:hAnsi="Times New Roman"/>
          <w:sz w:val="18"/>
          <w:szCs w:val="18"/>
          <w:color w:val="auto"/>
        </w:rPr>
        <w:t>. Beginning in 2023, on May 31 of each year, each Outside Director who is then serving as an Outside Director (as defined in Section 4(c)(vii)) as of such date shall automatically be granted (without further action by the Board or any committee thereof) Awards having an aggregate fair value (calculated based on grant date fair value for financial reporting purposes) equal to $300,000, with half of such Awards ($150,000 in fair value) being granted in the form of Nonstatutory Stock Options and half of such Awards ($150,000 in fair value) being granted in the form of RSUs (such Awards, together, the “Annual Grant”).</w:t>
      </w:r>
    </w:p>
    <w:p>
      <w:pPr>
        <w:spacing w:after="0" w:line="183" w:lineRule="exact"/>
        <w:rPr>
          <w:rFonts w:ascii="Times New Roman" w:cs="Times New Roman" w:eastAsia="Times New Roman" w:hAnsi="Times New Roman"/>
          <w:sz w:val="18"/>
          <w:szCs w:val="18"/>
          <w:color w:val="auto"/>
        </w:rPr>
      </w:pPr>
    </w:p>
    <w:p>
      <w:pPr>
        <w:jc w:val="both"/>
        <w:ind w:firstLine="1705"/>
        <w:spacing w:after="0" w:line="255" w:lineRule="auto"/>
        <w:tabs>
          <w:tab w:leader="none" w:pos="1962" w:val="left"/>
        </w:tabs>
        <w:numPr>
          <w:ilvl w:val="2"/>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Terms of Annual Grant</w:t>
      </w:r>
      <w:r>
        <w:rPr>
          <w:rFonts w:ascii="Times New Roman" w:cs="Times New Roman" w:eastAsia="Times New Roman" w:hAnsi="Times New Roman"/>
          <w:sz w:val="18"/>
          <w:szCs w:val="18"/>
          <w:color w:val="auto"/>
        </w:rPr>
        <w:t>. Options granted pursuant to Section 4(c)(i) shall (i) have an exercise price equal to the Grant Date Fair Market Value of the Common Stock (as defined below); (ii) become exercisable as to 100% of the shares subject to such Option on the first anniversary of the date of grant; (iii) unless earlier terminated, expire at 5:00 p.m., Eastern Time, on the tenth anniversary of the date of grant; and (iv) otherwise be on and subject to such other terms and conditions as are set forth in the Option agreement with respect to such grant and as the Board may determine. RSUs granted pursuant to Section 4(c)(i) shall vest and be settled as to 100% of the shares subject to such RSU on the first anniversary of the date of grant and otherwise be on and subject to such other terms and conditions as are set forth in the RSU agreement with respect to such grant and as the Board may determine.</w:t>
      </w:r>
    </w:p>
    <w:p>
      <w:pPr>
        <w:spacing w:after="0" w:line="188" w:lineRule="exact"/>
        <w:rPr>
          <w:rFonts w:ascii="Times New Roman" w:cs="Times New Roman" w:eastAsia="Times New Roman" w:hAnsi="Times New Roman"/>
          <w:sz w:val="18"/>
          <w:szCs w:val="18"/>
          <w:color w:val="auto"/>
        </w:rPr>
      </w:pPr>
    </w:p>
    <w:p>
      <w:pPr>
        <w:jc w:val="both"/>
        <w:ind w:firstLine="1705"/>
        <w:spacing w:after="0" w:line="258" w:lineRule="auto"/>
        <w:tabs>
          <w:tab w:leader="none" w:pos="2011" w:val="left"/>
        </w:tabs>
        <w:numPr>
          <w:ilvl w:val="2"/>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Initial Grant</w:t>
      </w:r>
      <w:r>
        <w:rPr>
          <w:rFonts w:ascii="Times New Roman" w:cs="Times New Roman" w:eastAsia="Times New Roman" w:hAnsi="Times New Roman"/>
          <w:sz w:val="18"/>
          <w:szCs w:val="18"/>
          <w:color w:val="auto"/>
        </w:rPr>
        <w:t>. Beginning on December 20, 2024, each Outside Director who is newly appointed to the Board, upon the date of such Outside Director’s initial appointment to the Board, shall automatically be granted (without further action by the Board or any committee thereof) Awards having an aggregate fair value (calculated based on grant date fair value for financial reporting purposes) equal to $2,000,000, with half of such Awards ($1,000,000 in fair value) being granted in the form of Nonstatutory Stock Options and half of such Awards ($1,000,000 in fair value) being granted in the form of RSUs (such Awards, together, the “Initial Grant”).</w:t>
      </w:r>
    </w:p>
    <w:p>
      <w:pPr>
        <w:spacing w:after="0" w:line="183" w:lineRule="exact"/>
        <w:rPr>
          <w:rFonts w:ascii="Times New Roman" w:cs="Times New Roman" w:eastAsia="Times New Roman" w:hAnsi="Times New Roman"/>
          <w:sz w:val="18"/>
          <w:szCs w:val="18"/>
          <w:color w:val="auto"/>
        </w:rPr>
      </w:pPr>
    </w:p>
    <w:p>
      <w:pPr>
        <w:jc w:val="both"/>
        <w:ind w:firstLine="1705"/>
        <w:spacing w:after="0" w:line="253" w:lineRule="auto"/>
        <w:tabs>
          <w:tab w:leader="none" w:pos="2002" w:val="left"/>
        </w:tabs>
        <w:numPr>
          <w:ilvl w:val="2"/>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Terms of </w:t>
      </w:r>
      <w:r>
        <w:rPr>
          <w:rFonts w:ascii="Times New Roman" w:cs="Times New Roman" w:eastAsia="Times New Roman" w:hAnsi="Times New Roman"/>
          <w:sz w:val="18"/>
          <w:szCs w:val="18"/>
          <w:u w:val="single" w:color="auto"/>
          <w:color w:val="auto"/>
        </w:rPr>
        <w:t>Initial Grant</w:t>
      </w:r>
      <w:r>
        <w:rPr>
          <w:rFonts w:ascii="Times New Roman" w:cs="Times New Roman" w:eastAsia="Times New Roman" w:hAnsi="Times New Roman"/>
          <w:sz w:val="18"/>
          <w:szCs w:val="18"/>
          <w:color w:val="auto"/>
        </w:rPr>
        <w:t>. Options granted pursuant to Section 4(c)(iii) shall (i) have an exercise price equal to the Grant Date Fair Market Value of the Common Stock; (ii) become exercisable as to 25% of the shares subject to such Option on each of the first, second, third and fourth anniversaries of the date of grant; (iii) unless earlier terminated, expire at 5:00 p.m., Eastern Time, on the tenth anniversary of the date of grant; and (iv) otherwise be on and subject to such other terms and conditions as are set forth in the Option agreement with respect to such grant and as the Board may determine. RSUs granted pursuant to Section 4(c)(iv) shall vest and be settled as to 25% of the shares subject to such RSU on each of the first, second, third and fourth anniversaries of the date of grant and otherwise be on and subject to such other terms and conditions as are set forth in the RSU agreement with respect to such grant and as the Board may determine.</w:t>
      </w:r>
    </w:p>
    <w:p>
      <w:pPr>
        <w:spacing w:after="0" w:line="2" w:lineRule="exact"/>
        <w:rPr>
          <w:rFonts w:ascii="Times New Roman" w:cs="Times New Roman" w:eastAsia="Times New Roman" w:hAnsi="Times New Roman"/>
          <w:sz w:val="18"/>
          <w:szCs w:val="18"/>
          <w:color w:val="auto"/>
        </w:rPr>
      </w:pPr>
    </w:p>
    <w:p>
      <w:pPr>
        <w:jc w:val="both"/>
        <w:spacing w:after="0" w:line="252"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(v) Limitations</w:t>
      </w:r>
      <w:r>
        <w:rPr>
          <w:rFonts w:ascii="Times New Roman" w:cs="Times New Roman" w:eastAsia="Times New Roman" w:hAnsi="Times New Roman"/>
          <w:sz w:val="18"/>
          <w:szCs w:val="18"/>
          <w:color w:val="auto"/>
        </w:rPr>
        <w:t>. Notwithstanding Sections 4(c)(i) and 4(c)(iii), in the event that the number of shares of Common Stock prescribed by Section 4(a)(i) is not sufficient to cover the Awards granted pursuant to Sections 4(c)(i) or 4(c)(iii), the remaining shares of Common Stock available for issuance shall be prorated among the Outside Directors entitled to receive either such Awards. Any further grants pursuant to Sections 4(c)(i) or 4(c)(iii) shall then be deferred until such time, if any, as additional shares of Common Stock become available for grant under the Plan, whether pursuant to amendment of the Plan pursuant to Section 12(d) to increase the number of shares available for issuance under the Plan or pursuant to the mechanisms set forth in Section 4(a)(ii)(C) or otherwise.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873760</wp:posOffset>
            </wp:positionV>
            <wp:extent cx="7157720" cy="42545"/>
            <wp:wrapNone/>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71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7" w:right="339" w:bottom="1440" w:gutter="0" w:footer="0" w:header="0"/>
        </w:sectPr>
      </w:pPr>
    </w:p>
    <w:bookmarkStart w:id="162" w:name="page163"/>
    <w:bookmarkEnd w:id="162"/>
    <w:p>
      <w:pPr>
        <w:jc w:val="both"/>
        <w:ind w:firstLine="1705"/>
        <w:spacing w:after="0" w:line="266" w:lineRule="auto"/>
        <w:tabs>
          <w:tab w:leader="none" w:pos="2001" w:val="left"/>
        </w:tabs>
        <w:numPr>
          <w:ilvl w:val="0"/>
          <w:numId w:val="10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Definition</w:t>
      </w:r>
      <w:r>
        <w:rPr>
          <w:rFonts w:ascii="Times New Roman" w:cs="Times New Roman" w:eastAsia="Times New Roman" w:hAnsi="Times New Roman"/>
          <w:sz w:val="18"/>
          <w:szCs w:val="18"/>
          <w:color w:val="auto"/>
        </w:rPr>
        <w:t>. An “Outside Director” shall mean a member of the Board who is not employed by the Company. Payments by the Company to a member of the Board solely in connection with providing services to the Company as a member of the Board shall not be sufficient to constitute “employment” by the Company.</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Adopted by the Board of Directors on December 20, 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895985</wp:posOffset>
            </wp:positionV>
            <wp:extent cx="7157720" cy="42545"/>
            <wp:wrapNone/>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71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20"/>
          </w:cols>
          <w:pgMar w:left="320" w:top="1417" w:right="359" w:bottom="1440" w:gutter="0" w:footer="0" w:header="0"/>
        </w:sectPr>
      </w:pPr>
    </w:p>
    <w:bookmarkStart w:id="163" w:name="page164"/>
    <w:bookmarkEnd w:id="163"/>
    <w:p>
      <w:pPr>
        <w:spacing w:after="0" w:line="194"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25"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u w:val="single" w:color="auto"/>
          <w:color w:val="auto"/>
        </w:rPr>
        <w:t>2023 EQUITY INCENTIVE PLAN</w:t>
      </w:r>
    </w:p>
    <w:p>
      <w:pPr>
        <w:spacing w:after="0" w:line="225" w:lineRule="exact"/>
        <w:rPr>
          <w:sz w:val="20"/>
          <w:szCs w:val="20"/>
          <w:color w:val="auto"/>
        </w:rPr>
      </w:pPr>
    </w:p>
    <w:p>
      <w:pPr>
        <w:ind w:left="180" w:hanging="172"/>
        <w:spacing w:after="0"/>
        <w:tabs>
          <w:tab w:leader="none" w:pos="180" w:val="left"/>
        </w:tabs>
        <w:numPr>
          <w:ilvl w:val="0"/>
          <w:numId w:val="10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Purpose</w:t>
      </w:r>
    </w:p>
    <w:p>
      <w:pPr>
        <w:spacing w:after="0" w:line="221" w:lineRule="exact"/>
        <w:rPr>
          <w:sz w:val="20"/>
          <w:szCs w:val="20"/>
          <w:color w:val="auto"/>
        </w:rPr>
      </w:pPr>
    </w:p>
    <w:p>
      <w:pPr>
        <w:jc w:val="both"/>
        <w:ind w:firstLine="749"/>
        <w:spacing w:after="0" w:line="255" w:lineRule="auto"/>
        <w:rPr>
          <w:sz w:val="20"/>
          <w:szCs w:val="20"/>
          <w:color w:val="auto"/>
        </w:rPr>
      </w:pPr>
      <w:r>
        <w:rPr>
          <w:rFonts w:ascii="Times New Roman" w:cs="Times New Roman" w:eastAsia="Times New Roman" w:hAnsi="Times New Roman"/>
          <w:sz w:val="18"/>
          <w:szCs w:val="18"/>
          <w:color w:val="auto"/>
        </w:rPr>
        <w:t>The purpose of this 2023 Equity Incentive Plan (the “</w:t>
      </w:r>
      <w:r>
        <w:rPr>
          <w:rFonts w:ascii="Times New Roman" w:cs="Times New Roman" w:eastAsia="Times New Roman" w:hAnsi="Times New Roman"/>
          <w:sz w:val="18"/>
          <w:szCs w:val="18"/>
          <w:b w:val="1"/>
          <w:bCs w:val="1"/>
          <w:i w:val="1"/>
          <w:iCs w:val="1"/>
          <w:color w:val="auto"/>
        </w:rPr>
        <w:t>Plan</w:t>
      </w:r>
      <w:r>
        <w:rPr>
          <w:rFonts w:ascii="Times New Roman" w:cs="Times New Roman" w:eastAsia="Times New Roman" w:hAnsi="Times New Roman"/>
          <w:sz w:val="18"/>
          <w:szCs w:val="18"/>
          <w:color w:val="auto"/>
        </w:rPr>
        <w:t>”) of MicroStrategy Incorporated, a Delaware corporation (the “</w:t>
      </w:r>
      <w:r>
        <w:rPr>
          <w:rFonts w:ascii="Times New Roman" w:cs="Times New Roman" w:eastAsia="Times New Roman" w:hAnsi="Times New Roman"/>
          <w:sz w:val="18"/>
          <w:szCs w:val="18"/>
          <w:b w:val="1"/>
          <w:bCs w:val="1"/>
          <w:i w:val="1"/>
          <w:iCs w:val="1"/>
          <w:color w:val="auto"/>
        </w:rPr>
        <w:t>Company</w:t>
      </w:r>
      <w:r>
        <w:rPr>
          <w:rFonts w:ascii="Times New Roman" w:cs="Times New Roman" w:eastAsia="Times New Roman" w:hAnsi="Times New Roman"/>
          <w:sz w:val="18"/>
          <w:szCs w:val="18"/>
          <w:color w:val="auto"/>
        </w:rPr>
        <w:t>”), is to advance the interests of the Company’s stockholders by enhancing the Company’s ability to attract, retain and motivate persons who are expected to make important contributions to the Company and by providing such persons with equity ownership opportunities and performance-based incentives that are intended to better align the interests of such persons with those of the Company’s stockholders. Except where the context otherwise requires, the term “</w:t>
      </w:r>
      <w:r>
        <w:rPr>
          <w:rFonts w:ascii="Times New Roman" w:cs="Times New Roman" w:eastAsia="Times New Roman" w:hAnsi="Times New Roman"/>
          <w:sz w:val="18"/>
          <w:szCs w:val="18"/>
          <w:b w:val="1"/>
          <w:bCs w:val="1"/>
          <w:i w:val="1"/>
          <w:iCs w:val="1"/>
          <w:color w:val="auto"/>
        </w:rPr>
        <w:t>Company</w:t>
      </w:r>
      <w:r>
        <w:rPr>
          <w:rFonts w:ascii="Times New Roman" w:cs="Times New Roman" w:eastAsia="Times New Roman" w:hAnsi="Times New Roman"/>
          <w:sz w:val="18"/>
          <w:szCs w:val="18"/>
          <w:color w:val="auto"/>
        </w:rPr>
        <w:t>” shall include any of the Company’s present or future parent or subsidiary corporations as defined in Sections 424(e) or (f) of the Internal Revenue Code of 1986, as amended, and any regulations thereunder (the “</w:t>
      </w:r>
      <w:r>
        <w:rPr>
          <w:rFonts w:ascii="Times New Roman" w:cs="Times New Roman" w:eastAsia="Times New Roman" w:hAnsi="Times New Roman"/>
          <w:sz w:val="18"/>
          <w:szCs w:val="18"/>
          <w:b w:val="1"/>
          <w:bCs w:val="1"/>
          <w:i w:val="1"/>
          <w:iCs w:val="1"/>
          <w:color w:val="auto"/>
        </w:rPr>
        <w:t>Code</w:t>
      </w:r>
      <w:r>
        <w:rPr>
          <w:rFonts w:ascii="Times New Roman" w:cs="Times New Roman" w:eastAsia="Times New Roman" w:hAnsi="Times New Roman"/>
          <w:sz w:val="18"/>
          <w:szCs w:val="18"/>
          <w:color w:val="auto"/>
        </w:rPr>
        <w:t>”) and any other business venture (including, without limitation, joint venture or limited liability company) in which the Company has a controlling interest, as determined by the Board of Directors of the Company (the “</w:t>
      </w:r>
      <w:r>
        <w:rPr>
          <w:rFonts w:ascii="Times New Roman" w:cs="Times New Roman" w:eastAsia="Times New Roman" w:hAnsi="Times New Roman"/>
          <w:sz w:val="18"/>
          <w:szCs w:val="18"/>
          <w:b w:val="1"/>
          <w:bCs w:val="1"/>
          <w:i w:val="1"/>
          <w:iCs w:val="1"/>
          <w:color w:val="auto"/>
        </w:rPr>
        <w:t>Board</w:t>
      </w:r>
      <w:r>
        <w:rPr>
          <w:rFonts w:ascii="Times New Roman" w:cs="Times New Roman" w:eastAsia="Times New Roman" w:hAnsi="Times New Roman"/>
          <w:sz w:val="18"/>
          <w:szCs w:val="18"/>
          <w:color w:val="auto"/>
        </w:rPr>
        <w:t>”).</w:t>
      </w:r>
    </w:p>
    <w:p>
      <w:pPr>
        <w:spacing w:after="0" w:line="189" w:lineRule="exact"/>
        <w:rPr>
          <w:sz w:val="20"/>
          <w:szCs w:val="20"/>
          <w:color w:val="auto"/>
        </w:rPr>
      </w:pPr>
    </w:p>
    <w:p>
      <w:pPr>
        <w:ind w:left="180" w:hanging="172"/>
        <w:spacing w:after="0"/>
        <w:tabs>
          <w:tab w:leader="none" w:pos="180" w:val="left"/>
        </w:tabs>
        <w:numPr>
          <w:ilvl w:val="0"/>
          <w:numId w:val="10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Eligibility</w:t>
      </w:r>
    </w:p>
    <w:p>
      <w:pPr>
        <w:spacing w:after="0" w:line="225" w:lineRule="exact"/>
        <w:rPr>
          <w:sz w:val="20"/>
          <w:szCs w:val="20"/>
          <w:color w:val="auto"/>
        </w:rPr>
      </w:pPr>
    </w:p>
    <w:p>
      <w:pPr>
        <w:jc w:val="both"/>
        <w:ind w:firstLine="849"/>
        <w:spacing w:after="0" w:line="254" w:lineRule="auto"/>
        <w:rPr>
          <w:sz w:val="20"/>
          <w:szCs w:val="20"/>
          <w:color w:val="auto"/>
        </w:rPr>
      </w:pPr>
      <w:r>
        <w:rPr>
          <w:rFonts w:ascii="Times New Roman" w:cs="Times New Roman" w:eastAsia="Times New Roman" w:hAnsi="Times New Roman"/>
          <w:sz w:val="18"/>
          <w:szCs w:val="18"/>
          <w:color w:val="auto"/>
        </w:rPr>
        <w:t>All of the Company’s employees, officers and directors, as well as consultants and advisors to the Company (as the terms consultants and advisors are defined and interpreted for purposes of Form S-8 under the Securities Act of 1933, as amended (the “</w:t>
      </w:r>
      <w:r>
        <w:rPr>
          <w:rFonts w:ascii="Times New Roman" w:cs="Times New Roman" w:eastAsia="Times New Roman" w:hAnsi="Times New Roman"/>
          <w:sz w:val="18"/>
          <w:szCs w:val="18"/>
          <w:b w:val="1"/>
          <w:bCs w:val="1"/>
          <w:i w:val="1"/>
          <w:iCs w:val="1"/>
          <w:color w:val="auto"/>
        </w:rPr>
        <w:t>Securities Act</w:t>
      </w:r>
      <w:r>
        <w:rPr>
          <w:rFonts w:ascii="Times New Roman" w:cs="Times New Roman" w:eastAsia="Times New Roman" w:hAnsi="Times New Roman"/>
          <w:sz w:val="18"/>
          <w:szCs w:val="18"/>
          <w:color w:val="auto"/>
        </w:rPr>
        <w:t>”), or any successor form) are eligible to be granted Awards (as defined below) under the Plan. Each person who is granted an Award under the Plan is deemed a “</w:t>
      </w:r>
      <w:r>
        <w:rPr>
          <w:rFonts w:ascii="Times New Roman" w:cs="Times New Roman" w:eastAsia="Times New Roman" w:hAnsi="Times New Roman"/>
          <w:sz w:val="18"/>
          <w:szCs w:val="18"/>
          <w:b w:val="1"/>
          <w:bCs w:val="1"/>
          <w:i w:val="1"/>
          <w:iCs w:val="1"/>
          <w:color w:val="auto"/>
        </w:rPr>
        <w:t>Participant</w:t>
      </w:r>
      <w:r>
        <w:rPr>
          <w:rFonts w:ascii="Times New Roman" w:cs="Times New Roman" w:eastAsia="Times New Roman" w:hAnsi="Times New Roman"/>
          <w:sz w:val="18"/>
          <w:szCs w:val="18"/>
          <w:color w:val="auto"/>
        </w:rPr>
        <w:t>.” The Plan provides for the following types of awards, each of which is referred to as an “</w:t>
      </w:r>
      <w:r>
        <w:rPr>
          <w:rFonts w:ascii="Times New Roman" w:cs="Times New Roman" w:eastAsia="Times New Roman" w:hAnsi="Times New Roman"/>
          <w:sz w:val="18"/>
          <w:szCs w:val="18"/>
          <w:b w:val="1"/>
          <w:bCs w:val="1"/>
          <w:i w:val="1"/>
          <w:iCs w:val="1"/>
          <w:color w:val="auto"/>
        </w:rPr>
        <w:t>Award</w:t>
      </w:r>
      <w:r>
        <w:rPr>
          <w:rFonts w:ascii="Times New Roman" w:cs="Times New Roman" w:eastAsia="Times New Roman" w:hAnsi="Times New Roman"/>
          <w:sz w:val="18"/>
          <w:szCs w:val="18"/>
          <w:color w:val="auto"/>
        </w:rPr>
        <w:t>”: Options (as defined in Section 5), SARs (as defined in Section 6), Restricted Stock (as defined in Section 7), RSUs (as defined in Section 7), Other Stock-Based Awards (as defined in Section 8) and Cash-Based Awards (as defined in Section 8). Any type of Award may be granted as a Performance Award under Section 9. Except as otherwise provided by the Plan, each Award may be made alone or in addition or in relation to any other Award. The terms of each Award need not be identical, and the Board need not treat Participants uniformly.</w:t>
      </w:r>
    </w:p>
    <w:p>
      <w:pPr>
        <w:spacing w:after="0" w:line="192" w:lineRule="exact"/>
        <w:rPr>
          <w:sz w:val="20"/>
          <w:szCs w:val="20"/>
          <w:color w:val="auto"/>
        </w:rPr>
      </w:pPr>
    </w:p>
    <w:p>
      <w:pPr>
        <w:ind w:left="180" w:hanging="172"/>
        <w:spacing w:after="0"/>
        <w:tabs>
          <w:tab w:leader="none" w:pos="180" w:val="left"/>
        </w:tabs>
        <w:numPr>
          <w:ilvl w:val="0"/>
          <w:numId w:val="10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Administration and Delegation</w:t>
      </w:r>
    </w:p>
    <w:p>
      <w:pPr>
        <w:spacing w:after="0" w:line="225" w:lineRule="exact"/>
        <w:rPr>
          <w:rFonts w:ascii="Times New Roman" w:cs="Times New Roman" w:eastAsia="Times New Roman" w:hAnsi="Times New Roman"/>
          <w:sz w:val="18"/>
          <w:szCs w:val="18"/>
          <w:color w:val="auto"/>
        </w:rPr>
      </w:pPr>
    </w:p>
    <w:p>
      <w:pPr>
        <w:jc w:val="both"/>
        <w:ind w:firstLine="857"/>
        <w:spacing w:after="0" w:line="258" w:lineRule="auto"/>
        <w:tabs>
          <w:tab w:leader="none" w:pos="1093" w:val="left"/>
        </w:tabs>
        <w:numPr>
          <w:ilvl w:val="1"/>
          <w:numId w:val="10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Administration by Board of Directors</w:t>
      </w:r>
      <w:r>
        <w:rPr>
          <w:rFonts w:ascii="Times New Roman" w:cs="Times New Roman" w:eastAsia="Times New Roman" w:hAnsi="Times New Roman"/>
          <w:sz w:val="18"/>
          <w:szCs w:val="18"/>
          <w:color w:val="auto"/>
        </w:rPr>
        <w:t>. The Plan will be administered by the Board. The Board shall have authority to grant Awards and to adopt, amend and repeal such administrative rules, guidelines and practices relating to the Plan as it shall deem advisable. The Board may construe and interpret the terms of the Plan and any Award agreements entered into under the Plan. The Board may correct any defect, supply any omission or reconcile any inconsistency in the Plan or any Award. All actions and decisions by the Board with respect to the Plan and any Awards shall be made in the Board’s discretion and shall be final and binding on all persons having or claiming any interest in the Plan or in any Award.</w:t>
      </w:r>
    </w:p>
    <w:p>
      <w:pPr>
        <w:spacing w:after="0" w:line="183" w:lineRule="exact"/>
        <w:rPr>
          <w:rFonts w:ascii="Times New Roman" w:cs="Times New Roman" w:eastAsia="Times New Roman" w:hAnsi="Times New Roman"/>
          <w:sz w:val="18"/>
          <w:szCs w:val="18"/>
          <w:color w:val="auto"/>
        </w:rPr>
      </w:pPr>
    </w:p>
    <w:p>
      <w:pPr>
        <w:jc w:val="both"/>
        <w:ind w:firstLine="857"/>
        <w:spacing w:after="0" w:line="261" w:lineRule="auto"/>
        <w:tabs>
          <w:tab w:leader="none" w:pos="1104" w:val="left"/>
        </w:tabs>
        <w:numPr>
          <w:ilvl w:val="1"/>
          <w:numId w:val="10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Appointment of Committees</w:t>
      </w:r>
      <w:r>
        <w:rPr>
          <w:rFonts w:ascii="Times New Roman" w:cs="Times New Roman" w:eastAsia="Times New Roman" w:hAnsi="Times New Roman"/>
          <w:sz w:val="18"/>
          <w:szCs w:val="18"/>
          <w:color w:val="auto"/>
        </w:rPr>
        <w:t>. To the extent permitted by applicable law, the Board may delegate any or all of its powers under the Plan to one or more committees or subcommittees of the Board (a “</w:t>
      </w:r>
      <w:r>
        <w:rPr>
          <w:rFonts w:ascii="Times New Roman" w:cs="Times New Roman" w:eastAsia="Times New Roman" w:hAnsi="Times New Roman"/>
          <w:sz w:val="18"/>
          <w:szCs w:val="18"/>
          <w:b w:val="1"/>
          <w:bCs w:val="1"/>
          <w:i w:val="1"/>
          <w:iCs w:val="1"/>
          <w:color w:val="auto"/>
        </w:rPr>
        <w:t>Committee</w:t>
      </w:r>
      <w:r>
        <w:rPr>
          <w:rFonts w:ascii="Times New Roman" w:cs="Times New Roman" w:eastAsia="Times New Roman" w:hAnsi="Times New Roman"/>
          <w:sz w:val="18"/>
          <w:szCs w:val="18"/>
          <w:color w:val="auto"/>
        </w:rPr>
        <w:t>”). All references in the Plan to the “</w:t>
      </w:r>
      <w:r>
        <w:rPr>
          <w:rFonts w:ascii="Times New Roman" w:cs="Times New Roman" w:eastAsia="Times New Roman" w:hAnsi="Times New Roman"/>
          <w:sz w:val="18"/>
          <w:szCs w:val="18"/>
          <w:b w:val="1"/>
          <w:bCs w:val="1"/>
          <w:i w:val="1"/>
          <w:iCs w:val="1"/>
          <w:color w:val="auto"/>
        </w:rPr>
        <w:t>Board</w:t>
      </w:r>
      <w:r>
        <w:rPr>
          <w:rFonts w:ascii="Times New Roman" w:cs="Times New Roman" w:eastAsia="Times New Roman" w:hAnsi="Times New Roman"/>
          <w:sz w:val="18"/>
          <w:szCs w:val="18"/>
          <w:color w:val="auto"/>
        </w:rPr>
        <w:t>” shall mean the Board or a Committee of the Board or the Delegated Persons referred to in Section 3(c) to the extent that the Board’s powers or authority under the Plan have been delegated to such Committee or such Delegated Persons.</w:t>
      </w:r>
    </w:p>
    <w:p>
      <w:pPr>
        <w:spacing w:after="0" w:line="179" w:lineRule="exact"/>
        <w:rPr>
          <w:rFonts w:ascii="Times New Roman" w:cs="Times New Roman" w:eastAsia="Times New Roman" w:hAnsi="Times New Roman"/>
          <w:sz w:val="18"/>
          <w:szCs w:val="18"/>
          <w:color w:val="auto"/>
        </w:rPr>
      </w:pPr>
    </w:p>
    <w:p>
      <w:pPr>
        <w:jc w:val="both"/>
        <w:ind w:firstLine="857"/>
        <w:spacing w:after="0" w:line="256" w:lineRule="auto"/>
        <w:tabs>
          <w:tab w:leader="none" w:pos="1093" w:val="left"/>
        </w:tabs>
        <w:numPr>
          <w:ilvl w:val="1"/>
          <w:numId w:val="10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Delegation to Delegated Persons</w:t>
      </w:r>
      <w:r>
        <w:rPr>
          <w:rFonts w:ascii="Times New Roman" w:cs="Times New Roman" w:eastAsia="Times New Roman" w:hAnsi="Times New Roman"/>
          <w:sz w:val="18"/>
          <w:szCs w:val="18"/>
          <w:color w:val="auto"/>
        </w:rPr>
        <w:t>. Subject to any requirements of applicable law (including as applicable Sections 152(b) and 157(c) of the General Corporation Law of the State of Delaware), the Board may, by resolution, delegate to one or more persons (including officers of the Company) or bodies (such persons or bodies, the “</w:t>
      </w:r>
      <w:r>
        <w:rPr>
          <w:rFonts w:ascii="Times New Roman" w:cs="Times New Roman" w:eastAsia="Times New Roman" w:hAnsi="Times New Roman"/>
          <w:sz w:val="18"/>
          <w:szCs w:val="18"/>
          <w:b w:val="1"/>
          <w:bCs w:val="1"/>
          <w:i w:val="1"/>
          <w:iCs w:val="1"/>
          <w:color w:val="auto"/>
        </w:rPr>
        <w:t>Delegated Persons</w:t>
      </w:r>
      <w:r>
        <w:rPr>
          <w:rFonts w:ascii="Times New Roman" w:cs="Times New Roman" w:eastAsia="Times New Roman" w:hAnsi="Times New Roman"/>
          <w:sz w:val="18"/>
          <w:szCs w:val="18"/>
          <w:color w:val="auto"/>
        </w:rPr>
        <w:t>”) the power to grant Awards (subject to any limitations under the Plan) to persons eligible to be Participants and to exercise such other powers under the Plan as the Board may determine, provided that the Board shall fix: (i) the maximum number of Awards, and the maximum number of shares issuable upon exercise thereof, that may be granted by such Delegated Persons, (ii) the time period during which such Awards may be granted, (iii) the time period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872490</wp:posOffset>
            </wp:positionV>
            <wp:extent cx="7157720" cy="42545"/>
            <wp:wrapNone/>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71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64" w:name="page165"/>
    <w:bookmarkEnd w:id="164"/>
    <w:p>
      <w:pPr>
        <w:jc w:val="both"/>
        <w:spacing w:after="0" w:line="258" w:lineRule="auto"/>
        <w:rPr>
          <w:sz w:val="20"/>
          <w:szCs w:val="20"/>
          <w:color w:val="auto"/>
        </w:rPr>
      </w:pPr>
      <w:r>
        <w:rPr>
          <w:rFonts w:ascii="Times New Roman" w:cs="Times New Roman" w:eastAsia="Times New Roman" w:hAnsi="Times New Roman"/>
          <w:sz w:val="18"/>
          <w:szCs w:val="18"/>
          <w:color w:val="auto"/>
        </w:rPr>
        <w:t>during which the shares issuable upon exercise or vesting of such Awards may be issued, and (iv) the minimum amount of consideration (if any) for which such Awards may be issued, and a minimum amount of consideration for the shares issuable upon exercise thereof; and provided further, that no Delegated Person shall be authorized to grant Awards to itself; and provided further, that no Delegated Person shall be authorized to grant Awards to any “executive officer” of the Company (as defined by Rule 3b-7 under the Securities Exchange Act of 1934, as amended (the “</w:t>
      </w:r>
      <w:r>
        <w:rPr>
          <w:rFonts w:ascii="Times New Roman" w:cs="Times New Roman" w:eastAsia="Times New Roman" w:hAnsi="Times New Roman"/>
          <w:sz w:val="18"/>
          <w:szCs w:val="18"/>
          <w:b w:val="1"/>
          <w:bCs w:val="1"/>
          <w:i w:val="1"/>
          <w:iCs w:val="1"/>
          <w:color w:val="auto"/>
        </w:rPr>
        <w:t>Exchange Act</w:t>
      </w:r>
      <w:r>
        <w:rPr>
          <w:rFonts w:ascii="Times New Roman" w:cs="Times New Roman" w:eastAsia="Times New Roman" w:hAnsi="Times New Roman"/>
          <w:sz w:val="18"/>
          <w:szCs w:val="18"/>
          <w:color w:val="auto"/>
        </w:rPr>
        <w:t>”)) or to any “officer” of the Company (as defined by Rule 16a-1(f) under the Exchange Act).</w:t>
      </w:r>
    </w:p>
    <w:p>
      <w:pPr>
        <w:spacing w:after="0" w:line="183" w:lineRule="exact"/>
        <w:rPr>
          <w:sz w:val="20"/>
          <w:szCs w:val="20"/>
          <w:color w:val="auto"/>
        </w:rPr>
      </w:pPr>
    </w:p>
    <w:p>
      <w:pPr>
        <w:jc w:val="both"/>
        <w:ind w:firstLine="857"/>
        <w:spacing w:after="0" w:line="266" w:lineRule="auto"/>
        <w:tabs>
          <w:tab w:leader="none" w:pos="1131" w:val="left"/>
        </w:tabs>
        <w:numPr>
          <w:ilvl w:val="1"/>
          <w:numId w:val="10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Awards to Non-Employee Directors</w:t>
      </w:r>
      <w:r>
        <w:rPr>
          <w:rFonts w:ascii="Times New Roman" w:cs="Times New Roman" w:eastAsia="Times New Roman" w:hAnsi="Times New Roman"/>
          <w:sz w:val="18"/>
          <w:szCs w:val="18"/>
          <w:color w:val="auto"/>
        </w:rPr>
        <w:t>. Awards to non-employee directors will be granted and administered by a Committee, all of the members of which are independent directors as defined by Section 5605(a)(2) of the Nasdaq Marketplace Rules, or the rules and regulations of such other national securities exchange on which the Company then maintains its primary listing, as applicable.</w:t>
      </w:r>
    </w:p>
    <w:p>
      <w:pPr>
        <w:spacing w:after="0" w:line="175" w:lineRule="exact"/>
        <w:rPr>
          <w:rFonts w:ascii="Times New Roman" w:cs="Times New Roman" w:eastAsia="Times New Roman" w:hAnsi="Times New Roman"/>
          <w:sz w:val="18"/>
          <w:szCs w:val="18"/>
          <w:color w:val="auto"/>
        </w:rPr>
      </w:pPr>
    </w:p>
    <w:p>
      <w:pPr>
        <w:ind w:left="180" w:hanging="172"/>
        <w:spacing w:after="0"/>
        <w:tabs>
          <w:tab w:leader="none" w:pos="180" w:val="left"/>
        </w:tabs>
        <w:numPr>
          <w:ilvl w:val="0"/>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Stock Available for Awards</w:t>
      </w:r>
    </w:p>
    <w:p>
      <w:pPr>
        <w:spacing w:after="0" w:line="225" w:lineRule="exact"/>
        <w:rPr>
          <w:rFonts w:ascii="Times New Roman" w:cs="Times New Roman" w:eastAsia="Times New Roman" w:hAnsi="Times New Roman"/>
          <w:sz w:val="18"/>
          <w:szCs w:val="18"/>
          <w:color w:val="auto"/>
        </w:rPr>
      </w:pPr>
    </w:p>
    <w:p>
      <w:pPr>
        <w:ind w:left="1100" w:hanging="243"/>
        <w:spacing w:after="0"/>
        <w:tabs>
          <w:tab w:leader="none" w:pos="1100" w:val="left"/>
        </w:tabs>
        <w:numPr>
          <w:ilvl w:val="1"/>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Number of Shares; Share Counting</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firstLine="1705"/>
        <w:spacing w:after="0" w:line="266" w:lineRule="auto"/>
        <w:tabs>
          <w:tab w:leader="none" w:pos="1925" w:val="left"/>
        </w:tabs>
        <w:numPr>
          <w:ilvl w:val="2"/>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Authorized Number of Shares</w:t>
      </w:r>
      <w:r>
        <w:rPr>
          <w:rFonts w:ascii="Times New Roman" w:cs="Times New Roman" w:eastAsia="Times New Roman" w:hAnsi="Times New Roman"/>
          <w:sz w:val="18"/>
          <w:szCs w:val="18"/>
          <w:color w:val="auto"/>
        </w:rPr>
        <w:t>. Subject to adjustment under Section 10, Awards may be made under the Plan (any or all of which Awards may be in the form of Incentive Stock Options, as defined in Section 5(b)) for up to a number of shares of class A common stock, $0.001 par value per share, of the Company (the “</w:t>
      </w:r>
      <w:r>
        <w:rPr>
          <w:rFonts w:ascii="Times New Roman" w:cs="Times New Roman" w:eastAsia="Times New Roman" w:hAnsi="Times New Roman"/>
          <w:sz w:val="18"/>
          <w:szCs w:val="18"/>
          <w:b w:val="1"/>
          <w:bCs w:val="1"/>
          <w:i w:val="1"/>
          <w:iCs w:val="1"/>
          <w:color w:val="auto"/>
        </w:rPr>
        <w:t>Common Stock</w:t>
      </w:r>
      <w:r>
        <w:rPr>
          <w:rFonts w:ascii="Times New Roman" w:cs="Times New Roman" w:eastAsia="Times New Roman" w:hAnsi="Times New Roman"/>
          <w:sz w:val="18"/>
          <w:szCs w:val="18"/>
          <w:color w:val="auto"/>
        </w:rPr>
        <w:t>”), as is equal to the sum of:</w:t>
      </w:r>
    </w:p>
    <w:p>
      <w:pPr>
        <w:spacing w:after="0" w:line="175" w:lineRule="exact"/>
        <w:rPr>
          <w:rFonts w:ascii="Times New Roman" w:cs="Times New Roman" w:eastAsia="Times New Roman" w:hAnsi="Times New Roman"/>
          <w:sz w:val="18"/>
          <w:szCs w:val="18"/>
          <w:color w:val="auto"/>
        </w:rPr>
      </w:pPr>
    </w:p>
    <w:p>
      <w:pPr>
        <w:ind w:left="2840" w:hanging="286"/>
        <w:spacing w:after="0"/>
        <w:tabs>
          <w:tab w:leader="none" w:pos="2840" w:val="left"/>
        </w:tabs>
        <w:numPr>
          <w:ilvl w:val="3"/>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200,000 shares of Common Stock; and</w:t>
      </w:r>
    </w:p>
    <w:p>
      <w:pPr>
        <w:spacing w:after="0" w:line="225" w:lineRule="exact"/>
        <w:rPr>
          <w:rFonts w:ascii="Times New Roman" w:cs="Times New Roman" w:eastAsia="Times New Roman" w:hAnsi="Times New Roman"/>
          <w:sz w:val="18"/>
          <w:szCs w:val="18"/>
          <w:color w:val="auto"/>
        </w:rPr>
      </w:pPr>
    </w:p>
    <w:p>
      <w:pPr>
        <w:jc w:val="both"/>
        <w:ind w:firstLine="2554"/>
        <w:spacing w:after="0" w:line="254" w:lineRule="auto"/>
        <w:tabs>
          <w:tab w:leader="none" w:pos="2843" w:val="left"/>
        </w:tabs>
        <w:numPr>
          <w:ilvl w:val="3"/>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additional number of shares of Common Stock (up to 1,732,703) as is equal to the sum of (x) the number of shares of Common Stock reserved for issuance under the Company’s 2013 Stock Incentive Plan (the “</w:t>
      </w:r>
      <w:r>
        <w:rPr>
          <w:rFonts w:ascii="Times New Roman" w:cs="Times New Roman" w:eastAsia="Times New Roman" w:hAnsi="Times New Roman"/>
          <w:sz w:val="18"/>
          <w:szCs w:val="18"/>
          <w:b w:val="1"/>
          <w:bCs w:val="1"/>
          <w:i w:val="1"/>
          <w:iCs w:val="1"/>
          <w:color w:val="auto"/>
        </w:rPr>
        <w:t>Existing Plan</w:t>
      </w:r>
      <w:r>
        <w:rPr>
          <w:rFonts w:ascii="Times New Roman" w:cs="Times New Roman" w:eastAsia="Times New Roman" w:hAnsi="Times New Roman"/>
          <w:sz w:val="18"/>
          <w:szCs w:val="18"/>
          <w:color w:val="auto"/>
        </w:rPr>
        <w:t>”) that remain available for grant under the Existing Plan immediately prior to the date that the Plan is approved by the Company’s stockholders (the “</w:t>
      </w:r>
      <w:r>
        <w:rPr>
          <w:rFonts w:ascii="Times New Roman" w:cs="Times New Roman" w:eastAsia="Times New Roman" w:hAnsi="Times New Roman"/>
          <w:sz w:val="18"/>
          <w:szCs w:val="18"/>
          <w:b w:val="1"/>
          <w:bCs w:val="1"/>
          <w:i w:val="1"/>
          <w:iCs w:val="1"/>
          <w:color w:val="auto"/>
        </w:rPr>
        <w:t>Effective Date</w:t>
      </w:r>
      <w:r>
        <w:rPr>
          <w:rFonts w:ascii="Times New Roman" w:cs="Times New Roman" w:eastAsia="Times New Roman" w:hAnsi="Times New Roman"/>
          <w:sz w:val="18"/>
          <w:szCs w:val="18"/>
          <w:color w:val="auto"/>
        </w:rPr>
        <w:t>”) and (y) the number of shares of Common Stock subject to awards granted under the Existing Plan that are outstanding as of the Effective Date and which awards expire, terminate or are otherwise surrendered, cancelled, forfeited or repurchased by the Company at their original issuance price pursuant to a contractual repurchase right (including shares subject to awards granted under the Existing Plan that are delivered (either by actual delivery, attestation or net exercise) to the Company by a Participant after the Effective Date to (i) purchase shares of Common Stock upon the exercise of such award or (ii) satisfy tax withholding obligations with respect to such awards (including shares retained from the award creating the tax obligation) (subject, however, in the case of Incentive Stock Options to any limitations under the Code)).</w:t>
      </w:r>
    </w:p>
    <w:p>
      <w:pPr>
        <w:spacing w:after="0" w:line="1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Shares of Common Stock issued under the Plan may consist in whole or in part of authorized but unissued shares or treasury shares.</w:t>
      </w:r>
    </w:p>
    <w:p>
      <w:pPr>
        <w:spacing w:after="0" w:line="225" w:lineRule="exact"/>
        <w:rPr>
          <w:sz w:val="20"/>
          <w:szCs w:val="20"/>
          <w:color w:val="auto"/>
        </w:rPr>
      </w:pPr>
    </w:p>
    <w:p>
      <w:pPr>
        <w:ind w:left="1700"/>
        <w:spacing w:after="0"/>
        <w:rPr>
          <w:sz w:val="20"/>
          <w:szCs w:val="20"/>
          <w:color w:val="auto"/>
        </w:rPr>
      </w:pPr>
      <w:r>
        <w:rPr>
          <w:rFonts w:ascii="Times New Roman" w:cs="Times New Roman" w:eastAsia="Times New Roman" w:hAnsi="Times New Roman"/>
          <w:sz w:val="18"/>
          <w:szCs w:val="18"/>
          <w:color w:val="auto"/>
        </w:rPr>
        <w:t xml:space="preserve">(ii) </w:t>
      </w:r>
      <w:r>
        <w:rPr>
          <w:rFonts w:ascii="Times New Roman" w:cs="Times New Roman" w:eastAsia="Times New Roman" w:hAnsi="Times New Roman"/>
          <w:sz w:val="18"/>
          <w:szCs w:val="18"/>
          <w:u w:val="single" w:color="auto"/>
          <w:color w:val="auto"/>
        </w:rPr>
        <w:t>Share Counting</w:t>
      </w:r>
      <w:r>
        <w:rPr>
          <w:rFonts w:ascii="Times New Roman" w:cs="Times New Roman" w:eastAsia="Times New Roman" w:hAnsi="Times New Roman"/>
          <w:sz w:val="18"/>
          <w:szCs w:val="18"/>
          <w:color w:val="auto"/>
        </w:rPr>
        <w:t>.  For purposes of counting the number of shares available for the grant of Awards under the Plan under this</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Section 4(a):</w:t>
      </w:r>
    </w:p>
    <w:p>
      <w:pPr>
        <w:spacing w:after="0" w:line="207" w:lineRule="exact"/>
        <w:rPr>
          <w:sz w:val="20"/>
          <w:szCs w:val="20"/>
          <w:color w:val="auto"/>
        </w:rPr>
      </w:pPr>
    </w:p>
    <w:p>
      <w:pPr>
        <w:jc w:val="both"/>
        <w:ind w:firstLine="2554"/>
        <w:spacing w:after="0" w:line="258" w:lineRule="auto"/>
        <w:tabs>
          <w:tab w:leader="none" w:pos="2858" w:val="left"/>
        </w:tabs>
        <w:numPr>
          <w:ilvl w:val="0"/>
          <w:numId w:val="1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all shares of Common Stock covered by SARs (as defined below) shall be counted against the number of shares available for the grant of Awards under the Plan;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that (i) SARs that may be settled only in cash shall not be so counted and (ii) if the Company grants an SAR in tandem with an Option for the same number of shares of Common Stock and provides that only one such Award may be exercised (a “</w:t>
      </w:r>
      <w:r>
        <w:rPr>
          <w:rFonts w:ascii="Times New Roman" w:cs="Times New Roman" w:eastAsia="Times New Roman" w:hAnsi="Times New Roman"/>
          <w:sz w:val="18"/>
          <w:szCs w:val="18"/>
          <w:b w:val="1"/>
          <w:bCs w:val="1"/>
          <w:i w:val="1"/>
          <w:iCs w:val="1"/>
          <w:color w:val="auto"/>
        </w:rPr>
        <w:t>Tandem SAR</w:t>
      </w:r>
      <w:r>
        <w:rPr>
          <w:rFonts w:ascii="Times New Roman" w:cs="Times New Roman" w:eastAsia="Times New Roman" w:hAnsi="Times New Roman"/>
          <w:sz w:val="18"/>
          <w:szCs w:val="18"/>
          <w:color w:val="auto"/>
        </w:rPr>
        <w:t>”), only the shares covered by the Option, and not the shares covered by the Tandem SAR, shall be so counted, and the expiration of one in connection with the other’s exercise will not restore shares to the Plan;</w:t>
      </w:r>
    </w:p>
    <w:p>
      <w:pPr>
        <w:spacing w:after="0" w:line="183" w:lineRule="exact"/>
        <w:rPr>
          <w:rFonts w:ascii="Times New Roman" w:cs="Times New Roman" w:eastAsia="Times New Roman" w:hAnsi="Times New Roman"/>
          <w:sz w:val="18"/>
          <w:szCs w:val="18"/>
          <w:color w:val="auto"/>
        </w:rPr>
      </w:pPr>
    </w:p>
    <w:p>
      <w:pPr>
        <w:ind w:left="2840" w:hanging="286"/>
        <w:spacing w:after="0"/>
        <w:tabs>
          <w:tab w:leader="none" w:pos="2840" w:val="left"/>
        </w:tabs>
        <w:numPr>
          <w:ilvl w:val="0"/>
          <w:numId w:val="1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extent that an RSU may be settled only in cash, no shares shall be counted against the shares available for the</w:t>
      </w:r>
    </w:p>
    <w:p>
      <w:pPr>
        <w:spacing w:after="0" w:line="27"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grant of Awards under the Plan;</w:t>
      </w:r>
    </w:p>
    <w:p>
      <w:pPr>
        <w:spacing w:after="0" w:line="206" w:lineRule="exact"/>
        <w:rPr>
          <w:rFonts w:ascii="Times New Roman" w:cs="Times New Roman" w:eastAsia="Times New Roman" w:hAnsi="Times New Roman"/>
          <w:sz w:val="18"/>
          <w:szCs w:val="18"/>
          <w:color w:val="auto"/>
        </w:rPr>
      </w:pPr>
    </w:p>
    <w:p>
      <w:pPr>
        <w:jc w:val="both"/>
        <w:ind w:firstLine="2554"/>
        <w:spacing w:after="0" w:line="261" w:lineRule="auto"/>
        <w:tabs>
          <w:tab w:leader="none" w:pos="2838" w:val="left"/>
        </w:tabs>
        <w:numPr>
          <w:ilvl w:val="0"/>
          <w:numId w:val="1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any Award (i) expires, lapses or is terminated, exchanged for or settled in cash, surrendered or cancelled without having been fully exercised or is forfeited in whole or in part (including as the result of shares of Common Stock subject to such Award being repurchased by the Company at the original issuance price (as adjusted upon the occurrence of the events described in 10(a) herein) pursuant to a contractual repurchase right)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867410</wp:posOffset>
            </wp:positionV>
            <wp:extent cx="7157720" cy="42545"/>
            <wp:wrapNone/>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71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7" w:right="339" w:bottom="1440" w:gutter="0" w:footer="0" w:header="0"/>
        </w:sectPr>
      </w:pPr>
    </w:p>
    <w:bookmarkStart w:id="165" w:name="page166"/>
    <w:bookmarkEnd w:id="165"/>
    <w:p>
      <w:pPr>
        <w:jc w:val="both"/>
        <w:spacing w:after="0" w:line="256" w:lineRule="auto"/>
        <w:rPr>
          <w:sz w:val="20"/>
          <w:szCs w:val="20"/>
          <w:color w:val="auto"/>
        </w:rPr>
      </w:pPr>
      <w:r>
        <w:rPr>
          <w:rFonts w:ascii="Times New Roman" w:cs="Times New Roman" w:eastAsia="Times New Roman" w:hAnsi="Times New Roman"/>
          <w:sz w:val="18"/>
          <w:szCs w:val="18"/>
          <w:color w:val="auto"/>
        </w:rPr>
        <w:t xml:space="preserve">or (ii) results in any Common Stock not being issued (including as a result of an SAR or an RSU that was settleable either in cash or in stock actually being settled in cash), the unused Common Stock covered by such Award shall again be available for the grant of Awards;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that (1) in the case of Incentive Stock Options, the foregoing shall be subject to any limitations under the Code, (2) in the case of the exercise of an SAR, the number of shares counted against the shares available under the Plan shall be the full number of shares subject to the SAR multiplied by the percentage of the SAR actually exercised, regardless of the number of shares actually used to settle such SAR upon exercise and (3) the shares covered by a Tandem SAR shall not again become available for grant upon the expiration or termination of such Tandem SAR;</w:t>
      </w:r>
    </w:p>
    <w:p>
      <w:pPr>
        <w:spacing w:after="0" w:line="187" w:lineRule="exact"/>
        <w:rPr>
          <w:sz w:val="20"/>
          <w:szCs w:val="20"/>
          <w:color w:val="auto"/>
        </w:rPr>
      </w:pPr>
    </w:p>
    <w:p>
      <w:pPr>
        <w:jc w:val="both"/>
        <w:ind w:firstLine="2554"/>
        <w:spacing w:after="0" w:line="261" w:lineRule="auto"/>
        <w:tabs>
          <w:tab w:leader="none" w:pos="2868" w:val="left"/>
        </w:tabs>
        <w:numPr>
          <w:ilvl w:val="3"/>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shares of Common Stock delivered (either by actual delivery, attestation or net exercise) to the Company by a Participant to (i) purchase shares of Common Stock upon the exercise of an Award or (ii) satisfy tax withholding obligations with respect to Awards (including shares retained from the Award creating the tax obligation) shall be added back to the number of shares available for the future grant of Awards; and</w:t>
      </w:r>
    </w:p>
    <w:p>
      <w:pPr>
        <w:spacing w:after="0" w:line="179" w:lineRule="exact"/>
        <w:rPr>
          <w:rFonts w:ascii="Times New Roman" w:cs="Times New Roman" w:eastAsia="Times New Roman" w:hAnsi="Times New Roman"/>
          <w:sz w:val="18"/>
          <w:szCs w:val="18"/>
          <w:color w:val="auto"/>
        </w:rPr>
      </w:pPr>
    </w:p>
    <w:p>
      <w:pPr>
        <w:ind w:right="20" w:firstLine="2554"/>
        <w:spacing w:after="0" w:line="282" w:lineRule="auto"/>
        <w:tabs>
          <w:tab w:leader="none" w:pos="2828" w:val="left"/>
        </w:tabs>
        <w:numPr>
          <w:ilvl w:val="3"/>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shares of Common Stock repurchased by the Company on the open market using the proceeds from the exercise of an Award shall not increase the number of shares available for future grant of Awards.</w:t>
      </w:r>
    </w:p>
    <w:p>
      <w:pPr>
        <w:spacing w:after="0" w:line="161" w:lineRule="exact"/>
        <w:rPr>
          <w:rFonts w:ascii="Times New Roman" w:cs="Times New Roman" w:eastAsia="Times New Roman" w:hAnsi="Times New Roman"/>
          <w:sz w:val="18"/>
          <w:szCs w:val="18"/>
          <w:color w:val="auto"/>
        </w:rPr>
      </w:pPr>
    </w:p>
    <w:p>
      <w:pPr>
        <w:jc w:val="both"/>
        <w:ind w:firstLine="857"/>
        <w:spacing w:after="0" w:line="255" w:lineRule="auto"/>
        <w:tabs>
          <w:tab w:leader="none" w:pos="1117" w:val="left"/>
        </w:tabs>
        <w:numPr>
          <w:ilvl w:val="1"/>
          <w:numId w:val="1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Substitute Awards</w:t>
      </w:r>
      <w:r>
        <w:rPr>
          <w:rFonts w:ascii="Times New Roman" w:cs="Times New Roman" w:eastAsia="Times New Roman" w:hAnsi="Times New Roman"/>
          <w:sz w:val="18"/>
          <w:szCs w:val="18"/>
          <w:color w:val="auto"/>
        </w:rPr>
        <w:t>. In connection with a merger or consolidation of an entity with the Company or the acquisition by the Company of property or stock of an entity, the Board may grant Awards in substitution for any options or other stock or stock-based awards granted by such entity or an affiliate thereof prior to such transaction. Substitute Awards may be granted on such terms as the Board deems appropriate in the circumstances, notwithstanding any limitations on Awards contained in the Plan. Substitute Awards shall not count against the overall share limit set forth in Section 4(a)</w:t>
      </w:r>
    </w:p>
    <w:p>
      <w:pPr>
        <w:spacing w:after="0" w:line="2" w:lineRule="exact"/>
        <w:rPr>
          <w:rFonts w:ascii="Times New Roman" w:cs="Times New Roman" w:eastAsia="Times New Roman" w:hAnsi="Times New Roman"/>
          <w:sz w:val="18"/>
          <w:szCs w:val="18"/>
          <w:color w:val="auto"/>
        </w:rPr>
      </w:pPr>
    </w:p>
    <w:p>
      <w:pPr>
        <w:ind w:right="20" w:firstLine="8"/>
        <w:spacing w:after="0" w:line="260" w:lineRule="auto"/>
        <w:tabs>
          <w:tab w:leader="none" w:pos="217" w:val="left"/>
        </w:tabs>
        <w:numPr>
          <w:ilvl w:val="0"/>
          <w:numId w:val="1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(nor shall shares of Common Stock subject to a Substitute Award be added to the shares available for Awards under the Plan as provided above), except as may be required by reason of Section 422 and related provisions of the Code.</w:t>
      </w:r>
    </w:p>
    <w:p>
      <w:pPr>
        <w:spacing w:after="0" w:line="181" w:lineRule="exact"/>
        <w:rPr>
          <w:rFonts w:ascii="Times New Roman" w:cs="Times New Roman" w:eastAsia="Times New Roman" w:hAnsi="Times New Roman"/>
          <w:sz w:val="18"/>
          <w:szCs w:val="18"/>
          <w:color w:val="auto"/>
        </w:rPr>
      </w:pPr>
    </w:p>
    <w:p>
      <w:pPr>
        <w:ind w:left="1100" w:hanging="243"/>
        <w:spacing w:after="0"/>
        <w:tabs>
          <w:tab w:leader="none" w:pos="1100" w:val="left"/>
        </w:tabs>
        <w:numPr>
          <w:ilvl w:val="1"/>
          <w:numId w:val="1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Annual Awards to Outside Directors</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firstLine="1705"/>
        <w:spacing w:after="0" w:line="258" w:lineRule="auto"/>
        <w:tabs>
          <w:tab w:leader="none" w:pos="1912" w:val="left"/>
        </w:tabs>
        <w:numPr>
          <w:ilvl w:val="2"/>
          <w:numId w:val="1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Annual Grant</w:t>
      </w:r>
      <w:r>
        <w:rPr>
          <w:rFonts w:ascii="Times New Roman" w:cs="Times New Roman" w:eastAsia="Times New Roman" w:hAnsi="Times New Roman"/>
          <w:sz w:val="18"/>
          <w:szCs w:val="18"/>
          <w:color w:val="auto"/>
        </w:rPr>
        <w:t>. Beginning in 2023, on May 31 of each year, each Outside Director who is then serving as an Outside Director (as defined in Section 4(c)(iv)) as of such date shall automatically be granted (without further action by the Board or any committee thereof) Awards having an aggregate fair value (calculated based on grant date fair value for financial reporting purposes) equal to $300,000, with half of such Awards ($150,000 in fair value) being granted in the form of Nonstatutory Stock Options and half of such Awards ($150,000 in fair value) being granted in the form of RSUs (such Awards, together, the “Annual Grant”).</w:t>
      </w:r>
    </w:p>
    <w:p>
      <w:pPr>
        <w:spacing w:after="0" w:line="183" w:lineRule="exact"/>
        <w:rPr>
          <w:rFonts w:ascii="Times New Roman" w:cs="Times New Roman" w:eastAsia="Times New Roman" w:hAnsi="Times New Roman"/>
          <w:sz w:val="18"/>
          <w:szCs w:val="18"/>
          <w:color w:val="auto"/>
        </w:rPr>
      </w:pPr>
    </w:p>
    <w:p>
      <w:pPr>
        <w:jc w:val="both"/>
        <w:ind w:firstLine="1705"/>
        <w:spacing w:after="0" w:line="253" w:lineRule="auto"/>
        <w:tabs>
          <w:tab w:leader="none" w:pos="1962" w:val="left"/>
        </w:tabs>
        <w:numPr>
          <w:ilvl w:val="2"/>
          <w:numId w:val="1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Terms of Annual Grant</w:t>
      </w:r>
      <w:r>
        <w:rPr>
          <w:rFonts w:ascii="Times New Roman" w:cs="Times New Roman" w:eastAsia="Times New Roman" w:hAnsi="Times New Roman"/>
          <w:sz w:val="18"/>
          <w:szCs w:val="18"/>
          <w:color w:val="auto"/>
        </w:rPr>
        <w:t>. Options granted pursuant to Section 4(c)(i) shall (i) have an exercise price equal to the Grant Date Fair Market Value of the Common Stock (as defined below); (ii) become exercisable as to 100% of the shares subject to such Option on the first anniversary of the date of grant; (iii) unless earlier terminated, expire at 5:00 p.m., Eastern Time, on the tenth anniversary of the date of grant; and (iv) otherwise be on and subject to such other terms and conditions as are set forth in the Option agreement with respect to such grant and as the Board may determine. RSUs granted pursuant to Section 4(c)(i) shall vest and be settled as to 100% of the shares subject to such RSU on the first anniversary of the date of grant and otherwise be on and subject to such other terms and conditions as are set forth in the RSU agreement with respect to such grant and as the Board may determine.</w:t>
      </w:r>
    </w:p>
    <w:p>
      <w:pPr>
        <w:spacing w:after="0" w:line="2" w:lineRule="exact"/>
        <w:rPr>
          <w:rFonts w:ascii="Times New Roman" w:cs="Times New Roman" w:eastAsia="Times New Roman" w:hAnsi="Times New Roman"/>
          <w:sz w:val="18"/>
          <w:szCs w:val="18"/>
          <w:color w:val="auto"/>
        </w:rPr>
      </w:pPr>
    </w:p>
    <w:p>
      <w:pPr>
        <w:jc w:val="both"/>
        <w:ind w:firstLine="1705"/>
        <w:spacing w:after="0" w:line="253" w:lineRule="auto"/>
        <w:tabs>
          <w:tab w:leader="none" w:pos="2025" w:val="left"/>
        </w:tabs>
        <w:numPr>
          <w:ilvl w:val="2"/>
          <w:numId w:val="1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Limitations</w:t>
      </w:r>
      <w:r>
        <w:rPr>
          <w:rFonts w:ascii="Times New Roman" w:cs="Times New Roman" w:eastAsia="Times New Roman" w:hAnsi="Times New Roman"/>
          <w:sz w:val="18"/>
          <w:szCs w:val="18"/>
          <w:color w:val="auto"/>
        </w:rPr>
        <w:t>. Notwithstanding Section 4(c)(i), in the event that the number of shares of Common Stock prescribed by Section 4(a)(i) is not sufficient to cover the Awards granted pursuant to Section 4(c)(i), the remaining shares of Common Stock available for issuance shall be prorated among the Outside Directors entitled to receive such Awards. Any further grants pursuant to Section 4(c)(i) shall then be deferred until such time, if any, as additional shares of Common Stock become available for grant under the Plan, whether pursuant to amendment of the Plan pursuant to Section 12(d) to increase the number of shares available for issuance under the Plan or pursuant to the mechanisms set forth in Section 4(a)(ii)(C) or otherwise.</w:t>
      </w:r>
    </w:p>
    <w:p>
      <w:pPr>
        <w:spacing w:after="0" w:line="186" w:lineRule="exact"/>
        <w:rPr>
          <w:rFonts w:ascii="Times New Roman" w:cs="Times New Roman" w:eastAsia="Times New Roman" w:hAnsi="Times New Roman"/>
          <w:sz w:val="18"/>
          <w:szCs w:val="18"/>
          <w:color w:val="auto"/>
        </w:rPr>
      </w:pPr>
    </w:p>
    <w:p>
      <w:pPr>
        <w:jc w:val="both"/>
        <w:ind w:right="20" w:firstLine="1705"/>
        <w:spacing w:after="0" w:line="266" w:lineRule="auto"/>
        <w:tabs>
          <w:tab w:leader="none" w:pos="2001" w:val="left"/>
        </w:tabs>
        <w:numPr>
          <w:ilvl w:val="2"/>
          <w:numId w:val="1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Definition</w:t>
      </w:r>
      <w:r>
        <w:rPr>
          <w:rFonts w:ascii="Times New Roman" w:cs="Times New Roman" w:eastAsia="Times New Roman" w:hAnsi="Times New Roman"/>
          <w:sz w:val="18"/>
          <w:szCs w:val="18"/>
          <w:color w:val="auto"/>
        </w:rPr>
        <w:t>. An “Outside Director” shall mean a member of the Board who is not employed by the Company. Payments by the Company to a member of the Board solely in connection with providing services to the Company as a member of the Board shall not be sufficient to constitute “employment” by the Company.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1002030</wp:posOffset>
            </wp:positionV>
            <wp:extent cx="7157720" cy="42545"/>
            <wp:wrapNone/>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72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7" w:right="339" w:bottom="1440" w:gutter="0" w:footer="0" w:header="0"/>
        </w:sectPr>
      </w:pPr>
    </w:p>
    <w:bookmarkStart w:id="166" w:name="page167"/>
    <w:bookmarkEnd w:id="166"/>
    <w:p>
      <w:pPr>
        <w:ind w:left="180" w:hanging="172"/>
        <w:spacing w:after="0"/>
        <w:tabs>
          <w:tab w:leader="none" w:pos="180" w:val="left"/>
        </w:tabs>
        <w:numPr>
          <w:ilvl w:val="0"/>
          <w:numId w:val="1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Stock Options</w:t>
      </w:r>
    </w:p>
    <w:p>
      <w:pPr>
        <w:spacing w:after="0" w:line="221" w:lineRule="exact"/>
        <w:rPr>
          <w:rFonts w:ascii="Times New Roman" w:cs="Times New Roman" w:eastAsia="Times New Roman" w:hAnsi="Times New Roman"/>
          <w:sz w:val="18"/>
          <w:szCs w:val="18"/>
          <w:color w:val="auto"/>
        </w:rPr>
      </w:pPr>
    </w:p>
    <w:p>
      <w:pPr>
        <w:jc w:val="both"/>
        <w:ind w:firstLine="857"/>
        <w:spacing w:after="0" w:line="268" w:lineRule="auto"/>
        <w:tabs>
          <w:tab w:leader="none" w:pos="1093" w:val="left"/>
        </w:tabs>
        <w:numPr>
          <w:ilvl w:val="1"/>
          <w:numId w:val="1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General</w:t>
      </w:r>
      <w:r>
        <w:rPr>
          <w:rFonts w:ascii="Times New Roman" w:cs="Times New Roman" w:eastAsia="Times New Roman" w:hAnsi="Times New Roman"/>
          <w:sz w:val="18"/>
          <w:szCs w:val="18"/>
          <w:color w:val="auto"/>
        </w:rPr>
        <w:t>. The Board may grant options to purchase Common Stock (each, an “</w:t>
      </w:r>
      <w:r>
        <w:rPr>
          <w:rFonts w:ascii="Times New Roman" w:cs="Times New Roman" w:eastAsia="Times New Roman" w:hAnsi="Times New Roman"/>
          <w:sz w:val="18"/>
          <w:szCs w:val="18"/>
          <w:b w:val="1"/>
          <w:bCs w:val="1"/>
          <w:i w:val="1"/>
          <w:iCs w:val="1"/>
          <w:color w:val="auto"/>
        </w:rPr>
        <w:t>Option</w:t>
      </w:r>
      <w:r>
        <w:rPr>
          <w:rFonts w:ascii="Times New Roman" w:cs="Times New Roman" w:eastAsia="Times New Roman" w:hAnsi="Times New Roman"/>
          <w:sz w:val="18"/>
          <w:szCs w:val="18"/>
          <w:color w:val="auto"/>
        </w:rPr>
        <w:t>”) and determine the number of shares of Common Stock to be covered by each Option, the exercise price of each Option and the conditions and limitations applicable to the exercise of each Option, including conditions relating to applicable federal or state securities laws, as the Board considers necessary or advisable.</w:t>
      </w:r>
    </w:p>
    <w:p>
      <w:pPr>
        <w:spacing w:after="0" w:line="174" w:lineRule="exact"/>
        <w:rPr>
          <w:rFonts w:ascii="Times New Roman" w:cs="Times New Roman" w:eastAsia="Times New Roman" w:hAnsi="Times New Roman"/>
          <w:sz w:val="18"/>
          <w:szCs w:val="18"/>
          <w:color w:val="auto"/>
        </w:rPr>
      </w:pPr>
    </w:p>
    <w:p>
      <w:pPr>
        <w:jc w:val="both"/>
        <w:ind w:firstLine="857"/>
        <w:spacing w:after="0" w:line="255" w:lineRule="auto"/>
        <w:tabs>
          <w:tab w:leader="none" w:pos="1117" w:val="left"/>
        </w:tabs>
        <w:numPr>
          <w:ilvl w:val="1"/>
          <w:numId w:val="1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Incentive Stock Options</w:t>
      </w:r>
      <w:r>
        <w:rPr>
          <w:rFonts w:ascii="Times New Roman" w:cs="Times New Roman" w:eastAsia="Times New Roman" w:hAnsi="Times New Roman"/>
          <w:sz w:val="18"/>
          <w:szCs w:val="18"/>
          <w:color w:val="auto"/>
        </w:rPr>
        <w:t>. An Option that the Board intends to be an “incentive stock option” as defined in Section 422 of the Code (an “</w:t>
      </w:r>
      <w:r>
        <w:rPr>
          <w:rFonts w:ascii="Times New Roman" w:cs="Times New Roman" w:eastAsia="Times New Roman" w:hAnsi="Times New Roman"/>
          <w:sz w:val="18"/>
          <w:szCs w:val="18"/>
          <w:b w:val="1"/>
          <w:bCs w:val="1"/>
          <w:i w:val="1"/>
          <w:iCs w:val="1"/>
          <w:color w:val="auto"/>
        </w:rPr>
        <w:t>Incentive Stock Option</w:t>
      </w:r>
      <w:r>
        <w:rPr>
          <w:rFonts w:ascii="Times New Roman" w:cs="Times New Roman" w:eastAsia="Times New Roman" w:hAnsi="Times New Roman"/>
          <w:sz w:val="18"/>
          <w:szCs w:val="18"/>
          <w:color w:val="auto"/>
        </w:rPr>
        <w:t>”) shall only be granted to employees of MicroStrategy Incorporated, any of MicroStrategy Incorporated’s present or future parent or subsidiary corporations as defined in Sections 424(e) or (f) of the Code, and any other entities the employees of which are eligible to receive Incentive Stock Options under the Code, and shall be subject to and shall be construed consistently with the requirements of Section 422 of the Code. An Option that is not intended to be an Incentive Stock Option shall be designated a “</w:t>
      </w:r>
      <w:r>
        <w:rPr>
          <w:rFonts w:ascii="Times New Roman" w:cs="Times New Roman" w:eastAsia="Times New Roman" w:hAnsi="Times New Roman"/>
          <w:sz w:val="18"/>
          <w:szCs w:val="18"/>
          <w:b w:val="1"/>
          <w:bCs w:val="1"/>
          <w:i w:val="1"/>
          <w:iCs w:val="1"/>
          <w:color w:val="auto"/>
        </w:rPr>
        <w:t>Nonstatutory Stock Option</w:t>
      </w:r>
      <w:r>
        <w:rPr>
          <w:rFonts w:ascii="Times New Roman" w:cs="Times New Roman" w:eastAsia="Times New Roman" w:hAnsi="Times New Roman"/>
          <w:sz w:val="18"/>
          <w:szCs w:val="18"/>
          <w:color w:val="auto"/>
        </w:rPr>
        <w:t>.” The Company shall have no liability to a Participant, or any other person, if an Option (or any part thereof) that is intended to be an Incentive Stock Option is not an Incentive Stock Option or if the Company converts an Incentive Stock Option to a Nonstatutory Stock Option.</w:t>
      </w:r>
    </w:p>
    <w:p>
      <w:pPr>
        <w:spacing w:after="0" w:line="188" w:lineRule="exact"/>
        <w:rPr>
          <w:rFonts w:ascii="Times New Roman" w:cs="Times New Roman" w:eastAsia="Times New Roman" w:hAnsi="Times New Roman"/>
          <w:sz w:val="18"/>
          <w:szCs w:val="18"/>
          <w:color w:val="auto"/>
        </w:rPr>
      </w:pPr>
    </w:p>
    <w:p>
      <w:pPr>
        <w:jc w:val="both"/>
        <w:ind w:firstLine="857"/>
        <w:spacing w:after="0" w:line="258" w:lineRule="auto"/>
        <w:tabs>
          <w:tab w:leader="none" w:pos="1093" w:val="left"/>
        </w:tabs>
        <w:numPr>
          <w:ilvl w:val="1"/>
          <w:numId w:val="1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Exercise Price</w:t>
      </w:r>
      <w:r>
        <w:rPr>
          <w:rFonts w:ascii="Times New Roman" w:cs="Times New Roman" w:eastAsia="Times New Roman" w:hAnsi="Times New Roman"/>
          <w:sz w:val="18"/>
          <w:szCs w:val="18"/>
          <w:color w:val="auto"/>
        </w:rPr>
        <w:t xml:space="preserve">. The Board shall establish the exercise price of each Option or the formula by which such exercise price will be determined. The exercise price shall be specified in the applicable Option agreement. The exercise price shall be not less than 100% of the Grant Date Fair Market Value (as defined below) of the Common Stock on the date the Option is granted;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the Board approves the grant of an Option with an exercise price to be determined on a future date, the exercise price shall be not less than 100% of the Grant Date Fair Market Value on such future date. “</w:t>
      </w:r>
      <w:r>
        <w:rPr>
          <w:rFonts w:ascii="Times New Roman" w:cs="Times New Roman" w:eastAsia="Times New Roman" w:hAnsi="Times New Roman"/>
          <w:sz w:val="18"/>
          <w:szCs w:val="18"/>
          <w:b w:val="1"/>
          <w:bCs w:val="1"/>
          <w:i w:val="1"/>
          <w:iCs w:val="1"/>
          <w:color w:val="auto"/>
        </w:rPr>
        <w:t>Grant Date Fair Market Value</w:t>
      </w:r>
      <w:r>
        <w:rPr>
          <w:rFonts w:ascii="Times New Roman" w:cs="Times New Roman" w:eastAsia="Times New Roman" w:hAnsi="Times New Roman"/>
          <w:sz w:val="18"/>
          <w:szCs w:val="18"/>
          <w:color w:val="auto"/>
        </w:rPr>
        <w:t>” of a share of Common Stock for purposes of the Plan will be determined as follows:</w:t>
      </w:r>
    </w:p>
    <w:p>
      <w:pPr>
        <w:spacing w:after="0" w:line="183" w:lineRule="exact"/>
        <w:rPr>
          <w:rFonts w:ascii="Times New Roman" w:cs="Times New Roman" w:eastAsia="Times New Roman" w:hAnsi="Times New Roman"/>
          <w:sz w:val="18"/>
          <w:szCs w:val="18"/>
          <w:color w:val="auto"/>
        </w:rPr>
      </w:pPr>
    </w:p>
    <w:p>
      <w:pPr>
        <w:ind w:left="1920" w:hanging="215"/>
        <w:spacing w:after="0"/>
        <w:tabs>
          <w:tab w:leader="none" w:pos="1920" w:val="left"/>
        </w:tabs>
        <w:numPr>
          <w:ilvl w:val="2"/>
          <w:numId w:val="1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Common Stock trades on a national securities exchange, the closing sale price (for the primary trading session) on the date</w:t>
      </w:r>
    </w:p>
    <w:p>
      <w:pPr>
        <w:spacing w:after="0" w:line="27"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of grant; or</w:t>
      </w:r>
    </w:p>
    <w:p>
      <w:pPr>
        <w:spacing w:after="0" w:line="206" w:lineRule="exact"/>
        <w:rPr>
          <w:rFonts w:ascii="Times New Roman" w:cs="Times New Roman" w:eastAsia="Times New Roman" w:hAnsi="Times New Roman"/>
          <w:sz w:val="18"/>
          <w:szCs w:val="18"/>
          <w:color w:val="auto"/>
        </w:rPr>
      </w:pPr>
    </w:p>
    <w:p>
      <w:pPr>
        <w:ind w:firstLine="1705"/>
        <w:spacing w:after="0" w:line="282" w:lineRule="auto"/>
        <w:tabs>
          <w:tab w:leader="none" w:pos="1968" w:val="left"/>
        </w:tabs>
        <w:numPr>
          <w:ilvl w:val="2"/>
          <w:numId w:val="1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Common Stock does not trade on any such exchange, the average of the closing bid and asked prices on the date of grant as reported by an over-the-counter marketplace designated by the Board; or</w:t>
      </w:r>
    </w:p>
    <w:p>
      <w:pPr>
        <w:spacing w:after="0" w:line="161" w:lineRule="exact"/>
        <w:rPr>
          <w:rFonts w:ascii="Times New Roman" w:cs="Times New Roman" w:eastAsia="Times New Roman" w:hAnsi="Times New Roman"/>
          <w:sz w:val="18"/>
          <w:szCs w:val="18"/>
          <w:color w:val="auto"/>
        </w:rPr>
      </w:pPr>
    </w:p>
    <w:p>
      <w:pPr>
        <w:jc w:val="both"/>
        <w:ind w:firstLine="1705"/>
        <w:spacing w:after="0" w:line="261" w:lineRule="auto"/>
        <w:tabs>
          <w:tab w:leader="none" w:pos="2027" w:val="left"/>
        </w:tabs>
        <w:numPr>
          <w:ilvl w:val="2"/>
          <w:numId w:val="1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Common Stock is not publicly traded, the Board will determine the Grant Date Fair Market Value for purposes of the Plan using any measure of value it determines to be appropriate (including, as it considers appropriate, relying on appraisals) in a manner consistent with the valuation principles under Code Section 409A of the Code or any successor provision thereto, and the regulations thereunder (“</w:t>
      </w:r>
      <w:r>
        <w:rPr>
          <w:rFonts w:ascii="Times New Roman" w:cs="Times New Roman" w:eastAsia="Times New Roman" w:hAnsi="Times New Roman"/>
          <w:sz w:val="18"/>
          <w:szCs w:val="18"/>
          <w:b w:val="1"/>
          <w:bCs w:val="1"/>
          <w:i w:val="1"/>
          <w:iCs w:val="1"/>
          <w:color w:val="auto"/>
        </w:rPr>
        <w:t>Section 409A</w:t>
      </w:r>
      <w:r>
        <w:rPr>
          <w:rFonts w:ascii="Times New Roman" w:cs="Times New Roman" w:eastAsia="Times New Roman" w:hAnsi="Times New Roman"/>
          <w:sz w:val="18"/>
          <w:szCs w:val="18"/>
          <w:color w:val="auto"/>
        </w:rPr>
        <w:t>”), except as the Board may expressly determine otherwise.</w:t>
      </w:r>
    </w:p>
    <w:p>
      <w:pPr>
        <w:spacing w:after="0" w:line="180"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For any date that is not a trading day, the Grant Date Fair Market Value of a share of Common Stock for such date shall be determined by using the closing sale price or average of the bid and asked prices, as appropriate, for the immediately preceding trading day and with the timing in the formulas above adjusted accordingly. The Board can substitute a particular time of day or other measure of “closing sale price” or “bid and asked prices” if appropriate because of exchange or market procedures or can, use weighted averages either on a daily basis or such longer period, in each case to the extent permitted by Section 409A.</w:t>
      </w:r>
    </w:p>
    <w:p>
      <w:pPr>
        <w:spacing w:after="0" w:line="183"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Board shall determine the Grant Date Fair Market Value for purposes of the Plan, and all Awards are conditioned on the Participant’s agreement that the Board’s determination is conclusive and binding even though others might make a different determination.</w:t>
      </w:r>
    </w:p>
    <w:p>
      <w:pPr>
        <w:spacing w:after="0" w:line="162" w:lineRule="exact"/>
        <w:rPr>
          <w:sz w:val="20"/>
          <w:szCs w:val="20"/>
          <w:color w:val="auto"/>
        </w:rPr>
      </w:pPr>
    </w:p>
    <w:p>
      <w:pPr>
        <w:ind w:firstLine="857"/>
        <w:spacing w:after="0" w:line="282" w:lineRule="auto"/>
        <w:tabs>
          <w:tab w:leader="none" w:pos="1104" w:val="left"/>
        </w:tabs>
        <w:numPr>
          <w:ilvl w:val="0"/>
          <w:numId w:val="1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Duration of Options</w:t>
      </w:r>
      <w:r>
        <w:rPr>
          <w:rFonts w:ascii="Times New Roman" w:cs="Times New Roman" w:eastAsia="Times New Roman" w:hAnsi="Times New Roman"/>
          <w:sz w:val="18"/>
          <w:szCs w:val="18"/>
          <w:color w:val="auto"/>
        </w:rPr>
        <w:t xml:space="preserve">. Each Option shall be exercisable at such times and subject to such terms and conditions as the Board may specify in the applicable Option agreement;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that no Option will be granted with a term in excess of 10 years.</w:t>
      </w:r>
    </w:p>
    <w:p>
      <w:pPr>
        <w:spacing w:after="0" w:line="161" w:lineRule="exact"/>
        <w:rPr>
          <w:rFonts w:ascii="Times New Roman" w:cs="Times New Roman" w:eastAsia="Times New Roman" w:hAnsi="Times New Roman"/>
          <w:sz w:val="18"/>
          <w:szCs w:val="18"/>
          <w:color w:val="auto"/>
        </w:rPr>
      </w:pPr>
    </w:p>
    <w:p>
      <w:pPr>
        <w:jc w:val="both"/>
        <w:ind w:firstLine="857"/>
        <w:spacing w:after="0" w:line="261" w:lineRule="auto"/>
        <w:tabs>
          <w:tab w:leader="none" w:pos="1107" w:val="left"/>
        </w:tabs>
        <w:numPr>
          <w:ilvl w:val="0"/>
          <w:numId w:val="1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Exercise of Options</w:t>
      </w:r>
      <w:r>
        <w:rPr>
          <w:rFonts w:ascii="Times New Roman" w:cs="Times New Roman" w:eastAsia="Times New Roman" w:hAnsi="Times New Roman"/>
          <w:sz w:val="18"/>
          <w:szCs w:val="18"/>
          <w:color w:val="auto"/>
        </w:rPr>
        <w:t>. Options may be exercised by delivery to the Company of a notice of exercise in a form (which may be electronic) approved by the Company, together with, as applicable, payment in full (in the manner specified in Section 5(f)) of the exercise price for the number of shares for which the Option is exercised. Shares of Common Stock subject to the Option will be delivered by the Company as soon as practicable following exercise.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867410</wp:posOffset>
            </wp:positionV>
            <wp:extent cx="7157720" cy="42545"/>
            <wp:wrapNone/>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72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31" w:right="339" w:bottom="1440" w:gutter="0" w:footer="0" w:header="0"/>
        </w:sectPr>
      </w:pPr>
    </w:p>
    <w:bookmarkStart w:id="167" w:name="page168"/>
    <w:bookmarkEnd w:id="167"/>
    <w:p>
      <w:pPr>
        <w:spacing w:after="0" w:line="194" w:lineRule="exact"/>
        <w:rPr>
          <w:sz w:val="20"/>
          <w:szCs w:val="20"/>
          <w:color w:val="auto"/>
        </w:rPr>
      </w:pPr>
    </w:p>
    <w:p>
      <w:pPr>
        <w:ind w:left="1072" w:hanging="223"/>
        <w:spacing w:after="0"/>
        <w:tabs>
          <w:tab w:leader="none" w:pos="1072" w:val="left"/>
        </w:tabs>
        <w:numPr>
          <w:ilvl w:val="1"/>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Payment Upon Exercise</w:t>
      </w:r>
      <w:r>
        <w:rPr>
          <w:rFonts w:ascii="Times New Roman" w:cs="Times New Roman" w:eastAsia="Times New Roman" w:hAnsi="Times New Roman"/>
          <w:sz w:val="18"/>
          <w:szCs w:val="18"/>
          <w:color w:val="auto"/>
        </w:rPr>
        <w:t>. Common Stock purchased upon the exercise of an Option granted under the Plan shall be paid for as follows:</w:t>
      </w:r>
    </w:p>
    <w:p>
      <w:pPr>
        <w:spacing w:after="0" w:line="225" w:lineRule="exact"/>
        <w:rPr>
          <w:rFonts w:ascii="Times New Roman" w:cs="Times New Roman" w:eastAsia="Times New Roman" w:hAnsi="Times New Roman"/>
          <w:sz w:val="18"/>
          <w:szCs w:val="18"/>
          <w:color w:val="auto"/>
        </w:rPr>
      </w:pPr>
    </w:p>
    <w:p>
      <w:pPr>
        <w:ind w:left="-8" w:firstLine="1705"/>
        <w:spacing w:after="0" w:line="282" w:lineRule="auto"/>
        <w:tabs>
          <w:tab w:leader="none" w:pos="1933" w:val="left"/>
        </w:tabs>
        <w:numPr>
          <w:ilvl w:val="2"/>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cash, wire transfer of immediately available funds or by check, payable to the order of the Company, provided that the Company may limit the use of one of the foregoing payment forms if one or more of the payment forms below is permitted;</w:t>
      </w:r>
    </w:p>
    <w:p>
      <w:pPr>
        <w:spacing w:after="0" w:line="161" w:lineRule="exact"/>
        <w:rPr>
          <w:rFonts w:ascii="Times New Roman" w:cs="Times New Roman" w:eastAsia="Times New Roman" w:hAnsi="Times New Roman"/>
          <w:sz w:val="18"/>
          <w:szCs w:val="18"/>
          <w:color w:val="auto"/>
        </w:rPr>
      </w:pPr>
    </w:p>
    <w:p>
      <w:pPr>
        <w:jc w:val="both"/>
        <w:ind w:left="-8" w:firstLine="1705"/>
        <w:spacing w:after="0" w:line="261" w:lineRule="auto"/>
        <w:tabs>
          <w:tab w:leader="none" w:pos="1983" w:val="left"/>
        </w:tabs>
        <w:numPr>
          <w:ilvl w:val="2"/>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except as may otherwise be provided in the applicable Option agreement or approved by the Board, by (i) delivery of an irrevocable and unconditional undertaking by a creditworthy broker to deliver promptly to the Company sufficient funds to pay the exercise price and any required tax withholding or (ii) delivery by the Participant to the Company of a copy of irrevocable and unconditional instructions to a creditworthy broker to deliver promptly to the Company funds sufficient to pay the exercise price and any required tax withholding;</w:t>
      </w:r>
    </w:p>
    <w:p>
      <w:pPr>
        <w:spacing w:after="0" w:line="179" w:lineRule="exact"/>
        <w:rPr>
          <w:rFonts w:ascii="Times New Roman" w:cs="Times New Roman" w:eastAsia="Times New Roman" w:hAnsi="Times New Roman"/>
          <w:sz w:val="18"/>
          <w:szCs w:val="18"/>
          <w:color w:val="auto"/>
        </w:rPr>
      </w:pPr>
    </w:p>
    <w:p>
      <w:pPr>
        <w:jc w:val="both"/>
        <w:ind w:left="-8" w:firstLine="1705"/>
        <w:spacing w:after="0" w:line="258" w:lineRule="auto"/>
        <w:tabs>
          <w:tab w:leader="none" w:pos="2012" w:val="left"/>
        </w:tabs>
        <w:numPr>
          <w:ilvl w:val="2"/>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extent provided for in the applicable Option agreement or approved by the Board, by delivery (either by actual delivery or attestation) of shares of Common Stock owned by the Participant valued at their fair market value (valued in the manner determined or approved by the Board), provided (i) such method of payment is then permitted under applicable law, (ii) such Common Stock, if acquired directly from the Company, was owned by the Participant for such minimum period of time, if any, as may be established by the Board and (iii) such Common Stock is not subject to any repurchase, forfeiture, unfulfilled vesting or other similar requirements;</w:t>
      </w:r>
    </w:p>
    <w:p>
      <w:pPr>
        <w:spacing w:after="0" w:line="183" w:lineRule="exact"/>
        <w:rPr>
          <w:rFonts w:ascii="Times New Roman" w:cs="Times New Roman" w:eastAsia="Times New Roman" w:hAnsi="Times New Roman"/>
          <w:sz w:val="18"/>
          <w:szCs w:val="18"/>
          <w:color w:val="auto"/>
        </w:rPr>
      </w:pPr>
    </w:p>
    <w:p>
      <w:pPr>
        <w:jc w:val="both"/>
        <w:ind w:left="-8" w:firstLine="1705"/>
        <w:spacing w:after="0" w:line="261" w:lineRule="auto"/>
        <w:tabs>
          <w:tab w:leader="none" w:pos="2006" w:val="left"/>
        </w:tabs>
        <w:numPr>
          <w:ilvl w:val="2"/>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extent provided for in the applicable Nonstatutory Stock Option agreement or approved by the Board, by delivery of a notice of “net exercise” to the Company, as a result of which the Participant would receive (i) the number of shares underlying the portion of the Option being exercised, less (ii) such number of shares as is equal to (A) the aggregate exercise price for the portion of the Option being exercised divided by (B) the fair market value of the Common Stock (valued in the manner determined or approved by the Board) on the date of exercise;</w:t>
      </w:r>
    </w:p>
    <w:p>
      <w:pPr>
        <w:spacing w:after="0" w:line="179" w:lineRule="exact"/>
        <w:rPr>
          <w:rFonts w:ascii="Times New Roman" w:cs="Times New Roman" w:eastAsia="Times New Roman" w:hAnsi="Times New Roman"/>
          <w:sz w:val="18"/>
          <w:szCs w:val="18"/>
          <w:color w:val="auto"/>
        </w:rPr>
      </w:pPr>
    </w:p>
    <w:p>
      <w:pPr>
        <w:ind w:left="-8" w:firstLine="1705"/>
        <w:spacing w:after="0" w:line="282" w:lineRule="auto"/>
        <w:tabs>
          <w:tab w:leader="none" w:pos="1961" w:val="left"/>
        </w:tabs>
        <w:numPr>
          <w:ilvl w:val="2"/>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extent permitted by applicable law and provided for in the applicable Option agreement or approved by the Board, by payment of such other lawful consideration as the Board may determine; or</w:t>
      </w:r>
    </w:p>
    <w:p>
      <w:pPr>
        <w:spacing w:after="0" w:line="161" w:lineRule="exact"/>
        <w:rPr>
          <w:rFonts w:ascii="Times New Roman" w:cs="Times New Roman" w:eastAsia="Times New Roman" w:hAnsi="Times New Roman"/>
          <w:sz w:val="18"/>
          <w:szCs w:val="18"/>
          <w:color w:val="auto"/>
        </w:rPr>
      </w:pPr>
    </w:p>
    <w:p>
      <w:pPr>
        <w:ind w:left="1992" w:hanging="295"/>
        <w:spacing w:after="0"/>
        <w:tabs>
          <w:tab w:leader="none" w:pos="1992" w:val="left"/>
        </w:tabs>
        <w:numPr>
          <w:ilvl w:val="2"/>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by any combination of the above permitted forms of payment.</w:t>
      </w:r>
    </w:p>
    <w:p>
      <w:pPr>
        <w:spacing w:after="0" w:line="225" w:lineRule="exact"/>
        <w:rPr>
          <w:rFonts w:ascii="Times New Roman" w:cs="Times New Roman" w:eastAsia="Times New Roman" w:hAnsi="Times New Roman"/>
          <w:sz w:val="18"/>
          <w:szCs w:val="18"/>
          <w:color w:val="auto"/>
        </w:rPr>
      </w:pPr>
    </w:p>
    <w:p>
      <w:pPr>
        <w:jc w:val="both"/>
        <w:ind w:left="-8" w:firstLine="857"/>
        <w:spacing w:after="0" w:line="254" w:lineRule="auto"/>
        <w:tabs>
          <w:tab w:leader="none" w:pos="1109" w:val="left"/>
        </w:tabs>
        <w:numPr>
          <w:ilvl w:val="1"/>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Limitation on Repricing</w:t>
      </w:r>
      <w:r>
        <w:rPr>
          <w:rFonts w:ascii="Times New Roman" w:cs="Times New Roman" w:eastAsia="Times New Roman" w:hAnsi="Times New Roman"/>
          <w:sz w:val="18"/>
          <w:szCs w:val="18"/>
          <w:color w:val="auto"/>
        </w:rPr>
        <w:t>. Unless such action is approved by the Company’s stockholders, the Company may not (except as provided for under Section 10): (1) amend any outstanding Option granted under the Plan to provide an exercise price per share that is lower than the then-current exercise price per share of such outstanding Option; (2) cancel any outstanding option (whether or not granted under the Plan) and grant in substitution therefor new Awards under the Plan (other than Awards granted pursuant to Section 4(b)) covering the same or a different number of shares of Common Stock and having an exercise or measurement price per share lower than the then-current exercise price per share of the cancelled option; (3) cancel in exchange for a cash payment any outstanding Option with an exercise price per share above the then-current fair market value of the Common Stock (valued in the manner determined or approved by the Board); or (4) take any other action under the Plan that constitutes a “repricing” within the meaning of the rules of the Nasdaq Stock Market or any other exchange or marketplace on which the Company’s stock is listed or traded (the “</w:t>
      </w:r>
      <w:r>
        <w:rPr>
          <w:rFonts w:ascii="Times New Roman" w:cs="Times New Roman" w:eastAsia="Times New Roman" w:hAnsi="Times New Roman"/>
          <w:sz w:val="18"/>
          <w:szCs w:val="18"/>
          <w:b w:val="1"/>
          <w:bCs w:val="1"/>
          <w:i w:val="1"/>
          <w:iCs w:val="1"/>
          <w:color w:val="auto"/>
        </w:rPr>
        <w:t>Exchange</w:t>
      </w:r>
      <w:r>
        <w:rPr>
          <w:rFonts w:ascii="Times New Roman" w:cs="Times New Roman" w:eastAsia="Times New Roman" w:hAnsi="Times New Roman"/>
          <w:sz w:val="18"/>
          <w:szCs w:val="18"/>
          <w:color w:val="auto"/>
        </w:rPr>
        <w:t>”).</w:t>
      </w:r>
    </w:p>
    <w:p>
      <w:pPr>
        <w:spacing w:after="0" w:line="191" w:lineRule="exact"/>
        <w:rPr>
          <w:rFonts w:ascii="Times New Roman" w:cs="Times New Roman" w:eastAsia="Times New Roman" w:hAnsi="Times New Roman"/>
          <w:sz w:val="18"/>
          <w:szCs w:val="18"/>
          <w:color w:val="auto"/>
        </w:rPr>
      </w:pPr>
    </w:p>
    <w:p>
      <w:pPr>
        <w:ind w:left="-8" w:right="20" w:firstLine="857"/>
        <w:spacing w:after="0" w:line="282" w:lineRule="auto"/>
        <w:tabs>
          <w:tab w:leader="none" w:pos="1123" w:val="left"/>
        </w:tabs>
        <w:numPr>
          <w:ilvl w:val="1"/>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No Reload Options</w:t>
      </w:r>
      <w:r>
        <w:rPr>
          <w:rFonts w:ascii="Times New Roman" w:cs="Times New Roman" w:eastAsia="Times New Roman" w:hAnsi="Times New Roman"/>
          <w:sz w:val="18"/>
          <w:szCs w:val="18"/>
          <w:color w:val="auto"/>
        </w:rPr>
        <w:t>. No Option granted under the Plan shall contain any provision entitling the Participant to the automatic grant of additional Options in connection with any exercise of the original Option.</w:t>
      </w:r>
    </w:p>
    <w:p>
      <w:pPr>
        <w:spacing w:after="0" w:line="161" w:lineRule="exact"/>
        <w:rPr>
          <w:rFonts w:ascii="Times New Roman" w:cs="Times New Roman" w:eastAsia="Times New Roman" w:hAnsi="Times New Roman"/>
          <w:sz w:val="18"/>
          <w:szCs w:val="18"/>
          <w:color w:val="auto"/>
        </w:rPr>
      </w:pPr>
    </w:p>
    <w:p>
      <w:pPr>
        <w:ind w:left="1072" w:hanging="223"/>
        <w:spacing w:after="0"/>
        <w:tabs>
          <w:tab w:leader="none" w:pos="1072" w:val="left"/>
        </w:tabs>
        <w:numPr>
          <w:ilvl w:val="1"/>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No Dividend Equivalents</w:t>
      </w:r>
      <w:r>
        <w:rPr>
          <w:rFonts w:ascii="Times New Roman" w:cs="Times New Roman" w:eastAsia="Times New Roman" w:hAnsi="Times New Roman"/>
          <w:sz w:val="18"/>
          <w:szCs w:val="18"/>
          <w:color w:val="auto"/>
        </w:rPr>
        <w:t>. No Option shall provide for the payment or accrual of dividend equivalents.</w:t>
      </w:r>
    </w:p>
    <w:p>
      <w:pPr>
        <w:spacing w:after="0" w:line="225" w:lineRule="exact"/>
        <w:rPr>
          <w:rFonts w:ascii="Times New Roman" w:cs="Times New Roman" w:eastAsia="Times New Roman" w:hAnsi="Times New Roman"/>
          <w:sz w:val="18"/>
          <w:szCs w:val="18"/>
          <w:color w:val="auto"/>
        </w:rPr>
      </w:pPr>
    </w:p>
    <w:p>
      <w:pPr>
        <w:ind w:left="172" w:hanging="172"/>
        <w:spacing w:after="0"/>
        <w:tabs>
          <w:tab w:leader="none" w:pos="172" w:val="left"/>
        </w:tabs>
        <w:numPr>
          <w:ilvl w:val="0"/>
          <w:numId w:val="1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Stock Appreciation Rights</w:t>
      </w:r>
    </w:p>
    <w:p>
      <w:pPr>
        <w:spacing w:after="0" w:line="221" w:lineRule="exact"/>
        <w:rPr>
          <w:rFonts w:ascii="Times New Roman" w:cs="Times New Roman" w:eastAsia="Times New Roman" w:hAnsi="Times New Roman"/>
          <w:sz w:val="18"/>
          <w:szCs w:val="18"/>
          <w:color w:val="auto"/>
        </w:rPr>
      </w:pPr>
    </w:p>
    <w:p>
      <w:pPr>
        <w:jc w:val="both"/>
        <w:ind w:left="-8" w:firstLine="857"/>
        <w:spacing w:after="0" w:line="268" w:lineRule="auto"/>
        <w:tabs>
          <w:tab w:leader="none" w:pos="1085" w:val="left"/>
        </w:tabs>
        <w:numPr>
          <w:ilvl w:val="1"/>
          <w:numId w:val="1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General</w:t>
      </w:r>
      <w:r>
        <w:rPr>
          <w:rFonts w:ascii="Times New Roman" w:cs="Times New Roman" w:eastAsia="Times New Roman" w:hAnsi="Times New Roman"/>
          <w:sz w:val="18"/>
          <w:szCs w:val="18"/>
          <w:color w:val="auto"/>
        </w:rPr>
        <w:t>. The Board may grant Awards consisting of stock appreciation rights (“</w:t>
      </w:r>
      <w:r>
        <w:rPr>
          <w:rFonts w:ascii="Times New Roman" w:cs="Times New Roman" w:eastAsia="Times New Roman" w:hAnsi="Times New Roman"/>
          <w:sz w:val="18"/>
          <w:szCs w:val="18"/>
          <w:b w:val="1"/>
          <w:bCs w:val="1"/>
          <w:i w:val="1"/>
          <w:iCs w:val="1"/>
          <w:color w:val="auto"/>
        </w:rPr>
        <w:t>SARs</w:t>
      </w:r>
      <w:r>
        <w:rPr>
          <w:rFonts w:ascii="Times New Roman" w:cs="Times New Roman" w:eastAsia="Times New Roman" w:hAnsi="Times New Roman"/>
          <w:sz w:val="18"/>
          <w:szCs w:val="18"/>
          <w:color w:val="auto"/>
        </w:rPr>
        <w:t>”) entitling the holder, upon exercise, to receive an amount of Common Stock or cash or a combination thereof (such form to be determined by the Board) determined by reference to appreciation, from and after the date of grant, in the fair market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-12065</wp:posOffset>
            </wp:positionH>
            <wp:positionV relativeFrom="paragraph">
              <wp:posOffset>864235</wp:posOffset>
            </wp:positionV>
            <wp:extent cx="7157720" cy="42545"/>
            <wp:wrapNone/>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72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32"/>
          </w:cols>
          <w:pgMar w:left="328" w:top="1440" w:right="339" w:bottom="1440" w:gutter="0" w:footer="0" w:header="0"/>
        </w:sectPr>
      </w:pPr>
    </w:p>
    <w:bookmarkStart w:id="168" w:name="page169"/>
    <w:bookmarkEnd w:id="168"/>
    <w:p>
      <w:pPr>
        <w:spacing w:after="0" w:line="282" w:lineRule="auto"/>
        <w:rPr>
          <w:sz w:val="20"/>
          <w:szCs w:val="20"/>
          <w:color w:val="auto"/>
        </w:rPr>
      </w:pPr>
      <w:r>
        <w:rPr>
          <w:rFonts w:ascii="Times New Roman" w:cs="Times New Roman" w:eastAsia="Times New Roman" w:hAnsi="Times New Roman"/>
          <w:sz w:val="18"/>
          <w:szCs w:val="18"/>
          <w:color w:val="auto"/>
        </w:rPr>
        <w:t>value of a share of Common Stock (valued in the manner determined or approved by the Board) over the measurement price established pursuant to Section 6(b). The date as of which such appreciation is determined shall be the exercise date.</w:t>
      </w:r>
    </w:p>
    <w:p>
      <w:pPr>
        <w:spacing w:after="0" w:line="162" w:lineRule="exact"/>
        <w:rPr>
          <w:sz w:val="20"/>
          <w:szCs w:val="20"/>
          <w:color w:val="auto"/>
        </w:rPr>
      </w:pPr>
    </w:p>
    <w:p>
      <w:pPr>
        <w:jc w:val="both"/>
        <w:ind w:firstLine="857"/>
        <w:spacing w:after="0" w:line="261" w:lineRule="auto"/>
        <w:tabs>
          <w:tab w:leader="none" w:pos="1104" w:val="left"/>
        </w:tabs>
        <w:numPr>
          <w:ilvl w:val="1"/>
          <w:numId w:val="1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Measurement Price</w:t>
      </w:r>
      <w:r>
        <w:rPr>
          <w:rFonts w:ascii="Times New Roman" w:cs="Times New Roman" w:eastAsia="Times New Roman" w:hAnsi="Times New Roman"/>
          <w:sz w:val="18"/>
          <w:szCs w:val="18"/>
          <w:color w:val="auto"/>
        </w:rPr>
        <w:t xml:space="preserve">. The Board shall establish the measurement price of each SAR and specify it in the applicable SAR agreement. The measurement price shall not be less than 100% of the Grant Date Fair Market Value of the Common Stock on the date the SAR is granted;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the Board approves the grant of an SAR effective as of a future date, the measurement price shall be not less than 100% of the Grant Date Fair Market Value on such future date.</w:t>
      </w:r>
    </w:p>
    <w:p>
      <w:pPr>
        <w:spacing w:after="0" w:line="179" w:lineRule="exact"/>
        <w:rPr>
          <w:rFonts w:ascii="Times New Roman" w:cs="Times New Roman" w:eastAsia="Times New Roman" w:hAnsi="Times New Roman"/>
          <w:sz w:val="18"/>
          <w:szCs w:val="18"/>
          <w:color w:val="auto"/>
        </w:rPr>
      </w:pPr>
    </w:p>
    <w:p>
      <w:pPr>
        <w:ind w:firstLine="857"/>
        <w:spacing w:after="0" w:line="282" w:lineRule="auto"/>
        <w:tabs>
          <w:tab w:leader="none" w:pos="1093" w:val="left"/>
        </w:tabs>
        <w:numPr>
          <w:ilvl w:val="1"/>
          <w:numId w:val="1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Duration of SARs</w:t>
      </w:r>
      <w:r>
        <w:rPr>
          <w:rFonts w:ascii="Times New Roman" w:cs="Times New Roman" w:eastAsia="Times New Roman" w:hAnsi="Times New Roman"/>
          <w:sz w:val="18"/>
          <w:szCs w:val="18"/>
          <w:color w:val="auto"/>
        </w:rPr>
        <w:t xml:space="preserve">. Each SAR shall be exercisable at such times and subject to such terms and conditions as the Board may specify in the applicable SAR agreement;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that no SAR will be granted with a term in excess of 10 years.</w:t>
      </w:r>
    </w:p>
    <w:p>
      <w:pPr>
        <w:spacing w:after="0" w:line="161" w:lineRule="exact"/>
        <w:rPr>
          <w:rFonts w:ascii="Times New Roman" w:cs="Times New Roman" w:eastAsia="Times New Roman" w:hAnsi="Times New Roman"/>
          <w:sz w:val="18"/>
          <w:szCs w:val="18"/>
          <w:color w:val="auto"/>
        </w:rPr>
      </w:pPr>
    </w:p>
    <w:p>
      <w:pPr>
        <w:ind w:firstLine="857"/>
        <w:spacing w:after="0" w:line="282" w:lineRule="auto"/>
        <w:tabs>
          <w:tab w:leader="none" w:pos="1131" w:val="left"/>
        </w:tabs>
        <w:numPr>
          <w:ilvl w:val="1"/>
          <w:numId w:val="1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Exercise of SARs</w:t>
      </w:r>
      <w:r>
        <w:rPr>
          <w:rFonts w:ascii="Times New Roman" w:cs="Times New Roman" w:eastAsia="Times New Roman" w:hAnsi="Times New Roman"/>
          <w:sz w:val="18"/>
          <w:szCs w:val="18"/>
          <w:color w:val="auto"/>
        </w:rPr>
        <w:t>. SARs may be exercised by delivery to the Company of a notice of exercise in a form (which may be electronic) approved by the Company, together with any other documents required by the Board.</w:t>
      </w:r>
    </w:p>
    <w:p>
      <w:pPr>
        <w:spacing w:after="0" w:line="161" w:lineRule="exact"/>
        <w:rPr>
          <w:rFonts w:ascii="Times New Roman" w:cs="Times New Roman" w:eastAsia="Times New Roman" w:hAnsi="Times New Roman"/>
          <w:sz w:val="18"/>
          <w:szCs w:val="18"/>
          <w:color w:val="auto"/>
        </w:rPr>
      </w:pPr>
    </w:p>
    <w:p>
      <w:pPr>
        <w:jc w:val="both"/>
        <w:ind w:firstLine="857"/>
        <w:spacing w:after="0" w:line="254" w:lineRule="auto"/>
        <w:tabs>
          <w:tab w:leader="none" w:pos="1107" w:val="left"/>
        </w:tabs>
        <w:numPr>
          <w:ilvl w:val="1"/>
          <w:numId w:val="1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Limitation on Repricing</w:t>
      </w:r>
      <w:r>
        <w:rPr>
          <w:rFonts w:ascii="Times New Roman" w:cs="Times New Roman" w:eastAsia="Times New Roman" w:hAnsi="Times New Roman"/>
          <w:sz w:val="18"/>
          <w:szCs w:val="18"/>
          <w:color w:val="auto"/>
        </w:rPr>
        <w:t>. Unless such action is approved by the Company’s stockholders, the Company may not (except as provided for under Section 10): (1) amend any outstanding SAR granted under the Plan to provide a measurement price per share that is lower than the then-current measurement price per share of such outstanding SAR; (2) cancel any outstanding SAR (whether or not granted under the Plan) and grant in substitution therefor new Awards under the Plan (other than Awards granted pursuant to Section 4(b)) covering the same or a different number of shares of Common Stock and having an exercise or measurement price per share lower than the then-current measurement price per share of the cancelled SAR; (3) cancel in exchange for a cash payment any outstanding SAR with a measurement price per share above the then-current fair market value of the Common Stock (valued in the manner determined or approved by the Board); or (4) take any other action under the Plan that constitutes a “repricing” within the meaning of the rules of the Exchange.</w:t>
      </w:r>
    </w:p>
    <w:p>
      <w:pPr>
        <w:spacing w:after="0" w:line="191" w:lineRule="exact"/>
        <w:rPr>
          <w:rFonts w:ascii="Times New Roman" w:cs="Times New Roman" w:eastAsia="Times New Roman" w:hAnsi="Times New Roman"/>
          <w:sz w:val="18"/>
          <w:szCs w:val="18"/>
          <w:color w:val="auto"/>
        </w:rPr>
      </w:pPr>
    </w:p>
    <w:p>
      <w:pPr>
        <w:ind w:firstLine="857"/>
        <w:spacing w:after="0" w:line="282" w:lineRule="auto"/>
        <w:tabs>
          <w:tab w:leader="none" w:pos="1074" w:val="left"/>
        </w:tabs>
        <w:numPr>
          <w:ilvl w:val="1"/>
          <w:numId w:val="1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No Reload SARs</w:t>
      </w:r>
      <w:r>
        <w:rPr>
          <w:rFonts w:ascii="Times New Roman" w:cs="Times New Roman" w:eastAsia="Times New Roman" w:hAnsi="Times New Roman"/>
          <w:sz w:val="18"/>
          <w:szCs w:val="18"/>
          <w:color w:val="auto"/>
        </w:rPr>
        <w:t>. No SAR granted under the Plan shall contain any provision entitling the Participant to the automatic grant of additional SARs in connection with any exercise of the original SAR.</w:t>
      </w:r>
    </w:p>
    <w:p>
      <w:pPr>
        <w:spacing w:after="0" w:line="161" w:lineRule="exact"/>
        <w:rPr>
          <w:rFonts w:ascii="Times New Roman" w:cs="Times New Roman" w:eastAsia="Times New Roman" w:hAnsi="Times New Roman"/>
          <w:sz w:val="18"/>
          <w:szCs w:val="18"/>
          <w:color w:val="auto"/>
        </w:rPr>
      </w:pPr>
    </w:p>
    <w:p>
      <w:pPr>
        <w:ind w:left="1120" w:hanging="263"/>
        <w:spacing w:after="0"/>
        <w:tabs>
          <w:tab w:leader="none" w:pos="1120" w:val="left"/>
        </w:tabs>
        <w:numPr>
          <w:ilvl w:val="1"/>
          <w:numId w:val="1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No Dividend Equivalents</w:t>
      </w:r>
      <w:r>
        <w:rPr>
          <w:rFonts w:ascii="Times New Roman" w:cs="Times New Roman" w:eastAsia="Times New Roman" w:hAnsi="Times New Roman"/>
          <w:sz w:val="18"/>
          <w:szCs w:val="18"/>
          <w:color w:val="auto"/>
        </w:rPr>
        <w:t>. No SAR shall provide for the payment or accrual of dividend equivalents.</w:t>
      </w:r>
    </w:p>
    <w:p>
      <w:pPr>
        <w:spacing w:after="0" w:line="225" w:lineRule="exact"/>
        <w:rPr>
          <w:rFonts w:ascii="Times New Roman" w:cs="Times New Roman" w:eastAsia="Times New Roman" w:hAnsi="Times New Roman"/>
          <w:sz w:val="18"/>
          <w:szCs w:val="18"/>
          <w:color w:val="auto"/>
        </w:rPr>
      </w:pPr>
    </w:p>
    <w:p>
      <w:pPr>
        <w:ind w:left="180" w:hanging="172"/>
        <w:spacing w:after="0"/>
        <w:tabs>
          <w:tab w:leader="none" w:pos="180" w:val="left"/>
        </w:tabs>
        <w:numPr>
          <w:ilvl w:val="0"/>
          <w:numId w:val="1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Restricted Stock; RSUs</w:t>
      </w:r>
    </w:p>
    <w:p>
      <w:pPr>
        <w:spacing w:after="0" w:line="221" w:lineRule="exact"/>
        <w:rPr>
          <w:rFonts w:ascii="Times New Roman" w:cs="Times New Roman" w:eastAsia="Times New Roman" w:hAnsi="Times New Roman"/>
          <w:sz w:val="18"/>
          <w:szCs w:val="18"/>
          <w:color w:val="auto"/>
        </w:rPr>
      </w:pPr>
    </w:p>
    <w:p>
      <w:pPr>
        <w:jc w:val="both"/>
        <w:ind w:firstLine="857"/>
        <w:spacing w:after="0" w:line="259" w:lineRule="auto"/>
        <w:tabs>
          <w:tab w:leader="none" w:pos="1093" w:val="left"/>
        </w:tabs>
        <w:numPr>
          <w:ilvl w:val="1"/>
          <w:numId w:val="1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General</w:t>
      </w:r>
      <w:r>
        <w:rPr>
          <w:rFonts w:ascii="Times New Roman" w:cs="Times New Roman" w:eastAsia="Times New Roman" w:hAnsi="Times New Roman"/>
          <w:sz w:val="18"/>
          <w:szCs w:val="18"/>
          <w:color w:val="auto"/>
        </w:rPr>
        <w:t>. The Board may grant Awards entitling recipients to acquire shares of Common Stock (“</w:t>
      </w:r>
      <w:r>
        <w:rPr>
          <w:rFonts w:ascii="Times New Roman" w:cs="Times New Roman" w:eastAsia="Times New Roman" w:hAnsi="Times New Roman"/>
          <w:sz w:val="18"/>
          <w:szCs w:val="18"/>
          <w:b w:val="1"/>
          <w:bCs w:val="1"/>
          <w:i w:val="1"/>
          <w:iCs w:val="1"/>
          <w:color w:val="auto"/>
        </w:rPr>
        <w:t>Restricted Stock</w:t>
      </w:r>
      <w:r>
        <w:rPr>
          <w:rFonts w:ascii="Times New Roman" w:cs="Times New Roman" w:eastAsia="Times New Roman" w:hAnsi="Times New Roman"/>
          <w:sz w:val="18"/>
          <w:szCs w:val="18"/>
          <w:color w:val="auto"/>
        </w:rPr>
        <w:t>”), subject to the right of the Company to repurchase all or part of such shares at their issue price or other stated or formula price (or to require forfeiture of such shares if issued at no cost) from the recipient in the event that conditions specified by the Board in the applicable Award are not satisfied prior to the end of the applicable restriction period or periods established by the Board for such Award. The Board may also grant Awards entitling the recipient to receive shares of Common Stock or cash to be delivered at the time such Award vests or on a deferred basis (“</w:t>
      </w:r>
      <w:r>
        <w:rPr>
          <w:rFonts w:ascii="Times New Roman" w:cs="Times New Roman" w:eastAsia="Times New Roman" w:hAnsi="Times New Roman"/>
          <w:sz w:val="18"/>
          <w:szCs w:val="18"/>
          <w:b w:val="1"/>
          <w:bCs w:val="1"/>
          <w:i w:val="1"/>
          <w:iCs w:val="1"/>
          <w:color w:val="auto"/>
        </w:rPr>
        <w:t>RSUs</w:t>
      </w:r>
      <w:r>
        <w:rPr>
          <w:rFonts w:ascii="Times New Roman" w:cs="Times New Roman" w:eastAsia="Times New Roman" w:hAnsi="Times New Roman"/>
          <w:sz w:val="18"/>
          <w:szCs w:val="18"/>
          <w:color w:val="auto"/>
        </w:rPr>
        <w:t>”).</w:t>
      </w:r>
    </w:p>
    <w:p>
      <w:pPr>
        <w:spacing w:after="0" w:line="183" w:lineRule="exact"/>
        <w:rPr>
          <w:rFonts w:ascii="Times New Roman" w:cs="Times New Roman" w:eastAsia="Times New Roman" w:hAnsi="Times New Roman"/>
          <w:sz w:val="18"/>
          <w:szCs w:val="18"/>
          <w:color w:val="auto"/>
        </w:rPr>
      </w:pPr>
    </w:p>
    <w:p>
      <w:pPr>
        <w:ind w:firstLine="857"/>
        <w:spacing w:after="0" w:line="282" w:lineRule="auto"/>
        <w:tabs>
          <w:tab w:leader="none" w:pos="1104" w:val="left"/>
        </w:tabs>
        <w:numPr>
          <w:ilvl w:val="1"/>
          <w:numId w:val="1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Terms and Conditions for Restricted Stock and RSUs</w:t>
      </w:r>
      <w:r>
        <w:rPr>
          <w:rFonts w:ascii="Times New Roman" w:cs="Times New Roman" w:eastAsia="Times New Roman" w:hAnsi="Times New Roman"/>
          <w:sz w:val="18"/>
          <w:szCs w:val="18"/>
          <w:color w:val="auto"/>
        </w:rPr>
        <w:t>. The Board shall determine the terms and conditions of Restricted Stock and RSUs, including the conditions for vesting and repurchase (or forfeiture) and the issue price, if any.</w:t>
      </w:r>
    </w:p>
    <w:p>
      <w:pPr>
        <w:spacing w:after="0" w:line="161" w:lineRule="exact"/>
        <w:rPr>
          <w:rFonts w:ascii="Times New Roman" w:cs="Times New Roman" w:eastAsia="Times New Roman" w:hAnsi="Times New Roman"/>
          <w:sz w:val="18"/>
          <w:szCs w:val="18"/>
          <w:color w:val="auto"/>
        </w:rPr>
      </w:pPr>
    </w:p>
    <w:p>
      <w:pPr>
        <w:ind w:left="1100" w:hanging="243"/>
        <w:spacing w:after="0"/>
        <w:tabs>
          <w:tab w:leader="none" w:pos="1100" w:val="left"/>
        </w:tabs>
        <w:numPr>
          <w:ilvl w:val="1"/>
          <w:numId w:val="1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Additional Provisions Relating to Restricted Stock</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firstLine="1705"/>
        <w:spacing w:after="0" w:line="258" w:lineRule="auto"/>
        <w:tabs>
          <w:tab w:leader="none" w:pos="1912" w:val="left"/>
        </w:tabs>
        <w:numPr>
          <w:ilvl w:val="2"/>
          <w:numId w:val="1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Dividends</w:t>
      </w:r>
      <w:r>
        <w:rPr>
          <w:rFonts w:ascii="Times New Roman" w:cs="Times New Roman" w:eastAsia="Times New Roman" w:hAnsi="Times New Roman"/>
          <w:sz w:val="18"/>
          <w:szCs w:val="18"/>
          <w:color w:val="auto"/>
        </w:rPr>
        <w:t>. Any dividends (whether paid in cash, stock or property) declared and paid by the Company with respect to shares of Restricted Stock (“</w:t>
      </w:r>
      <w:r>
        <w:rPr>
          <w:rFonts w:ascii="Times New Roman" w:cs="Times New Roman" w:eastAsia="Times New Roman" w:hAnsi="Times New Roman"/>
          <w:sz w:val="18"/>
          <w:szCs w:val="18"/>
          <w:b w:val="1"/>
          <w:bCs w:val="1"/>
          <w:i w:val="1"/>
          <w:iCs w:val="1"/>
          <w:color w:val="auto"/>
        </w:rPr>
        <w:t>Unvested Dividends</w:t>
      </w:r>
      <w:r>
        <w:rPr>
          <w:rFonts w:ascii="Times New Roman" w:cs="Times New Roman" w:eastAsia="Times New Roman" w:hAnsi="Times New Roman"/>
          <w:sz w:val="18"/>
          <w:szCs w:val="18"/>
          <w:color w:val="auto"/>
        </w:rPr>
        <w:t>”) shall be paid to the Participant only if and when such shares become free from the restrictions on transferability and forfeitability that apply to such shares. Each payment of Unvested Dividends will be made no later than the end of the calendar year in which the dividends are paid to stockholders of that class of stock or, if later, the 15th day of the third month following the lapsing of the restrictions on transferability and the forfeitability provisions applicable to the underlying shares of Restricted Stock. No interest will be paid on Unvested Dividends.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869950</wp:posOffset>
            </wp:positionV>
            <wp:extent cx="7157720" cy="42545"/>
            <wp:wrapNone/>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72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7" w:right="339" w:bottom="1440" w:gutter="0" w:footer="0" w:header="0"/>
        </w:sectPr>
      </w:pPr>
    </w:p>
    <w:bookmarkStart w:id="169" w:name="page170"/>
    <w:bookmarkEnd w:id="169"/>
    <w:p>
      <w:pPr>
        <w:spacing w:after="0" w:line="194" w:lineRule="exact"/>
        <w:rPr>
          <w:sz w:val="20"/>
          <w:szCs w:val="20"/>
          <w:color w:val="auto"/>
        </w:rPr>
      </w:pPr>
    </w:p>
    <w:p>
      <w:pPr>
        <w:jc w:val="both"/>
        <w:ind w:firstLine="1705"/>
        <w:spacing w:after="0" w:line="256" w:lineRule="auto"/>
        <w:tabs>
          <w:tab w:leader="none" w:pos="1975" w:val="left"/>
        </w:tabs>
        <w:numPr>
          <w:ilvl w:val="1"/>
          <w:numId w:val="1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Stock Certificates/Issuance</w:t>
      </w:r>
      <w:r>
        <w:rPr>
          <w:rFonts w:ascii="Times New Roman" w:cs="Times New Roman" w:eastAsia="Times New Roman" w:hAnsi="Times New Roman"/>
          <w:sz w:val="18"/>
          <w:szCs w:val="18"/>
          <w:color w:val="auto"/>
        </w:rPr>
        <w:t>. The Company may require that any stock certificates issued in respect of shares of Restricted Stock, as well as dividends or distributions paid on such Restricted Stock, shall be deposited in escrow by the Participant, together with a stock power endorsed in blank, with the Company (or its designee) or, alternatively, that such shares be issued in book entry only, in the name of the Participant with appropriate transfer and forfeiture restrictions. At the expiration of the applicable restriction periods, the Company (or such designee) shall deliver the certificates no longer subject to such restrictions (or, to the extent the Restricted Stock was issued in book entry, remove the restrictions) to the Participant or if the Participant has died, to his or her Designated Beneficiary (as defined below).</w:t>
      </w:r>
    </w:p>
    <w:p>
      <w:pPr>
        <w:spacing w:after="0" w:line="187" w:lineRule="exact"/>
        <w:rPr>
          <w:rFonts w:ascii="Times New Roman" w:cs="Times New Roman" w:eastAsia="Times New Roman" w:hAnsi="Times New Roman"/>
          <w:sz w:val="18"/>
          <w:szCs w:val="18"/>
          <w:color w:val="auto"/>
        </w:rPr>
      </w:pPr>
    </w:p>
    <w:p>
      <w:pPr>
        <w:ind w:left="1120" w:hanging="263"/>
        <w:spacing w:after="0"/>
        <w:tabs>
          <w:tab w:leader="none" w:pos="1120" w:val="left"/>
        </w:tabs>
        <w:numPr>
          <w:ilvl w:val="0"/>
          <w:numId w:val="1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Additional Provisions Relating to RSUs</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firstLine="1705"/>
        <w:spacing w:after="0" w:line="258" w:lineRule="auto"/>
        <w:tabs>
          <w:tab w:leader="none" w:pos="1925" w:val="left"/>
        </w:tabs>
        <w:numPr>
          <w:ilvl w:val="1"/>
          <w:numId w:val="1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Settlement</w:t>
      </w:r>
      <w:r>
        <w:rPr>
          <w:rFonts w:ascii="Times New Roman" w:cs="Times New Roman" w:eastAsia="Times New Roman" w:hAnsi="Times New Roman"/>
          <w:sz w:val="18"/>
          <w:szCs w:val="18"/>
          <w:color w:val="auto"/>
        </w:rPr>
        <w:t>. Upon the vesting of and/or lapsing of any other restrictions with respect to each RSU, the Participant shall be entitled to receive from the Company (i.e., settlement) the number of shares of Common Stock specified in the Award agreement or (if so provided in the applicable Award agreement or otherwise determined by the Board) an amount of cash equal to the fair market value (valued in the manner determined or approved by the Board) of such number of shares or a combination thereof. The Board may provide that settlement of RSUs shall be deferred, on a mandatory basis or at the election of the Participant, in a manner that complies with Section 409A.</w:t>
      </w:r>
    </w:p>
    <w:p>
      <w:pPr>
        <w:spacing w:after="0" w:line="183" w:lineRule="exact"/>
        <w:rPr>
          <w:sz w:val="20"/>
          <w:szCs w:val="20"/>
          <w:color w:val="auto"/>
        </w:rPr>
      </w:pPr>
    </w:p>
    <w:p>
      <w:pPr>
        <w:ind w:left="1960" w:hanging="255"/>
        <w:spacing w:after="0"/>
        <w:tabs>
          <w:tab w:leader="none" w:pos="1960" w:val="left"/>
        </w:tabs>
        <w:numPr>
          <w:ilvl w:val="2"/>
          <w:numId w:val="1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Voting Rights</w:t>
      </w:r>
      <w:r>
        <w:rPr>
          <w:rFonts w:ascii="Times New Roman" w:cs="Times New Roman" w:eastAsia="Times New Roman" w:hAnsi="Times New Roman"/>
          <w:sz w:val="18"/>
          <w:szCs w:val="18"/>
          <w:color w:val="auto"/>
        </w:rPr>
        <w:t>. A Participant shall have no voting rights with respect to any RSUs.</w:t>
      </w:r>
    </w:p>
    <w:p>
      <w:pPr>
        <w:spacing w:after="0" w:line="225" w:lineRule="exact"/>
        <w:rPr>
          <w:rFonts w:ascii="Times New Roman" w:cs="Times New Roman" w:eastAsia="Times New Roman" w:hAnsi="Times New Roman"/>
          <w:sz w:val="18"/>
          <w:szCs w:val="18"/>
          <w:color w:val="auto"/>
        </w:rPr>
      </w:pPr>
    </w:p>
    <w:p>
      <w:pPr>
        <w:jc w:val="both"/>
        <w:ind w:firstLine="1705"/>
        <w:spacing w:after="0" w:line="258" w:lineRule="auto"/>
        <w:tabs>
          <w:tab w:leader="none" w:pos="2011" w:val="left"/>
        </w:tabs>
        <w:numPr>
          <w:ilvl w:val="2"/>
          <w:numId w:val="1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Dividend Equivalents</w:t>
      </w:r>
      <w:r>
        <w:rPr>
          <w:rFonts w:ascii="Times New Roman" w:cs="Times New Roman" w:eastAsia="Times New Roman" w:hAnsi="Times New Roman"/>
          <w:sz w:val="18"/>
          <w:szCs w:val="18"/>
          <w:color w:val="auto"/>
        </w:rPr>
        <w:t>. The Award agreement for RSUs may provide Participants with the right to receive an amount equal to any dividends or other distributions declared and paid on an equal number of outstanding shares of Common Stock (“</w:t>
      </w:r>
      <w:r>
        <w:rPr>
          <w:rFonts w:ascii="Times New Roman" w:cs="Times New Roman" w:eastAsia="Times New Roman" w:hAnsi="Times New Roman"/>
          <w:sz w:val="18"/>
          <w:szCs w:val="18"/>
          <w:b w:val="1"/>
          <w:bCs w:val="1"/>
          <w:i w:val="1"/>
          <w:iCs w:val="1"/>
          <w:color w:val="auto"/>
        </w:rPr>
        <w:t>Dividend Equivalents</w:t>
      </w:r>
      <w:r>
        <w:rPr>
          <w:rFonts w:ascii="Times New Roman" w:cs="Times New Roman" w:eastAsia="Times New Roman" w:hAnsi="Times New Roman"/>
          <w:sz w:val="18"/>
          <w:szCs w:val="18"/>
          <w:color w:val="auto"/>
        </w:rPr>
        <w:t>”). Dividend Equivalents may be credited to an account for the Participant and may be settled in cash and/or shares of Common Stock, in each case to the extent provided in the applicable Award agreement. Dividend Equivalents with respect to RSUs will be subject to the same restrictions on transfer and forfeitability as the RSUs with respect to which paid. No interest will be paid on Dividend Equivalents.</w:t>
      </w:r>
    </w:p>
    <w:p>
      <w:pPr>
        <w:spacing w:after="0" w:line="183" w:lineRule="exact"/>
        <w:rPr>
          <w:rFonts w:ascii="Times New Roman" w:cs="Times New Roman" w:eastAsia="Times New Roman" w:hAnsi="Times New Roman"/>
          <w:sz w:val="18"/>
          <w:szCs w:val="18"/>
          <w:color w:val="auto"/>
        </w:rPr>
      </w:pPr>
    </w:p>
    <w:p>
      <w:pPr>
        <w:ind w:left="180" w:hanging="172"/>
        <w:spacing w:after="0"/>
        <w:tabs>
          <w:tab w:leader="none" w:pos="180" w:val="left"/>
        </w:tabs>
        <w:numPr>
          <w:ilvl w:val="0"/>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Other Stock-Based and Cash-Based Awards</w:t>
      </w:r>
    </w:p>
    <w:p>
      <w:pPr>
        <w:spacing w:after="0" w:line="225" w:lineRule="exact"/>
        <w:rPr>
          <w:rFonts w:ascii="Times New Roman" w:cs="Times New Roman" w:eastAsia="Times New Roman" w:hAnsi="Times New Roman"/>
          <w:sz w:val="18"/>
          <w:szCs w:val="18"/>
          <w:color w:val="auto"/>
        </w:rPr>
      </w:pPr>
    </w:p>
    <w:p>
      <w:pPr>
        <w:jc w:val="both"/>
        <w:ind w:firstLine="857"/>
        <w:spacing w:after="0" w:line="258" w:lineRule="auto"/>
        <w:tabs>
          <w:tab w:leader="none" w:pos="1093" w:val="left"/>
        </w:tabs>
        <w:numPr>
          <w:ilvl w:val="1"/>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General</w:t>
      </w:r>
      <w:r>
        <w:rPr>
          <w:rFonts w:ascii="Times New Roman" w:cs="Times New Roman" w:eastAsia="Times New Roman" w:hAnsi="Times New Roman"/>
          <w:sz w:val="18"/>
          <w:szCs w:val="18"/>
          <w:color w:val="auto"/>
        </w:rPr>
        <w:t>. The Board may grant other Awards of shares of Common Stock, and other Awards that are valued in whole or in part by reference to, or are otherwise based on, shares of Common Stock or other property (“</w:t>
      </w:r>
      <w:r>
        <w:rPr>
          <w:rFonts w:ascii="Times New Roman" w:cs="Times New Roman" w:eastAsia="Times New Roman" w:hAnsi="Times New Roman"/>
          <w:sz w:val="18"/>
          <w:szCs w:val="18"/>
          <w:b w:val="1"/>
          <w:bCs w:val="1"/>
          <w:i w:val="1"/>
          <w:iCs w:val="1"/>
          <w:color w:val="auto"/>
        </w:rPr>
        <w:t>Other Stock-Based Awards</w:t>
      </w:r>
      <w:r>
        <w:rPr>
          <w:rFonts w:ascii="Times New Roman" w:cs="Times New Roman" w:eastAsia="Times New Roman" w:hAnsi="Times New Roman"/>
          <w:sz w:val="18"/>
          <w:szCs w:val="18"/>
          <w:color w:val="auto"/>
        </w:rPr>
        <w:t>”). Such Other Stock-Based Awards shall also be available as a form of payment in the settlement of other Awards granted under the Plan or as payment in lieu of compensation to which a Participant is otherwise entitled. Other Stock-Based Awards may be paid in shares of Common Stock or cash, as the Board shall determine. The Company may also grant Awards denominated in cash rather than shares of Common Stock (“</w:t>
      </w:r>
      <w:r>
        <w:rPr>
          <w:rFonts w:ascii="Times New Roman" w:cs="Times New Roman" w:eastAsia="Times New Roman" w:hAnsi="Times New Roman"/>
          <w:sz w:val="18"/>
          <w:szCs w:val="18"/>
          <w:b w:val="1"/>
          <w:bCs w:val="1"/>
          <w:i w:val="1"/>
          <w:iCs w:val="1"/>
          <w:color w:val="auto"/>
        </w:rPr>
        <w:t>Cash-Based Awards</w:t>
      </w:r>
      <w:r>
        <w:rPr>
          <w:rFonts w:ascii="Times New Roman" w:cs="Times New Roman" w:eastAsia="Times New Roman" w:hAnsi="Times New Roman"/>
          <w:sz w:val="18"/>
          <w:szCs w:val="18"/>
          <w:color w:val="auto"/>
        </w:rPr>
        <w:t>”).</w:t>
      </w:r>
    </w:p>
    <w:p>
      <w:pPr>
        <w:spacing w:after="0" w:line="183" w:lineRule="exact"/>
        <w:rPr>
          <w:rFonts w:ascii="Times New Roman" w:cs="Times New Roman" w:eastAsia="Times New Roman" w:hAnsi="Times New Roman"/>
          <w:sz w:val="18"/>
          <w:szCs w:val="18"/>
          <w:color w:val="auto"/>
        </w:rPr>
      </w:pPr>
    </w:p>
    <w:p>
      <w:pPr>
        <w:ind w:firstLine="857"/>
        <w:spacing w:after="0" w:line="282" w:lineRule="auto"/>
        <w:tabs>
          <w:tab w:leader="none" w:pos="1104" w:val="left"/>
        </w:tabs>
        <w:numPr>
          <w:ilvl w:val="1"/>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Terms and Conditions</w:t>
      </w:r>
      <w:r>
        <w:rPr>
          <w:rFonts w:ascii="Times New Roman" w:cs="Times New Roman" w:eastAsia="Times New Roman" w:hAnsi="Times New Roman"/>
          <w:sz w:val="18"/>
          <w:szCs w:val="18"/>
          <w:color w:val="auto"/>
        </w:rPr>
        <w:t>. Subject to the provisions of the Plan, the Board shall determine the terms and conditions of each Other Stock-Based Award or Cash-Based Award, including any purchase price applicable thereto.</w:t>
      </w:r>
    </w:p>
    <w:p>
      <w:pPr>
        <w:spacing w:after="0" w:line="161" w:lineRule="exact"/>
        <w:rPr>
          <w:rFonts w:ascii="Times New Roman" w:cs="Times New Roman" w:eastAsia="Times New Roman" w:hAnsi="Times New Roman"/>
          <w:sz w:val="18"/>
          <w:szCs w:val="18"/>
          <w:color w:val="auto"/>
        </w:rPr>
      </w:pPr>
    </w:p>
    <w:p>
      <w:pPr>
        <w:jc w:val="both"/>
        <w:ind w:firstLine="857"/>
        <w:spacing w:after="0" w:line="259" w:lineRule="auto"/>
        <w:tabs>
          <w:tab w:leader="none" w:pos="1093" w:val="left"/>
        </w:tabs>
        <w:numPr>
          <w:ilvl w:val="1"/>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Dividend Equivalents</w:t>
      </w:r>
      <w:r>
        <w:rPr>
          <w:rFonts w:ascii="Times New Roman" w:cs="Times New Roman" w:eastAsia="Times New Roman" w:hAnsi="Times New Roman"/>
          <w:sz w:val="18"/>
          <w:szCs w:val="18"/>
          <w:color w:val="auto"/>
        </w:rPr>
        <w:t>. The Award agreement for an Other Stock-Based Award may provide Participants with the right to receive Dividend Equivalents. Dividend Equivalents may be credited to an account for the Participant and may be settled in cash and/or shares of Common Stock, in each case to the extent provided in the applicable Award agreement. Dividend Equivalents with respect to Other-Stock Based Awards will be subject to the same restrictions on transfer and forfeitability as the Other Stock-Based Award with respect to which paid. No interest will be paid on Dividend Equivalents.</w:t>
      </w:r>
    </w:p>
    <w:p>
      <w:pPr>
        <w:spacing w:after="0" w:line="200" w:lineRule="exact"/>
        <w:rPr>
          <w:rFonts w:ascii="Times New Roman" w:cs="Times New Roman" w:eastAsia="Times New Roman" w:hAnsi="Times New Roman"/>
          <w:sz w:val="18"/>
          <w:szCs w:val="18"/>
          <w:color w:val="auto"/>
        </w:rPr>
      </w:pPr>
    </w:p>
    <w:p>
      <w:pPr>
        <w:spacing w:after="0" w:line="202" w:lineRule="exact"/>
        <w:rPr>
          <w:rFonts w:ascii="Times New Roman" w:cs="Times New Roman" w:eastAsia="Times New Roman" w:hAnsi="Times New Roman"/>
          <w:sz w:val="18"/>
          <w:szCs w:val="18"/>
          <w:color w:val="auto"/>
        </w:rPr>
      </w:pPr>
    </w:p>
    <w:p>
      <w:pPr>
        <w:ind w:left="180" w:hanging="172"/>
        <w:spacing w:after="0"/>
        <w:tabs>
          <w:tab w:leader="none" w:pos="180" w:val="left"/>
        </w:tabs>
        <w:numPr>
          <w:ilvl w:val="0"/>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Performance Awards.</w:t>
      </w:r>
    </w:p>
    <w:p>
      <w:pPr>
        <w:spacing w:after="0" w:line="221" w:lineRule="exact"/>
        <w:rPr>
          <w:rFonts w:ascii="Times New Roman" w:cs="Times New Roman" w:eastAsia="Times New Roman" w:hAnsi="Times New Roman"/>
          <w:sz w:val="18"/>
          <w:szCs w:val="18"/>
          <w:color w:val="auto"/>
        </w:rPr>
      </w:pPr>
    </w:p>
    <w:p>
      <w:pPr>
        <w:ind w:left="1120" w:hanging="263"/>
        <w:spacing w:after="0"/>
        <w:tabs>
          <w:tab w:leader="none" w:pos="1120" w:val="left"/>
        </w:tabs>
        <w:numPr>
          <w:ilvl w:val="1"/>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Grants</w:t>
      </w:r>
      <w:r>
        <w:rPr>
          <w:rFonts w:ascii="Times New Roman" w:cs="Times New Roman" w:eastAsia="Times New Roman" w:hAnsi="Times New Roman"/>
          <w:sz w:val="18"/>
          <w:szCs w:val="18"/>
          <w:color w:val="auto"/>
        </w:rPr>
        <w:t>.  Awards under the Plan may be made subject to the achievement of performance goals pursuant to this Section 9 (“</w:t>
      </w:r>
      <w:r>
        <w:rPr>
          <w:rFonts w:ascii="Times New Roman" w:cs="Times New Roman" w:eastAsia="Times New Roman" w:hAnsi="Times New Roman"/>
          <w:sz w:val="18"/>
          <w:szCs w:val="18"/>
          <w:b w:val="1"/>
          <w:bCs w:val="1"/>
          <w:i w:val="1"/>
          <w:iCs w:val="1"/>
          <w:color w:val="auto"/>
        </w:rPr>
        <w:t>Performance</w:t>
      </w:r>
    </w:p>
    <w:p>
      <w:pPr>
        <w:spacing w:after="0" w:line="31"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i w:val="1"/>
          <w:iCs w:val="1"/>
          <w:color w:val="auto"/>
        </w:rPr>
        <w:t>Awards</w:t>
      </w:r>
      <w:r>
        <w:rPr>
          <w:rFonts w:ascii="Times New Roman" w:cs="Times New Roman" w:eastAsia="Times New Roman" w:hAnsi="Times New Roman"/>
          <w:sz w:val="18"/>
          <w:szCs w:val="18"/>
          <w:color w:val="auto"/>
        </w:rPr>
        <w:t>”).</w:t>
      </w:r>
    </w:p>
    <w:p>
      <w:pPr>
        <w:spacing w:after="0" w:line="206" w:lineRule="exact"/>
        <w:rPr>
          <w:rFonts w:ascii="Times New Roman" w:cs="Times New Roman" w:eastAsia="Times New Roman" w:hAnsi="Times New Roman"/>
          <w:sz w:val="18"/>
          <w:szCs w:val="18"/>
          <w:color w:val="auto"/>
        </w:rPr>
      </w:pPr>
    </w:p>
    <w:p>
      <w:pPr>
        <w:ind w:firstLine="857"/>
        <w:spacing w:after="0" w:line="282" w:lineRule="auto"/>
        <w:tabs>
          <w:tab w:leader="none" w:pos="1117" w:val="left"/>
        </w:tabs>
        <w:numPr>
          <w:ilvl w:val="1"/>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Performance Measures</w:t>
      </w:r>
      <w:r>
        <w:rPr>
          <w:rFonts w:ascii="Times New Roman" w:cs="Times New Roman" w:eastAsia="Times New Roman" w:hAnsi="Times New Roman"/>
          <w:sz w:val="18"/>
          <w:szCs w:val="18"/>
          <w:color w:val="auto"/>
        </w:rPr>
        <w:t>. The Board may specify that the degree of granting, vesting and/or payout of any Performance Award shall be subject to the achievement of one or more performance measures established by the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855980</wp:posOffset>
            </wp:positionV>
            <wp:extent cx="7157720" cy="42545"/>
            <wp:wrapNone/>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72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70" w:name="page171"/>
    <w:bookmarkEnd w:id="170"/>
    <w:p>
      <w:pPr>
        <w:spacing w:after="0" w:line="282" w:lineRule="auto"/>
        <w:rPr>
          <w:sz w:val="20"/>
          <w:szCs w:val="20"/>
          <w:color w:val="auto"/>
        </w:rPr>
      </w:pPr>
      <w:r>
        <w:rPr>
          <w:rFonts w:ascii="Times New Roman" w:cs="Times New Roman" w:eastAsia="Times New Roman" w:hAnsi="Times New Roman"/>
          <w:sz w:val="18"/>
          <w:szCs w:val="18"/>
          <w:color w:val="auto"/>
        </w:rPr>
        <w:t>Board, which may be based on the relative or absolute attainment of specified levels of one or any combination of the following, and which may be determined pursuant to generally accepted accounting principles (“</w:t>
      </w:r>
      <w:r>
        <w:rPr>
          <w:rFonts w:ascii="Times New Roman" w:cs="Times New Roman" w:eastAsia="Times New Roman" w:hAnsi="Times New Roman"/>
          <w:sz w:val="18"/>
          <w:szCs w:val="18"/>
          <w:b w:val="1"/>
          <w:bCs w:val="1"/>
          <w:i w:val="1"/>
          <w:iCs w:val="1"/>
          <w:color w:val="auto"/>
        </w:rPr>
        <w:t>GAAP</w:t>
      </w:r>
      <w:r>
        <w:rPr>
          <w:rFonts w:ascii="Times New Roman" w:cs="Times New Roman" w:eastAsia="Times New Roman" w:hAnsi="Times New Roman"/>
          <w:sz w:val="18"/>
          <w:szCs w:val="18"/>
          <w:color w:val="auto"/>
        </w:rPr>
        <w:t>”) or on a non-GAAP basis, as determined by the Board:</w:t>
      </w:r>
    </w:p>
    <w:p>
      <w:pPr>
        <w:spacing w:after="0" w:line="162" w:lineRule="exact"/>
        <w:rPr>
          <w:sz w:val="20"/>
          <w:szCs w:val="20"/>
          <w:color w:val="auto"/>
        </w:rPr>
      </w:pPr>
    </w:p>
    <w:p>
      <w:pPr>
        <w:ind w:left="260" w:hanging="252"/>
        <w:spacing w:after="0"/>
        <w:tabs>
          <w:tab w:leader="none" w:pos="2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net income;</w:t>
      </w:r>
    </w:p>
    <w:p>
      <w:pPr>
        <w:spacing w:after="0" w:line="225" w:lineRule="exact"/>
        <w:rPr>
          <w:rFonts w:ascii="Times New Roman" w:cs="Times New Roman" w:eastAsia="Times New Roman" w:hAnsi="Times New Roman"/>
          <w:sz w:val="18"/>
          <w:szCs w:val="18"/>
          <w:color w:val="auto"/>
        </w:rPr>
      </w:pPr>
    </w:p>
    <w:p>
      <w:pPr>
        <w:ind w:left="260" w:hanging="252"/>
        <w:spacing w:after="0"/>
        <w:tabs>
          <w:tab w:leader="none" w:pos="2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earnings before or after discontinued operations, interest, taxes, depreciation and/or amortization;</w:t>
      </w:r>
    </w:p>
    <w:p>
      <w:pPr>
        <w:spacing w:after="0" w:line="225" w:lineRule="exact"/>
        <w:rPr>
          <w:rFonts w:ascii="Times New Roman" w:cs="Times New Roman" w:eastAsia="Times New Roman" w:hAnsi="Times New Roman"/>
          <w:sz w:val="18"/>
          <w:szCs w:val="18"/>
          <w:color w:val="auto"/>
        </w:rPr>
      </w:pPr>
    </w:p>
    <w:p>
      <w:pPr>
        <w:ind w:left="260" w:hanging="252"/>
        <w:spacing w:after="0"/>
        <w:tabs>
          <w:tab w:leader="none" w:pos="2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operating profit before or after discontinued operations and/or taxes,</w:t>
      </w:r>
    </w:p>
    <w:p>
      <w:pPr>
        <w:spacing w:after="0" w:line="225" w:lineRule="exact"/>
        <w:rPr>
          <w:rFonts w:ascii="Times New Roman" w:cs="Times New Roman" w:eastAsia="Times New Roman" w:hAnsi="Times New Roman"/>
          <w:sz w:val="18"/>
          <w:szCs w:val="18"/>
          <w:color w:val="auto"/>
        </w:rPr>
      </w:pPr>
    </w:p>
    <w:p>
      <w:pPr>
        <w:ind w:left="260" w:hanging="252"/>
        <w:spacing w:after="0"/>
        <w:tabs>
          <w:tab w:leader="none" w:pos="2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sales;</w:t>
      </w:r>
    </w:p>
    <w:p>
      <w:pPr>
        <w:spacing w:after="0" w:line="225" w:lineRule="exact"/>
        <w:rPr>
          <w:rFonts w:ascii="Times New Roman" w:cs="Times New Roman" w:eastAsia="Times New Roman" w:hAnsi="Times New Roman"/>
          <w:sz w:val="18"/>
          <w:szCs w:val="18"/>
          <w:color w:val="auto"/>
        </w:rPr>
      </w:pPr>
    </w:p>
    <w:p>
      <w:pPr>
        <w:ind w:left="260" w:hanging="252"/>
        <w:spacing w:after="0"/>
        <w:tabs>
          <w:tab w:leader="none" w:pos="2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sales growth;</w:t>
      </w:r>
    </w:p>
    <w:p>
      <w:pPr>
        <w:spacing w:after="0" w:line="225" w:lineRule="exact"/>
        <w:rPr>
          <w:rFonts w:ascii="Times New Roman" w:cs="Times New Roman" w:eastAsia="Times New Roman" w:hAnsi="Times New Roman"/>
          <w:sz w:val="18"/>
          <w:szCs w:val="18"/>
          <w:color w:val="auto"/>
        </w:rPr>
      </w:pPr>
    </w:p>
    <w:p>
      <w:pPr>
        <w:ind w:left="260" w:hanging="252"/>
        <w:spacing w:after="0"/>
        <w:tabs>
          <w:tab w:leader="none" w:pos="2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earnings growth;</w:t>
      </w:r>
    </w:p>
    <w:p>
      <w:pPr>
        <w:spacing w:after="0" w:line="225" w:lineRule="exact"/>
        <w:rPr>
          <w:rFonts w:ascii="Times New Roman" w:cs="Times New Roman" w:eastAsia="Times New Roman" w:hAnsi="Times New Roman"/>
          <w:sz w:val="18"/>
          <w:szCs w:val="18"/>
          <w:color w:val="auto"/>
        </w:rPr>
      </w:pPr>
    </w:p>
    <w:p>
      <w:pPr>
        <w:ind w:left="260" w:hanging="252"/>
        <w:spacing w:after="0"/>
        <w:tabs>
          <w:tab w:leader="none" w:pos="2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cash flow or cash position;</w:t>
      </w:r>
    </w:p>
    <w:p>
      <w:pPr>
        <w:spacing w:after="0" w:line="225" w:lineRule="exact"/>
        <w:rPr>
          <w:rFonts w:ascii="Times New Roman" w:cs="Times New Roman" w:eastAsia="Times New Roman" w:hAnsi="Times New Roman"/>
          <w:sz w:val="18"/>
          <w:szCs w:val="18"/>
          <w:color w:val="auto"/>
        </w:rPr>
      </w:pPr>
    </w:p>
    <w:p>
      <w:pPr>
        <w:ind w:left="260" w:hanging="252"/>
        <w:spacing w:after="0"/>
        <w:tabs>
          <w:tab w:leader="none" w:pos="2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gross margins;</w:t>
      </w:r>
    </w:p>
    <w:p>
      <w:pPr>
        <w:spacing w:after="0" w:line="225" w:lineRule="exact"/>
        <w:rPr>
          <w:rFonts w:ascii="Times New Roman" w:cs="Times New Roman" w:eastAsia="Times New Roman" w:hAnsi="Times New Roman"/>
          <w:sz w:val="18"/>
          <w:szCs w:val="18"/>
          <w:color w:val="auto"/>
        </w:rPr>
      </w:pPr>
    </w:p>
    <w:p>
      <w:pPr>
        <w:ind w:left="260" w:hanging="252"/>
        <w:spacing w:after="0"/>
        <w:tabs>
          <w:tab w:leader="none" w:pos="2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stock price;</w:t>
      </w:r>
    </w:p>
    <w:p>
      <w:pPr>
        <w:spacing w:after="0" w:line="225" w:lineRule="exact"/>
        <w:rPr>
          <w:rFonts w:ascii="Times New Roman" w:cs="Times New Roman" w:eastAsia="Times New Roman" w:hAnsi="Times New Roman"/>
          <w:sz w:val="18"/>
          <w:szCs w:val="18"/>
          <w:color w:val="auto"/>
        </w:rPr>
      </w:pPr>
    </w:p>
    <w:p>
      <w:pPr>
        <w:ind w:left="360" w:hanging="352"/>
        <w:spacing w:after="0"/>
        <w:tabs>
          <w:tab w:leader="none" w:pos="3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market share;</w:t>
      </w:r>
    </w:p>
    <w:p>
      <w:pPr>
        <w:spacing w:after="0" w:line="225" w:lineRule="exact"/>
        <w:rPr>
          <w:rFonts w:ascii="Times New Roman" w:cs="Times New Roman" w:eastAsia="Times New Roman" w:hAnsi="Times New Roman"/>
          <w:sz w:val="18"/>
          <w:szCs w:val="18"/>
          <w:color w:val="auto"/>
        </w:rPr>
      </w:pPr>
    </w:p>
    <w:p>
      <w:pPr>
        <w:ind w:left="360" w:hanging="352"/>
        <w:spacing w:after="0"/>
        <w:tabs>
          <w:tab w:leader="none" w:pos="3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return on sales, assets, equity or investment;</w:t>
      </w:r>
    </w:p>
    <w:p>
      <w:pPr>
        <w:spacing w:after="0" w:line="225" w:lineRule="exact"/>
        <w:rPr>
          <w:rFonts w:ascii="Times New Roman" w:cs="Times New Roman" w:eastAsia="Times New Roman" w:hAnsi="Times New Roman"/>
          <w:sz w:val="18"/>
          <w:szCs w:val="18"/>
          <w:color w:val="auto"/>
        </w:rPr>
      </w:pPr>
    </w:p>
    <w:p>
      <w:pPr>
        <w:ind w:left="360" w:hanging="352"/>
        <w:spacing w:after="0"/>
        <w:tabs>
          <w:tab w:leader="none" w:pos="3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improvement of financial ratings;</w:t>
      </w:r>
    </w:p>
    <w:p>
      <w:pPr>
        <w:spacing w:after="0" w:line="225" w:lineRule="exact"/>
        <w:rPr>
          <w:rFonts w:ascii="Times New Roman" w:cs="Times New Roman" w:eastAsia="Times New Roman" w:hAnsi="Times New Roman"/>
          <w:sz w:val="18"/>
          <w:szCs w:val="18"/>
          <w:color w:val="auto"/>
        </w:rPr>
      </w:pPr>
    </w:p>
    <w:p>
      <w:pPr>
        <w:ind w:left="360" w:hanging="352"/>
        <w:spacing w:after="0"/>
        <w:tabs>
          <w:tab w:leader="none" w:pos="3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achievement of balance sheet or income statement objectives;</w:t>
      </w:r>
    </w:p>
    <w:p>
      <w:pPr>
        <w:spacing w:after="0" w:line="225" w:lineRule="exact"/>
        <w:rPr>
          <w:rFonts w:ascii="Times New Roman" w:cs="Times New Roman" w:eastAsia="Times New Roman" w:hAnsi="Times New Roman"/>
          <w:sz w:val="18"/>
          <w:szCs w:val="18"/>
          <w:color w:val="auto"/>
        </w:rPr>
      </w:pPr>
    </w:p>
    <w:p>
      <w:pPr>
        <w:ind w:left="360" w:hanging="352"/>
        <w:spacing w:after="0"/>
        <w:tabs>
          <w:tab w:leader="none" w:pos="3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total stockholder return; or</w:t>
      </w:r>
    </w:p>
    <w:p>
      <w:pPr>
        <w:spacing w:after="0" w:line="225" w:lineRule="exact"/>
        <w:rPr>
          <w:rFonts w:ascii="Times New Roman" w:cs="Times New Roman" w:eastAsia="Times New Roman" w:hAnsi="Times New Roman"/>
          <w:sz w:val="18"/>
          <w:szCs w:val="18"/>
          <w:color w:val="auto"/>
        </w:rPr>
      </w:pPr>
    </w:p>
    <w:p>
      <w:pPr>
        <w:ind w:left="360" w:hanging="352"/>
        <w:spacing w:after="0"/>
        <w:tabs>
          <w:tab w:leader="none" w:pos="360"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other metric determined by the Board.</w:t>
      </w:r>
    </w:p>
    <w:p>
      <w:pPr>
        <w:spacing w:after="0" w:line="225" w:lineRule="exact"/>
        <w:rPr>
          <w:sz w:val="20"/>
          <w:szCs w:val="20"/>
          <w:color w:val="auto"/>
        </w:rPr>
      </w:pPr>
    </w:p>
    <w:p>
      <w:pPr>
        <w:ind w:right="40"/>
        <w:spacing w:after="0" w:line="261" w:lineRule="auto"/>
        <w:rPr>
          <w:sz w:val="20"/>
          <w:szCs w:val="20"/>
          <w:color w:val="auto"/>
        </w:rPr>
      </w:pPr>
      <w:r>
        <w:rPr>
          <w:rFonts w:ascii="Times New Roman" w:cs="Times New Roman" w:eastAsia="Times New Roman" w:hAnsi="Times New Roman"/>
          <w:sz w:val="18"/>
          <w:szCs w:val="18"/>
          <w:color w:val="auto"/>
        </w:rPr>
        <w:t>Such goals may reflect absolute entity or business unit performance or a relative comparison to the performance of a peer group of entities or other external measure of the selected performance criteria and may be absolute in their terms or measured against or in relationship to other companies comparably, similarly or otherwise situated. The Board may specify that such performance measures shall be adjusted to exclude any one or more of: i. extraordinary items;</w:t>
      </w:r>
    </w:p>
    <w:p>
      <w:pPr>
        <w:spacing w:after="0" w:line="180" w:lineRule="exact"/>
        <w:rPr>
          <w:sz w:val="20"/>
          <w:szCs w:val="20"/>
          <w:color w:val="auto"/>
        </w:rPr>
      </w:pPr>
    </w:p>
    <w:p>
      <w:pPr>
        <w:ind w:left="200" w:hanging="192"/>
        <w:spacing w:after="0"/>
        <w:tabs>
          <w:tab w:leader="none" w:pos="200" w:val="left"/>
        </w:tabs>
        <w:numPr>
          <w:ilvl w:val="0"/>
          <w:numId w:val="1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gains or losses on the dispositions of discontinued operations;</w:t>
      </w:r>
    </w:p>
    <w:p>
      <w:pPr>
        <w:spacing w:after="0" w:line="225" w:lineRule="exact"/>
        <w:rPr>
          <w:rFonts w:ascii="Times New Roman" w:cs="Times New Roman" w:eastAsia="Times New Roman" w:hAnsi="Times New Roman"/>
          <w:sz w:val="18"/>
          <w:szCs w:val="18"/>
          <w:color w:val="auto"/>
        </w:rPr>
      </w:pPr>
    </w:p>
    <w:p>
      <w:pPr>
        <w:ind w:left="240" w:hanging="232"/>
        <w:spacing w:after="0"/>
        <w:tabs>
          <w:tab w:leader="none" w:pos="240" w:val="left"/>
        </w:tabs>
        <w:numPr>
          <w:ilvl w:val="0"/>
          <w:numId w:val="1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cumulative effects of changes in accounting principles;</w:t>
      </w:r>
    </w:p>
    <w:p>
      <w:pPr>
        <w:spacing w:after="0" w:line="225" w:lineRule="exact"/>
        <w:rPr>
          <w:rFonts w:ascii="Times New Roman" w:cs="Times New Roman" w:eastAsia="Times New Roman" w:hAnsi="Times New Roman"/>
          <w:sz w:val="18"/>
          <w:szCs w:val="18"/>
          <w:color w:val="auto"/>
        </w:rPr>
      </w:pPr>
    </w:p>
    <w:p>
      <w:pPr>
        <w:ind w:left="240" w:hanging="232"/>
        <w:spacing w:after="0"/>
        <w:tabs>
          <w:tab w:leader="none" w:pos="240" w:val="left"/>
        </w:tabs>
        <w:numPr>
          <w:ilvl w:val="0"/>
          <w:numId w:val="1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writedown of any asset;</w:t>
      </w:r>
    </w:p>
    <w:p>
      <w:pPr>
        <w:spacing w:after="0" w:line="225" w:lineRule="exact"/>
        <w:rPr>
          <w:rFonts w:ascii="Times New Roman" w:cs="Times New Roman" w:eastAsia="Times New Roman" w:hAnsi="Times New Roman"/>
          <w:sz w:val="18"/>
          <w:szCs w:val="18"/>
          <w:color w:val="auto"/>
        </w:rPr>
      </w:pPr>
    </w:p>
    <w:p>
      <w:pPr>
        <w:ind w:left="180" w:hanging="172"/>
        <w:spacing w:after="0"/>
        <w:tabs>
          <w:tab w:leader="none" w:pos="180" w:val="left"/>
        </w:tabs>
        <w:numPr>
          <w:ilvl w:val="0"/>
          <w:numId w:val="1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fluctuation in foreign currency exchange rates;</w:t>
      </w:r>
    </w:p>
    <w:p>
      <w:pPr>
        <w:spacing w:after="0" w:line="225" w:lineRule="exact"/>
        <w:rPr>
          <w:rFonts w:ascii="Times New Roman" w:cs="Times New Roman" w:eastAsia="Times New Roman" w:hAnsi="Times New Roman"/>
          <w:sz w:val="18"/>
          <w:szCs w:val="18"/>
          <w:color w:val="auto"/>
        </w:rPr>
      </w:pPr>
    </w:p>
    <w:p>
      <w:pPr>
        <w:ind w:left="240" w:hanging="232"/>
        <w:spacing w:after="0"/>
        <w:tabs>
          <w:tab w:leader="none" w:pos="240" w:val="left"/>
        </w:tabs>
        <w:numPr>
          <w:ilvl w:val="0"/>
          <w:numId w:val="1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charges for restructuring and rationalization programs;</w:t>
      </w:r>
    </w:p>
    <w:p>
      <w:pPr>
        <w:spacing w:after="0" w:line="225" w:lineRule="exact"/>
        <w:rPr>
          <w:rFonts w:ascii="Times New Roman" w:cs="Times New Roman" w:eastAsia="Times New Roman" w:hAnsi="Times New Roman"/>
          <w:sz w:val="18"/>
          <w:szCs w:val="18"/>
          <w:color w:val="auto"/>
        </w:rPr>
      </w:pPr>
    </w:p>
    <w:p>
      <w:pPr>
        <w:ind w:left="280" w:hanging="272"/>
        <w:spacing w:after="0"/>
        <w:tabs>
          <w:tab w:leader="none" w:pos="280" w:val="left"/>
        </w:tabs>
        <w:numPr>
          <w:ilvl w:val="0"/>
          <w:numId w:val="1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non-cash, mark-to-market adjustments on derivative instruments;</w:t>
      </w:r>
    </w:p>
    <w:p>
      <w:pPr>
        <w:spacing w:after="0" w:line="225" w:lineRule="exact"/>
        <w:rPr>
          <w:rFonts w:ascii="Times New Roman" w:cs="Times New Roman" w:eastAsia="Times New Roman" w:hAnsi="Times New Roman"/>
          <w:sz w:val="18"/>
          <w:szCs w:val="18"/>
          <w:color w:val="auto"/>
        </w:rPr>
      </w:pPr>
    </w:p>
    <w:p>
      <w:pPr>
        <w:ind w:left="340" w:hanging="332"/>
        <w:spacing w:after="0"/>
        <w:tabs>
          <w:tab w:leader="none" w:pos="340" w:val="left"/>
        </w:tabs>
        <w:numPr>
          <w:ilvl w:val="0"/>
          <w:numId w:val="1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amortization of purchased intangibles;</w:t>
      </w:r>
    </w:p>
    <w:p>
      <w:pPr>
        <w:spacing w:after="0" w:line="225" w:lineRule="exact"/>
        <w:rPr>
          <w:rFonts w:ascii="Times New Roman" w:cs="Times New Roman" w:eastAsia="Times New Roman" w:hAnsi="Times New Roman"/>
          <w:sz w:val="18"/>
          <w:szCs w:val="18"/>
          <w:color w:val="auto"/>
        </w:rPr>
      </w:pPr>
    </w:p>
    <w:p>
      <w:pPr>
        <w:ind w:left="240" w:hanging="232"/>
        <w:spacing w:after="0"/>
        <w:tabs>
          <w:tab w:leader="none" w:pos="240" w:val="left"/>
        </w:tabs>
        <w:numPr>
          <w:ilvl w:val="0"/>
          <w:numId w:val="1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net impact of tax rate changes;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895985</wp:posOffset>
            </wp:positionV>
            <wp:extent cx="7157720" cy="42545"/>
            <wp:wrapNone/>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72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7" w:right="339" w:bottom="1440" w:gutter="0" w:footer="0" w:header="0"/>
        </w:sectPr>
      </w:pPr>
    </w:p>
    <w:bookmarkStart w:id="171" w:name="page172"/>
    <w:bookmarkEnd w:id="171"/>
    <w:p>
      <w:pPr>
        <w:spacing w:after="0" w:line="19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x. non-cash asset impairment charges; and</w:t>
      </w:r>
    </w:p>
    <w:p>
      <w:pPr>
        <w:spacing w:after="0" w:line="225" w:lineRule="exact"/>
        <w:rPr>
          <w:sz w:val="20"/>
          <w:szCs w:val="20"/>
          <w:color w:val="auto"/>
        </w:rPr>
      </w:pPr>
    </w:p>
    <w:p>
      <w:pPr>
        <w:ind w:right="7680" w:firstLine="8"/>
        <w:spacing w:after="0" w:line="500" w:lineRule="auto"/>
        <w:tabs>
          <w:tab w:leader="none" w:pos="230" w:val="left"/>
        </w:tabs>
        <w:numPr>
          <w:ilvl w:val="0"/>
          <w:numId w:val="1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other factors as the Board may determine. Such performance measures:</w:t>
      </w:r>
    </w:p>
    <w:p>
      <w:pPr>
        <w:spacing w:after="0" w:line="1"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may vary by Participant and may be different for different Awards;</w:t>
      </w:r>
    </w:p>
    <w:p>
      <w:pPr>
        <w:spacing w:after="0" w:line="225" w:lineRule="exact"/>
        <w:rPr>
          <w:sz w:val="20"/>
          <w:szCs w:val="20"/>
          <w:color w:val="auto"/>
        </w:rPr>
      </w:pPr>
    </w:p>
    <w:p>
      <w:pPr>
        <w:ind w:right="60" w:firstLine="8"/>
        <w:spacing w:after="0" w:line="282" w:lineRule="auto"/>
        <w:tabs>
          <w:tab w:leader="none" w:pos="195" w:val="left"/>
        </w:tabs>
        <w:numPr>
          <w:ilvl w:val="0"/>
          <w:numId w:val="1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may be particular to a Participant or the department, branch, line of business, subsidiary or other unit in which the Participant works and may cover such period as may be specified by the Board; and</w:t>
      </w:r>
    </w:p>
    <w:p>
      <w:pPr>
        <w:spacing w:after="0" w:line="161" w:lineRule="exact"/>
        <w:rPr>
          <w:rFonts w:ascii="Times New Roman" w:cs="Times New Roman" w:eastAsia="Times New Roman" w:hAnsi="Times New Roman"/>
          <w:sz w:val="18"/>
          <w:szCs w:val="18"/>
          <w:color w:val="auto"/>
        </w:rPr>
      </w:pPr>
    </w:p>
    <w:p>
      <w:pPr>
        <w:ind w:left="200" w:hanging="192"/>
        <w:spacing w:after="0"/>
        <w:tabs>
          <w:tab w:leader="none" w:pos="200" w:val="left"/>
        </w:tabs>
        <w:numPr>
          <w:ilvl w:val="0"/>
          <w:numId w:val="1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may cover such period as may be specified by the Board.</w:t>
      </w:r>
    </w:p>
    <w:p>
      <w:pPr>
        <w:spacing w:after="0" w:line="225" w:lineRule="exact"/>
        <w:rPr>
          <w:sz w:val="20"/>
          <w:szCs w:val="20"/>
          <w:color w:val="auto"/>
        </w:rPr>
      </w:pPr>
    </w:p>
    <w:p>
      <w:pPr>
        <w:ind w:right="120"/>
        <w:spacing w:after="0" w:line="261" w:lineRule="auto"/>
        <w:rPr>
          <w:sz w:val="20"/>
          <w:szCs w:val="20"/>
          <w:color w:val="auto"/>
        </w:rPr>
      </w:pPr>
      <w:r>
        <w:rPr>
          <w:rFonts w:ascii="Times New Roman" w:cs="Times New Roman" w:eastAsia="Times New Roman" w:hAnsi="Times New Roman"/>
          <w:sz w:val="18"/>
          <w:szCs w:val="18"/>
          <w:color w:val="auto"/>
        </w:rPr>
        <w:t>The Board shall have the authority to make equitable adjustments to the performance goals in recognition of unusual or non-recurring events affecting the Company or the financial statements of the Company, in response to changes in applicable laws or regulations or to account for items of gain, loss or expense determined to be extraordinary or unusual in nature or infrequent in occurrence or related to the disposal of a segment of a business or related to a change in accounting principles.</w:t>
      </w:r>
    </w:p>
    <w:p>
      <w:pPr>
        <w:spacing w:after="0" w:line="180" w:lineRule="exact"/>
        <w:rPr>
          <w:sz w:val="20"/>
          <w:szCs w:val="20"/>
          <w:color w:val="auto"/>
        </w:rPr>
      </w:pPr>
    </w:p>
    <w:p>
      <w:pPr>
        <w:ind w:firstLine="857"/>
        <w:spacing w:after="0" w:line="282" w:lineRule="auto"/>
        <w:tabs>
          <w:tab w:leader="none" w:pos="1093" w:val="left"/>
        </w:tabs>
        <w:numPr>
          <w:ilvl w:val="1"/>
          <w:numId w:val="1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Adjustments</w:t>
      </w:r>
      <w:r>
        <w:rPr>
          <w:rFonts w:ascii="Times New Roman" w:cs="Times New Roman" w:eastAsia="Times New Roman" w:hAnsi="Times New Roman"/>
          <w:sz w:val="18"/>
          <w:szCs w:val="18"/>
          <w:color w:val="auto"/>
        </w:rPr>
        <w:t>. The Board may adjust the cash or number of shares payable pursuant to such Performance Award, and the Board may, at any time, waive the achievement of the applicable performance measures.</w:t>
      </w:r>
    </w:p>
    <w:p>
      <w:pPr>
        <w:spacing w:after="0" w:line="161" w:lineRule="exact"/>
        <w:rPr>
          <w:rFonts w:ascii="Times New Roman" w:cs="Times New Roman" w:eastAsia="Times New Roman" w:hAnsi="Times New Roman"/>
          <w:sz w:val="18"/>
          <w:szCs w:val="18"/>
          <w:color w:val="auto"/>
        </w:rPr>
      </w:pPr>
    </w:p>
    <w:p>
      <w:pPr>
        <w:jc w:val="both"/>
        <w:ind w:firstLine="857"/>
        <w:spacing w:after="0" w:line="261" w:lineRule="auto"/>
        <w:tabs>
          <w:tab w:leader="none" w:pos="1131" w:val="left"/>
        </w:tabs>
        <w:numPr>
          <w:ilvl w:val="1"/>
          <w:numId w:val="1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Dividends; Dividend Equivalents</w:t>
      </w:r>
      <w:r>
        <w:rPr>
          <w:rFonts w:ascii="Times New Roman" w:cs="Times New Roman" w:eastAsia="Times New Roman" w:hAnsi="Times New Roman"/>
          <w:sz w:val="18"/>
          <w:szCs w:val="18"/>
          <w:color w:val="auto"/>
        </w:rPr>
        <w:t>. Notwithstanding its designation as a Performance Award, no Option or SAR shall provide for the payment or accrual of dividend equivalents in accordance with Sections 5(i) and 6(g), as applicable, any dividends declared and paid by the Company with respect to shares of Restricted Stock shall be subject to Section 7(c)(i), and any right to receive Dividend Equivalents on an award of RSUs and Other Stock-Based Awards shall be subject to Sections 7(d)(iii) and 8(c), as applicable.</w:t>
      </w:r>
    </w:p>
    <w:p>
      <w:pPr>
        <w:spacing w:after="0" w:line="179" w:lineRule="exact"/>
        <w:rPr>
          <w:rFonts w:ascii="Times New Roman" w:cs="Times New Roman" w:eastAsia="Times New Roman" w:hAnsi="Times New Roman"/>
          <w:sz w:val="18"/>
          <w:szCs w:val="18"/>
          <w:color w:val="auto"/>
        </w:rPr>
      </w:pPr>
    </w:p>
    <w:p>
      <w:pPr>
        <w:ind w:left="280" w:hanging="272"/>
        <w:spacing w:after="0"/>
        <w:tabs>
          <w:tab w:leader="none" w:pos="280" w:val="left"/>
        </w:tabs>
        <w:numPr>
          <w:ilvl w:val="0"/>
          <w:numId w:val="1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Adjustments for Changes in Common Stock and Certain Other Events</w:t>
      </w:r>
    </w:p>
    <w:p>
      <w:pPr>
        <w:spacing w:after="0" w:line="225" w:lineRule="exact"/>
        <w:rPr>
          <w:rFonts w:ascii="Times New Roman" w:cs="Times New Roman" w:eastAsia="Times New Roman" w:hAnsi="Times New Roman"/>
          <w:sz w:val="18"/>
          <w:szCs w:val="18"/>
          <w:color w:val="auto"/>
        </w:rPr>
      </w:pPr>
    </w:p>
    <w:p>
      <w:pPr>
        <w:jc w:val="both"/>
        <w:ind w:firstLine="857"/>
        <w:spacing w:after="0" w:line="253" w:lineRule="auto"/>
        <w:tabs>
          <w:tab w:leader="none" w:pos="1120" w:val="left"/>
        </w:tabs>
        <w:numPr>
          <w:ilvl w:val="1"/>
          <w:numId w:val="1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Changes in Capitalization</w:t>
      </w:r>
      <w:r>
        <w:rPr>
          <w:rFonts w:ascii="Times New Roman" w:cs="Times New Roman" w:eastAsia="Times New Roman" w:hAnsi="Times New Roman"/>
          <w:sz w:val="18"/>
          <w:szCs w:val="18"/>
          <w:color w:val="auto"/>
        </w:rPr>
        <w:t>. In the event of any stock split, reverse stock split, stock dividend, recapitalization, combination of shares, reclassification of shares, spin-off or other similar change in capitalization or event, or any dividend or distribution to holders of Common Stock other than an ordinary cash dividend, (i) the number and class of securities available under the Plan, (ii) the share counting rules, (iii) the number and class of securities and exercise price per share of each outstanding Option, (iv) the share and per-share provisions and the measurement price of each outstanding SAR, (v) the number of shares subject to and the repurchase price per share subject to each outstanding award of Restricted Stock and (vi) the share and per-share-related provisions and the purchase price, if any, of each outstanding RSU and each Other Stock-Based Award, shall be equitably adjusted by the Company (or substituted Awards may be made, if applicable) in the manner determined by the Board. Without limiting the generality of the foregoing, in the event the Company effects a split of the Common Stock by means of a stock dividend and the exercise price of and the number of shares subject to an outstanding Option are adjusted as of the date of the distribution of the dividend (rather than as of the record date for such dividend), then an optionee who exercises an Option between the record date and the distribution date for such stock dividend shall be entitled to receive, on the distribution date, the stock dividend with respect to the shares of Common Stock acquired upon such Option exercise, notwithstanding the fact that such shares were not outstanding as of the close of business on the record date for such stock dividend.</w:t>
      </w:r>
    </w:p>
    <w:p>
      <w:pPr>
        <w:spacing w:after="0" w:line="189" w:lineRule="exact"/>
        <w:rPr>
          <w:rFonts w:ascii="Times New Roman" w:cs="Times New Roman" w:eastAsia="Times New Roman" w:hAnsi="Times New Roman"/>
          <w:sz w:val="18"/>
          <w:szCs w:val="18"/>
          <w:color w:val="auto"/>
        </w:rPr>
      </w:pPr>
    </w:p>
    <w:p>
      <w:pPr>
        <w:ind w:left="1120" w:hanging="263"/>
        <w:spacing w:after="0"/>
        <w:tabs>
          <w:tab w:leader="none" w:pos="1120" w:val="left"/>
        </w:tabs>
        <w:numPr>
          <w:ilvl w:val="1"/>
          <w:numId w:val="1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Reorganization Events</w:t>
      </w:r>
      <w:r>
        <w:rPr>
          <w:rFonts w:ascii="Times New Roman" w:cs="Times New Roman" w:eastAsia="Times New Roman" w:hAnsi="Times New Roman"/>
          <w:sz w:val="18"/>
          <w:szCs w:val="18"/>
          <w:color w:val="auto"/>
        </w:rPr>
        <w:t>.</w:t>
      </w:r>
    </w:p>
    <w:p>
      <w:pPr>
        <w:spacing w:after="0" w:line="221" w:lineRule="exact"/>
        <w:rPr>
          <w:rFonts w:ascii="Times New Roman" w:cs="Times New Roman" w:eastAsia="Times New Roman" w:hAnsi="Times New Roman"/>
          <w:sz w:val="18"/>
          <w:szCs w:val="18"/>
          <w:color w:val="auto"/>
        </w:rPr>
      </w:pPr>
    </w:p>
    <w:p>
      <w:pPr>
        <w:jc w:val="both"/>
        <w:ind w:firstLine="1705"/>
        <w:spacing w:after="0" w:line="262" w:lineRule="auto"/>
        <w:tabs>
          <w:tab w:leader="none" w:pos="1912" w:val="left"/>
        </w:tabs>
        <w:numPr>
          <w:ilvl w:val="2"/>
          <w:numId w:val="1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Definition</w:t>
      </w:r>
      <w:r>
        <w:rPr>
          <w:rFonts w:ascii="Times New Roman" w:cs="Times New Roman" w:eastAsia="Times New Roman" w:hAnsi="Times New Roman"/>
          <w:sz w:val="18"/>
          <w:szCs w:val="18"/>
          <w:color w:val="auto"/>
        </w:rPr>
        <w:t>. A “</w:t>
      </w:r>
      <w:r>
        <w:rPr>
          <w:rFonts w:ascii="Times New Roman" w:cs="Times New Roman" w:eastAsia="Times New Roman" w:hAnsi="Times New Roman"/>
          <w:sz w:val="18"/>
          <w:szCs w:val="18"/>
          <w:b w:val="1"/>
          <w:bCs w:val="1"/>
          <w:i w:val="1"/>
          <w:iCs w:val="1"/>
          <w:color w:val="auto"/>
        </w:rPr>
        <w:t>Reorganization Event</w:t>
      </w:r>
      <w:r>
        <w:rPr>
          <w:rFonts w:ascii="Times New Roman" w:cs="Times New Roman" w:eastAsia="Times New Roman" w:hAnsi="Times New Roman"/>
          <w:sz w:val="18"/>
          <w:szCs w:val="18"/>
          <w:color w:val="auto"/>
        </w:rPr>
        <w:t>” shall mean: (a) any merger or consolidation of the Company with or into another entity as a result of which all of the Common Stock of the Company is converted into or exchanged for the right to receive cash, securities or other property or is canceled, (b) any transfer or disposition of all of the Common Stock of the Company for cash, securities or other property pursuant to a share exchange or other transaction or (c) any liquidation or dissolution of the Company.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868045</wp:posOffset>
            </wp:positionV>
            <wp:extent cx="7157720" cy="42545"/>
            <wp:wrapNone/>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72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72" w:name="page173"/>
    <w:bookmarkEnd w:id="172"/>
    <w:p>
      <w:pPr>
        <w:spacing w:after="0" w:line="194" w:lineRule="exact"/>
        <w:rPr>
          <w:sz w:val="20"/>
          <w:szCs w:val="20"/>
          <w:color w:val="auto"/>
        </w:rPr>
      </w:pPr>
    </w:p>
    <w:p>
      <w:pPr>
        <w:ind w:left="1960" w:hanging="255"/>
        <w:spacing w:after="0"/>
        <w:tabs>
          <w:tab w:leader="none" w:pos="1960" w:val="left"/>
        </w:tabs>
        <w:numPr>
          <w:ilvl w:val="1"/>
          <w:numId w:val="1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Consequences of a Reorganization Event on Awards Other than Restricted Stock</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right="20" w:firstLine="2554"/>
        <w:spacing w:after="0" w:line="266" w:lineRule="auto"/>
        <w:tabs>
          <w:tab w:leader="none" w:pos="2842" w:val="left"/>
        </w:tabs>
        <w:numPr>
          <w:ilvl w:val="2"/>
          <w:numId w:val="1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connection with a Reorganization Event, the Board may take any one or more of the following actions as to all or any (or any portion of) outstanding Awards other than Restricted Stock on such terms as the Board determines (except to the extent specifically provided otherwise in an applicable Award agreement or another agreement between the Company and the Participant):</w:t>
      </w:r>
    </w:p>
    <w:p>
      <w:pPr>
        <w:spacing w:after="0" w:line="175" w:lineRule="exact"/>
        <w:rPr>
          <w:rFonts w:ascii="Times New Roman" w:cs="Times New Roman" w:eastAsia="Times New Roman" w:hAnsi="Times New Roman"/>
          <w:sz w:val="18"/>
          <w:szCs w:val="18"/>
          <w:color w:val="auto"/>
        </w:rPr>
      </w:pPr>
    </w:p>
    <w:p>
      <w:pPr>
        <w:ind w:right="320" w:firstLine="8"/>
        <w:spacing w:after="0" w:line="282" w:lineRule="auto"/>
        <w:tabs>
          <w:tab w:leader="none" w:pos="140" w:val="left"/>
        </w:tabs>
        <w:numPr>
          <w:ilvl w:val="0"/>
          <w:numId w:val="1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provide that such Awards shall be assumed, or substantially equivalent Awards shall be substituted, by the acquiring or succeeding corporation (or an affiliate thereof);</w:t>
      </w:r>
    </w:p>
    <w:p>
      <w:pPr>
        <w:spacing w:after="0" w:line="161" w:lineRule="exact"/>
        <w:rPr>
          <w:rFonts w:ascii="Times New Roman" w:cs="Times New Roman" w:eastAsia="Times New Roman" w:hAnsi="Times New Roman"/>
          <w:sz w:val="18"/>
          <w:szCs w:val="18"/>
          <w:color w:val="auto"/>
        </w:rPr>
      </w:pPr>
    </w:p>
    <w:p>
      <w:pPr>
        <w:ind w:right="340" w:firstLine="8"/>
        <w:spacing w:after="0" w:line="266" w:lineRule="auto"/>
        <w:tabs>
          <w:tab w:leader="none" w:pos="190" w:val="left"/>
        </w:tabs>
        <w:numPr>
          <w:ilvl w:val="0"/>
          <w:numId w:val="1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written notice to a Participant, provide that all of the Participant’s unvested Awards will be forfeited immediately prior to the consummation of such Reorganization Event and/ or that all of the Participant’s unexercised Awards will terminate immediately prior to the consummation of such Reorganization Event unless exercised by the Participant (to the extent then exercisable) within a specified period following the date of such notice;</w:t>
      </w:r>
    </w:p>
    <w:p>
      <w:pPr>
        <w:spacing w:after="0" w:line="175" w:lineRule="exact"/>
        <w:rPr>
          <w:rFonts w:ascii="Times New Roman" w:cs="Times New Roman" w:eastAsia="Times New Roman" w:hAnsi="Times New Roman"/>
          <w:sz w:val="18"/>
          <w:szCs w:val="18"/>
          <w:color w:val="auto"/>
        </w:rPr>
      </w:pPr>
    </w:p>
    <w:p>
      <w:pPr>
        <w:ind w:right="260" w:firstLine="8"/>
        <w:spacing w:after="0" w:line="282" w:lineRule="auto"/>
        <w:tabs>
          <w:tab w:leader="none" w:pos="240" w:val="left"/>
        </w:tabs>
        <w:numPr>
          <w:ilvl w:val="0"/>
          <w:numId w:val="1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provide that outstanding Awards shall become exercisable, realizable or deliverable, or restrictions applicable to an Award shall lapse, in whole or in part prior to or upon such Reorganization Event;</w:t>
      </w:r>
    </w:p>
    <w:p>
      <w:pPr>
        <w:spacing w:after="0" w:line="161" w:lineRule="exact"/>
        <w:rPr>
          <w:rFonts w:ascii="Times New Roman" w:cs="Times New Roman" w:eastAsia="Times New Roman" w:hAnsi="Times New Roman"/>
          <w:sz w:val="18"/>
          <w:szCs w:val="18"/>
          <w:color w:val="auto"/>
        </w:rPr>
      </w:pPr>
    </w:p>
    <w:p>
      <w:pPr>
        <w:ind w:firstLine="8"/>
        <w:spacing w:after="0" w:line="255" w:lineRule="auto"/>
        <w:tabs>
          <w:tab w:leader="none" w:pos="230" w:val="left"/>
        </w:tabs>
        <w:numPr>
          <w:ilvl w:val="0"/>
          <w:numId w:val="1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event of a Reorganization Event under the terms of which holders of Common Stock will receive upon consummation thereof a cash payment for each share surrendered in the Reorganization Event (the “Acquisition Price”), make or provide for a cash payment to Participants with respect to each Award held by a Participant equal to (A) the number of shares of Common Stock subject to the vested portion of the Award (after giving effect to any acceleration of vesting that occurs upon or immediately prior to such Reorganization Event) multiplied by (B) the excess, if any, of (I) the Acquisition Price over (II) the exercise, measurement or purchase price of such Award and any applicable tax withholdings, in exchange for the termination of such Award, provided, that if the Acquisition Price per share (as determined by the Board) does not exceed the exercise price of such Award, then the Award shall be canceled without any payment of consideration therefor;</w:t>
      </w:r>
    </w:p>
    <w:p>
      <w:pPr>
        <w:spacing w:after="0" w:line="188" w:lineRule="exact"/>
        <w:rPr>
          <w:rFonts w:ascii="Times New Roman" w:cs="Times New Roman" w:eastAsia="Times New Roman" w:hAnsi="Times New Roman"/>
          <w:sz w:val="18"/>
          <w:szCs w:val="18"/>
          <w:color w:val="auto"/>
        </w:rPr>
      </w:pPr>
    </w:p>
    <w:p>
      <w:pPr>
        <w:ind w:right="500" w:firstLine="8"/>
        <w:spacing w:after="0" w:line="282" w:lineRule="auto"/>
        <w:tabs>
          <w:tab w:leader="none" w:pos="180" w:val="left"/>
        </w:tabs>
        <w:numPr>
          <w:ilvl w:val="0"/>
          <w:numId w:val="1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provide that, in connection with a liquidation or dissolution of the Company, Awards shall convert into the right to receive liquidation proceeds (if applicable, net of the exercise, measurement or purchase price thereof and any applicable tax withholdings); and</w:t>
      </w:r>
    </w:p>
    <w:p>
      <w:pPr>
        <w:spacing w:after="0" w:line="161" w:lineRule="exact"/>
        <w:rPr>
          <w:rFonts w:ascii="Times New Roman" w:cs="Times New Roman" w:eastAsia="Times New Roman" w:hAnsi="Times New Roman"/>
          <w:sz w:val="18"/>
          <w:szCs w:val="18"/>
          <w:color w:val="auto"/>
        </w:rPr>
      </w:pPr>
    </w:p>
    <w:p>
      <w:pPr>
        <w:ind w:left="240" w:hanging="232"/>
        <w:spacing w:after="0"/>
        <w:tabs>
          <w:tab w:leader="none" w:pos="240" w:val="left"/>
        </w:tabs>
        <w:numPr>
          <w:ilvl w:val="0"/>
          <w:numId w:val="1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combination of the foregoing.</w:t>
      </w:r>
    </w:p>
    <w:p>
      <w:pPr>
        <w:spacing w:after="0" w:line="225"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In taking any of the actions permitted under this Section 10(b)(ii)(A), the Board shall not be obligated by the Plan to treat all Awards, all Awards held by a Participant, or all Awards of the same type, identically.</w:t>
      </w:r>
    </w:p>
    <w:p>
      <w:pPr>
        <w:spacing w:after="0" w:line="162" w:lineRule="exact"/>
        <w:rPr>
          <w:sz w:val="20"/>
          <w:szCs w:val="20"/>
          <w:color w:val="auto"/>
        </w:rPr>
      </w:pPr>
    </w:p>
    <w:p>
      <w:pPr>
        <w:jc w:val="both"/>
        <w:ind w:firstLine="2554"/>
        <w:spacing w:after="0" w:line="255" w:lineRule="auto"/>
        <w:tabs>
          <w:tab w:leader="none" w:pos="2850" w:val="left"/>
        </w:tabs>
        <w:numPr>
          <w:ilvl w:val="1"/>
          <w:numId w:val="1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the terms of Section 10(b)(ii)(A)(i), in the case of outstanding RSUs that are subject to Section 409A: (i) if the applicable RSU agreement provides that the RSUs shall be settled upon a “change in control event” within the meaning of Treasury Regulation Section 1.409A-3(i)(5)(i), and the Reorganization Event constitutes such a “change in control event”, then no assumption or substitution shall be permitted pursuant to Section 10(b)(ii)(A)(i) and the RSUs shall instead be settled in accordance with the terms of the applicable RSU agreement; and</w:t>
      </w:r>
    </w:p>
    <w:p>
      <w:pPr>
        <w:spacing w:after="0" w:line="2" w:lineRule="exact"/>
        <w:rPr>
          <w:rFonts w:ascii="Times New Roman" w:cs="Times New Roman" w:eastAsia="Times New Roman" w:hAnsi="Times New Roman"/>
          <w:sz w:val="18"/>
          <w:szCs w:val="18"/>
          <w:color w:val="auto"/>
        </w:rPr>
      </w:pPr>
    </w:p>
    <w:p>
      <w:pPr>
        <w:jc w:val="both"/>
        <w:ind w:firstLine="8"/>
        <w:spacing w:after="0" w:line="253" w:lineRule="auto"/>
        <w:tabs>
          <w:tab w:leader="none" w:pos="272" w:val="left"/>
        </w:tabs>
        <w:numPr>
          <w:ilvl w:val="0"/>
          <w:numId w:val="1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Board may only undertake the actions set forth in clauses (iii), (iv) or (v) of Section 10(b)(ii)(A) if the Reorganization Event constitutes a “change in control event” as defined under Treasury Regulation Section 1.409A-3(i)(5)(i) and such action is permitted or required by Section 409A; if the Reorganization Event is not a “change in control event” as so defined or such action is not permitted or required by Section 409A, and the acquiring or succeeding corporation does not assume or substitute the RSUs pursuant to clause (i) of Section 10(b)(ii)(A), then the unvested RSUs shall terminate immediately prior to the consummation of the Reorganization Event without any payment in exchange therefor.</w:t>
      </w:r>
    </w:p>
    <w:p>
      <w:pPr>
        <w:spacing w:after="0" w:line="186" w:lineRule="exact"/>
        <w:rPr>
          <w:rFonts w:ascii="Times New Roman" w:cs="Times New Roman" w:eastAsia="Times New Roman" w:hAnsi="Times New Roman"/>
          <w:sz w:val="18"/>
          <w:szCs w:val="18"/>
          <w:color w:val="auto"/>
        </w:rPr>
      </w:pPr>
    </w:p>
    <w:p>
      <w:pPr>
        <w:ind w:firstLine="2554"/>
        <w:spacing w:after="0" w:line="282" w:lineRule="auto"/>
        <w:tabs>
          <w:tab w:leader="none" w:pos="2856" w:val="left"/>
        </w:tabs>
        <w:numPr>
          <w:ilvl w:val="1"/>
          <w:numId w:val="1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purposes of Section 10(b)(ii)(A)(i), an Award (other than Restricted Stock) shall be considered assumed if, following consummation of the Reorganization Event, such Award confers the right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855980</wp:posOffset>
            </wp:positionV>
            <wp:extent cx="7157720" cy="42545"/>
            <wp:wrapNone/>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72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73" w:name="page174"/>
    <w:bookmarkEnd w:id="173"/>
    <w:p>
      <w:pPr>
        <w:jc w:val="both"/>
        <w:spacing w:after="0" w:line="254" w:lineRule="auto"/>
        <w:rPr>
          <w:sz w:val="20"/>
          <w:szCs w:val="20"/>
          <w:color w:val="auto"/>
        </w:rPr>
      </w:pPr>
      <w:r>
        <w:rPr>
          <w:rFonts w:ascii="Times New Roman" w:cs="Times New Roman" w:eastAsia="Times New Roman" w:hAnsi="Times New Roman"/>
          <w:sz w:val="18"/>
          <w:szCs w:val="18"/>
          <w:color w:val="auto"/>
        </w:rPr>
        <w:t xml:space="preserve">to purchase or receive pursuant to the terms of such Award, for each share of Common Stock subject to the Award immediately prior to the consummation of the Reorganization Event, the consideration (whether cash, securities or other property) received as a result of the Reorganization Event by holders of Common Stock for each share of Common Stock held immediately prior to the consummation of the Reorganization Event (and if holders were offered a choice of consideration, the type of consideration chosen by the holders of a majority of the outstanding shares of Common Stock);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that if the consideration received as a result of the Reorganization Event is not solely common stock of the acquiring or succeeding corporation (or an affiliate thereof), the Company may, with the consent of the acquiring or succeeding corporation, provide for the consideration to be received upon the exercise or settlement of the Award to consist solely of such number of shares of common stock of the acquiring or succeeding corporation (or an affiliate thereof) that the Board determined to be equivalent in value (as of the date of such determination or another date specified by the Board) to the per share consideration received by holders of outstanding shares of Common Stock as a result of the Reorganization Event.</w:t>
      </w:r>
    </w:p>
    <w:p>
      <w:pPr>
        <w:spacing w:after="0" w:line="188" w:lineRule="exact"/>
        <w:rPr>
          <w:sz w:val="20"/>
          <w:szCs w:val="20"/>
          <w:color w:val="auto"/>
        </w:rPr>
      </w:pPr>
    </w:p>
    <w:p>
      <w:pPr>
        <w:jc w:val="both"/>
        <w:ind w:firstLine="2554"/>
        <w:spacing w:after="0" w:line="266" w:lineRule="auto"/>
        <w:tabs>
          <w:tab w:leader="none" w:pos="2862" w:val="left"/>
        </w:tabs>
        <w:numPr>
          <w:ilvl w:val="3"/>
          <w:numId w:val="1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Board may impose a limitation on the ability of Participants holding Options and/or SARs to exercise their Awards for the minimum number of days prior to the closing of the Reorganization Event as is reasonably necessary to facilitate the orderly closing of the Reorganization Event. The Company shall provide reasonable notice to Participants of any such limitation on exercise.</w:t>
      </w:r>
    </w:p>
    <w:p>
      <w:pPr>
        <w:spacing w:after="0" w:line="175" w:lineRule="exact"/>
        <w:rPr>
          <w:rFonts w:ascii="Times New Roman" w:cs="Times New Roman" w:eastAsia="Times New Roman" w:hAnsi="Times New Roman"/>
          <w:sz w:val="18"/>
          <w:szCs w:val="18"/>
          <w:color w:val="auto"/>
        </w:rPr>
      </w:pPr>
    </w:p>
    <w:p>
      <w:pPr>
        <w:jc w:val="both"/>
        <w:ind w:firstLine="1705"/>
        <w:spacing w:after="0" w:line="254" w:lineRule="auto"/>
        <w:tabs>
          <w:tab w:leader="none" w:pos="2025" w:val="left"/>
        </w:tabs>
        <w:numPr>
          <w:ilvl w:val="2"/>
          <w:numId w:val="1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Consequences of a Reorganization Event on Restricted Stock</w:t>
      </w:r>
      <w:r>
        <w:rPr>
          <w:rFonts w:ascii="Times New Roman" w:cs="Times New Roman" w:eastAsia="Times New Roman" w:hAnsi="Times New Roman"/>
          <w:sz w:val="18"/>
          <w:szCs w:val="18"/>
          <w:color w:val="auto"/>
        </w:rPr>
        <w:t xml:space="preserve">. Upon the occurrence of a Reorganization Event other than a liquidation or dissolution of the Company, the repurchase and other rights of the Company with respect to outstanding Restricted Stock shall inure to the benefit of the Company’s successor and shall, unless the Board determines otherwise, apply to the cash, securities or other property which the Common Stock was converted into or exchanged for pursuant to such Reorganization Event in the same manner and to the same extent as they applied to such Restricted Stock;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that the Board may either provide for termination or deemed satisfaction of such repurchase or other rights under the instrument evidencing any Restricted Stock or any other agreement between a Participant and the Company, either initially or by amendment, or provide for forfeiture of such Restricted Stock if issued at no cost. Upon the occurrence of a Reorganization Event involving the liquidation or dissolution of the Company, except to the extent specifically provided to the contrary in the instrument evidencing any Restricted Stock or any other agreement between a Participant and the Company, all restrictions and conditions on all Restricted Stock then outstanding shall automatically be deemed terminated or satisfied.</w:t>
      </w:r>
    </w:p>
    <w:p>
      <w:pPr>
        <w:spacing w:after="0" w:line="188" w:lineRule="exact"/>
        <w:rPr>
          <w:rFonts w:ascii="Times New Roman" w:cs="Times New Roman" w:eastAsia="Times New Roman" w:hAnsi="Times New Roman"/>
          <w:sz w:val="18"/>
          <w:szCs w:val="18"/>
          <w:color w:val="auto"/>
        </w:rPr>
      </w:pPr>
    </w:p>
    <w:p>
      <w:pPr>
        <w:ind w:left="280" w:hanging="272"/>
        <w:spacing w:after="0"/>
        <w:tabs>
          <w:tab w:leader="none" w:pos="280" w:val="left"/>
        </w:tabs>
        <w:numPr>
          <w:ilvl w:val="0"/>
          <w:numId w:val="1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General Provisions Applicable to Awards</w:t>
      </w:r>
    </w:p>
    <w:p>
      <w:pPr>
        <w:spacing w:after="0" w:line="225" w:lineRule="exact"/>
        <w:rPr>
          <w:rFonts w:ascii="Times New Roman" w:cs="Times New Roman" w:eastAsia="Times New Roman" w:hAnsi="Times New Roman"/>
          <w:sz w:val="18"/>
          <w:szCs w:val="18"/>
          <w:color w:val="auto"/>
        </w:rPr>
      </w:pPr>
    </w:p>
    <w:p>
      <w:pPr>
        <w:jc w:val="both"/>
        <w:ind w:firstLine="857"/>
        <w:spacing w:after="0" w:line="253" w:lineRule="auto"/>
        <w:tabs>
          <w:tab w:leader="none" w:pos="1120" w:val="left"/>
        </w:tabs>
        <w:numPr>
          <w:ilvl w:val="1"/>
          <w:numId w:val="1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Transferability of Awards</w:t>
      </w:r>
      <w:r>
        <w:rPr>
          <w:rFonts w:ascii="Times New Roman" w:cs="Times New Roman" w:eastAsia="Times New Roman" w:hAnsi="Times New Roman"/>
          <w:sz w:val="18"/>
          <w:szCs w:val="18"/>
          <w:color w:val="auto"/>
        </w:rPr>
        <w:t xml:space="preserve">. Awards shall not be sold, assigned, transferred, pledged or otherwise encumbered by a Participant, either voluntarily or by operation of law, except by will or the laws of descent and distribution or, other than in the case of an Incentive Stock Option, pursuant to a qualified domestic relations order, and, during the life of the Participant, shall be exercisable only by the Participant;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xml:space="preserve">, that, except with respect to Awards subject to Section 409A and Incentive Stock Options, the Board may permit or provide in an Award for the gratuitous transfer of the Award by the Participant to or for the benefit of any immediate family member, family trust or other entity established for the benefit of the Participant and/or an immediate family member thereof if the Company would be eligible to use a Form S-8 under the Securities Act for the registration of the sale of the Common Stock subject to such Award to such proposed transferee; </w:t>
      </w:r>
      <w:r>
        <w:rPr>
          <w:rFonts w:ascii="Times New Roman" w:cs="Times New Roman" w:eastAsia="Times New Roman" w:hAnsi="Times New Roman"/>
          <w:sz w:val="18"/>
          <w:szCs w:val="18"/>
          <w:i w:val="1"/>
          <w:iCs w:val="1"/>
          <w:color w:val="auto"/>
        </w:rPr>
        <w:t>provided further</w:t>
      </w:r>
      <w:r>
        <w:rPr>
          <w:rFonts w:ascii="Times New Roman" w:cs="Times New Roman" w:eastAsia="Times New Roman" w:hAnsi="Times New Roman"/>
          <w:sz w:val="18"/>
          <w:szCs w:val="18"/>
          <w:color w:val="auto"/>
        </w:rPr>
        <w:t>, that the Company shall not be required to recognize any such permitted transfer until such time as such permitted transferee shall, as a condition to such transfer, deliver to the Company a written instrument in form and substance satisfactory to the Company confirming that such transferee shall be bound by all of the terms and conditions of the Award. References to a Participant, to the extent relevant in the context, shall include references to authorized transferees. For the avoidance of doubt, nothing contained in this Section 11(a) shall be deemed to restrict a transfer to the Company.</w:t>
      </w:r>
    </w:p>
    <w:p>
      <w:pPr>
        <w:spacing w:after="0" w:line="191" w:lineRule="exact"/>
        <w:rPr>
          <w:rFonts w:ascii="Times New Roman" w:cs="Times New Roman" w:eastAsia="Times New Roman" w:hAnsi="Times New Roman"/>
          <w:sz w:val="18"/>
          <w:szCs w:val="18"/>
          <w:color w:val="auto"/>
        </w:rPr>
      </w:pPr>
    </w:p>
    <w:p>
      <w:pPr>
        <w:ind w:firstLine="857"/>
        <w:spacing w:after="0" w:line="282" w:lineRule="auto"/>
        <w:tabs>
          <w:tab w:leader="none" w:pos="1104" w:val="left"/>
        </w:tabs>
        <w:numPr>
          <w:ilvl w:val="1"/>
          <w:numId w:val="1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Documentation</w:t>
      </w:r>
      <w:r>
        <w:rPr>
          <w:rFonts w:ascii="Times New Roman" w:cs="Times New Roman" w:eastAsia="Times New Roman" w:hAnsi="Times New Roman"/>
          <w:sz w:val="18"/>
          <w:szCs w:val="18"/>
          <w:color w:val="auto"/>
        </w:rPr>
        <w:t>. Each Award shall be evidenced in such form (written, electronic or otherwise) as the Board shall determine. Each Award may contain terms and conditions in addition to those set forth in the Plan.</w:t>
      </w:r>
    </w:p>
    <w:p>
      <w:pPr>
        <w:spacing w:after="0" w:line="161" w:lineRule="exact"/>
        <w:rPr>
          <w:rFonts w:ascii="Times New Roman" w:cs="Times New Roman" w:eastAsia="Times New Roman" w:hAnsi="Times New Roman"/>
          <w:sz w:val="18"/>
          <w:szCs w:val="18"/>
          <w:color w:val="auto"/>
        </w:rPr>
      </w:pPr>
    </w:p>
    <w:p>
      <w:pPr>
        <w:jc w:val="both"/>
        <w:ind w:firstLine="857"/>
        <w:spacing w:after="0" w:line="266" w:lineRule="auto"/>
        <w:tabs>
          <w:tab w:leader="none" w:pos="1120" w:val="left"/>
        </w:tabs>
        <w:numPr>
          <w:ilvl w:val="1"/>
          <w:numId w:val="1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Termination of Status</w:t>
      </w:r>
      <w:r>
        <w:rPr>
          <w:rFonts w:ascii="Times New Roman" w:cs="Times New Roman" w:eastAsia="Times New Roman" w:hAnsi="Times New Roman"/>
          <w:sz w:val="18"/>
          <w:szCs w:val="18"/>
          <w:color w:val="auto"/>
        </w:rPr>
        <w:t>. The Board shall determine the effect on an Award of the disability, death, termination or other cessation of employment or service, authorized leave of absence or other change in the employment or other service status of a Participant and the extent to which, and the period during which, the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864870</wp:posOffset>
            </wp:positionV>
            <wp:extent cx="7157720" cy="42545"/>
            <wp:wrapNone/>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72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7" w:right="339" w:bottom="1440" w:gutter="0" w:footer="0" w:header="0"/>
        </w:sectPr>
      </w:pPr>
    </w:p>
    <w:bookmarkStart w:id="174" w:name="page175"/>
    <w:bookmarkEnd w:id="174"/>
    <w:p>
      <w:pPr>
        <w:jc w:val="both"/>
        <w:spacing w:after="0" w:line="261" w:lineRule="auto"/>
        <w:rPr>
          <w:sz w:val="20"/>
          <w:szCs w:val="20"/>
          <w:color w:val="auto"/>
        </w:rPr>
      </w:pPr>
      <w:r>
        <w:rPr>
          <w:rFonts w:ascii="Times New Roman" w:cs="Times New Roman" w:eastAsia="Times New Roman" w:hAnsi="Times New Roman"/>
          <w:sz w:val="18"/>
          <w:szCs w:val="18"/>
          <w:color w:val="auto"/>
        </w:rPr>
        <w:t>Participant, or the Participant’s legal representative, conservator, guardian or Designated Beneficiary, may exercise rights, or receive any benefits, under an Award. “</w:t>
      </w:r>
      <w:r>
        <w:rPr>
          <w:rFonts w:ascii="Times New Roman" w:cs="Times New Roman" w:eastAsia="Times New Roman" w:hAnsi="Times New Roman"/>
          <w:sz w:val="18"/>
          <w:szCs w:val="18"/>
          <w:b w:val="1"/>
          <w:bCs w:val="1"/>
          <w:i w:val="1"/>
          <w:iCs w:val="1"/>
          <w:color w:val="auto"/>
        </w:rPr>
        <w:t>Designated Beneficiary</w:t>
      </w:r>
      <w:r>
        <w:rPr>
          <w:rFonts w:ascii="Times New Roman" w:cs="Times New Roman" w:eastAsia="Times New Roman" w:hAnsi="Times New Roman"/>
          <w:sz w:val="18"/>
          <w:szCs w:val="18"/>
          <w:color w:val="auto"/>
        </w:rPr>
        <w:t>” means (i) the beneficiary designated, in a manner determined by the Board, by a Participant to receive amounts due or exercise rights of the Participant in the event of the Participant’s death or (ii) in the absence of an effective designation by a Participant, the Participant’s estate.</w:t>
      </w:r>
    </w:p>
    <w:p>
      <w:pPr>
        <w:spacing w:after="0" w:line="180" w:lineRule="exact"/>
        <w:rPr>
          <w:sz w:val="20"/>
          <w:szCs w:val="20"/>
          <w:color w:val="auto"/>
        </w:rPr>
      </w:pPr>
    </w:p>
    <w:p>
      <w:pPr>
        <w:jc w:val="both"/>
        <w:ind w:firstLine="857"/>
        <w:spacing w:after="0" w:line="252" w:lineRule="auto"/>
        <w:tabs>
          <w:tab w:leader="none" w:pos="1131"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Withholding</w:t>
      </w:r>
      <w:r>
        <w:rPr>
          <w:rFonts w:ascii="Times New Roman" w:cs="Times New Roman" w:eastAsia="Times New Roman" w:hAnsi="Times New Roman"/>
          <w:sz w:val="18"/>
          <w:szCs w:val="18"/>
          <w:color w:val="auto"/>
        </w:rPr>
        <w:t xml:space="preserve">. The Participant must satisfy all applicable federal, state, and local or other income and employment tax withholding obligations before the Company will deliver stock certificates or otherwise recognize ownership of Common Stock under an Award. The Company may elect to satisfy the withholding obligations through additional withholding on salary or wages. If the Company elects not to or cannot withhold from other compensation, the Participant must pay the Company the full amount, if any, required for withholding or have a broker tender to the Company cash equal to the withholding obligations. Payment of withholding obligations is due before the Company will issue any shares on exercise, vesting or release from forfeiture of an Award or at the same time as payment of the exercise or purchase price, unless the Company determines otherwise. If provided for in an Award or approved by the Board, a Participant may satisfy the tax obligations in whole or in part by delivery (either by actual delivery or attestation) of shares of Common Stock, including shares retained from the Award creating the tax obligation, valued at their fair market value (valued in the manner determined or approved by the Company);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except as otherwise provided by the Board, that the total tax withholding where stock is being used to satisfy such tax obligations cannot exceed the Company’s minimum statutory withholding obligations (based on minimum statutory withholding rates for federal and state tax purposes, including payroll taxes, that are applicable to such supplemental taxable income), except that, to the extent that the Company is able to retain shares of Common Stock having a fair market value (determined or approved by the Company) that exceeds the statutory minimum applicable withholding tax without financial accounting implications or the Company is withholding in a jurisdiction that does not have a statutory minimum withholding tax, the Company may retain such number of shares of Common Stock (up to the number of shares having a fair market value equal to the maximum individual statutory rate of tax (determined or approved by, the Company)) as the Company shall determine to be necessary to satisfy the tax liability associated with any Award. Shares used to satisfy tax withholding requirements cannot be subject to any repurchase, forfeiture, unfulfilled vesting or other similar requirements.</w:t>
      </w:r>
    </w:p>
    <w:p>
      <w:pPr>
        <w:spacing w:after="0" w:line="193" w:lineRule="exact"/>
        <w:rPr>
          <w:rFonts w:ascii="Times New Roman" w:cs="Times New Roman" w:eastAsia="Times New Roman" w:hAnsi="Times New Roman"/>
          <w:sz w:val="18"/>
          <w:szCs w:val="18"/>
          <w:color w:val="auto"/>
        </w:rPr>
      </w:pPr>
    </w:p>
    <w:p>
      <w:pPr>
        <w:jc w:val="both"/>
        <w:ind w:firstLine="857"/>
        <w:spacing w:after="0" w:line="258" w:lineRule="auto"/>
        <w:tabs>
          <w:tab w:leader="none" w:pos="1093"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Amendment of Award</w:t>
      </w:r>
      <w:r>
        <w:rPr>
          <w:rFonts w:ascii="Times New Roman" w:cs="Times New Roman" w:eastAsia="Times New Roman" w:hAnsi="Times New Roman"/>
          <w:sz w:val="18"/>
          <w:szCs w:val="18"/>
          <w:color w:val="auto"/>
        </w:rPr>
        <w:t>. Except as otherwise provided in Section 5(g) and 6(e) with respect to repricings, the Board may amend, modify or terminate any outstanding Award, including but not limited to, substituting therefor another Award of the same or a different type, changing the date of exercise or realization, and converting an Incentive Stock Option to a Nonstatutory Stock Option. The Participant’s consent to such action shall be required unless (i) the Board determines that the action, taking into account any related action, does not materially and adversely affect the Participant’s rights under the Plan or (ii) the change is permitted under Section 10.</w:t>
      </w:r>
    </w:p>
    <w:p>
      <w:pPr>
        <w:spacing w:after="0" w:line="183" w:lineRule="exact"/>
        <w:rPr>
          <w:rFonts w:ascii="Times New Roman" w:cs="Times New Roman" w:eastAsia="Times New Roman" w:hAnsi="Times New Roman"/>
          <w:sz w:val="18"/>
          <w:szCs w:val="18"/>
          <w:color w:val="auto"/>
        </w:rPr>
      </w:pPr>
    </w:p>
    <w:p>
      <w:pPr>
        <w:jc w:val="both"/>
        <w:ind w:firstLine="857"/>
        <w:spacing w:after="0" w:line="256" w:lineRule="auto"/>
        <w:tabs>
          <w:tab w:leader="none" w:pos="1087"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Conditions on Delivery of Stock</w:t>
      </w:r>
      <w:r>
        <w:rPr>
          <w:rFonts w:ascii="Times New Roman" w:cs="Times New Roman" w:eastAsia="Times New Roman" w:hAnsi="Times New Roman"/>
          <w:sz w:val="18"/>
          <w:szCs w:val="18"/>
          <w:color w:val="auto"/>
        </w:rPr>
        <w:t>. The Company will not be obligated to deliver any shares of Common Stock pursuant to the Plan or to remove restrictions from shares previously issued or delivered under the Plan until (i) all conditions of the Award have been met or removed to the satisfaction of the Company, (ii) in the opinion of the Company’s counsel, all other legal matters in connection with the issuance and delivery of such shares have been satisfied, including any applicable securities laws and regulations and any applicable stock exchange or stock market rules and regulations, and (iii) the Participant has executed and delivered to the Company such representations or agreements as the Company may consider appropriate to satisfy the requirements of any applicable laws, rules or regulations.</w:t>
      </w:r>
    </w:p>
    <w:p>
      <w:pPr>
        <w:spacing w:after="0" w:line="187" w:lineRule="exact"/>
        <w:rPr>
          <w:rFonts w:ascii="Times New Roman" w:cs="Times New Roman" w:eastAsia="Times New Roman" w:hAnsi="Times New Roman"/>
          <w:sz w:val="18"/>
          <w:szCs w:val="18"/>
          <w:color w:val="auto"/>
        </w:rPr>
      </w:pPr>
    </w:p>
    <w:p>
      <w:pPr>
        <w:ind w:right="20" w:firstLine="857"/>
        <w:spacing w:after="0" w:line="282" w:lineRule="auto"/>
        <w:tabs>
          <w:tab w:leader="none" w:pos="1104"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Acceleration</w:t>
      </w:r>
      <w:r>
        <w:rPr>
          <w:rFonts w:ascii="Times New Roman" w:cs="Times New Roman" w:eastAsia="Times New Roman" w:hAnsi="Times New Roman"/>
          <w:sz w:val="18"/>
          <w:szCs w:val="18"/>
          <w:color w:val="auto"/>
        </w:rPr>
        <w:t>. The Board may at any time provide that any Award shall become immediately exercisable in whole or in part, free from some or all restrictions or conditions or otherwise realizable in whole or in part, as the case may be.</w:t>
      </w:r>
    </w:p>
    <w:p>
      <w:pPr>
        <w:spacing w:after="0" w:line="161" w:lineRule="exact"/>
        <w:rPr>
          <w:rFonts w:ascii="Times New Roman" w:cs="Times New Roman" w:eastAsia="Times New Roman" w:hAnsi="Times New Roman"/>
          <w:sz w:val="18"/>
          <w:szCs w:val="18"/>
          <w:color w:val="auto"/>
        </w:rPr>
      </w:pPr>
    </w:p>
    <w:p>
      <w:pPr>
        <w:ind w:left="280" w:hanging="272"/>
        <w:spacing w:after="0"/>
        <w:tabs>
          <w:tab w:leader="none" w:pos="280" w:val="left"/>
        </w:tabs>
        <w:numPr>
          <w:ilvl w:val="0"/>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Miscellaneous</w:t>
      </w:r>
    </w:p>
    <w:p>
      <w:pPr>
        <w:spacing w:after="0" w:line="225" w:lineRule="exact"/>
        <w:rPr>
          <w:rFonts w:ascii="Times New Roman" w:cs="Times New Roman" w:eastAsia="Times New Roman" w:hAnsi="Times New Roman"/>
          <w:sz w:val="18"/>
          <w:szCs w:val="18"/>
          <w:color w:val="auto"/>
        </w:rPr>
      </w:pPr>
    </w:p>
    <w:p>
      <w:pPr>
        <w:jc w:val="both"/>
        <w:ind w:firstLine="857"/>
        <w:spacing w:after="0" w:line="261" w:lineRule="auto"/>
        <w:tabs>
          <w:tab w:leader="none" w:pos="1093"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No Right To Employment or Other Status</w:t>
      </w:r>
      <w:r>
        <w:rPr>
          <w:rFonts w:ascii="Times New Roman" w:cs="Times New Roman" w:eastAsia="Times New Roman" w:hAnsi="Times New Roman"/>
          <w:sz w:val="18"/>
          <w:szCs w:val="18"/>
          <w:color w:val="auto"/>
        </w:rPr>
        <w:t>. No person shall have any claim or right to be granted an Award by virtue of the adoption of the Plan, and the grant of an Award shall not be construed as giving a Participant the right to continued employment or any other relationship with the Company. The Company expressly reserves the right at any time to dismiss or otherwise terminate its relationship with a Participant free from any liability or claim under the Plan, except as expressly provided in the applicable Award.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867410</wp:posOffset>
            </wp:positionV>
            <wp:extent cx="7157720" cy="42545"/>
            <wp:wrapNone/>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72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7" w:right="339" w:bottom="1440" w:gutter="0" w:footer="0" w:header="0"/>
        </w:sectPr>
      </w:pPr>
    </w:p>
    <w:bookmarkStart w:id="175" w:name="page176"/>
    <w:bookmarkEnd w:id="175"/>
    <w:p>
      <w:pPr>
        <w:spacing w:after="0" w:line="194" w:lineRule="exact"/>
        <w:rPr>
          <w:sz w:val="20"/>
          <w:szCs w:val="20"/>
          <w:color w:val="auto"/>
        </w:rPr>
      </w:pPr>
    </w:p>
    <w:p>
      <w:pPr>
        <w:jc w:val="both"/>
        <w:ind w:firstLine="857"/>
        <w:spacing w:after="0" w:line="261" w:lineRule="auto"/>
        <w:tabs>
          <w:tab w:leader="none" w:pos="1117" w:val="left"/>
        </w:tabs>
        <w:numPr>
          <w:ilvl w:val="0"/>
          <w:numId w:val="1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No Rights As Stockholder; Clawback</w:t>
      </w:r>
      <w:r>
        <w:rPr>
          <w:rFonts w:ascii="Times New Roman" w:cs="Times New Roman" w:eastAsia="Times New Roman" w:hAnsi="Times New Roman"/>
          <w:sz w:val="18"/>
          <w:szCs w:val="18"/>
          <w:color w:val="auto"/>
        </w:rPr>
        <w:t>. Subject to the provisions of the applicable Award, no Participant or Designated Beneficiary shall have any rights as a stockholder with respect to any shares of Common Stock to be issued with respect to an Award until becoming the record holder of such shares. In accepting an Award under the Plan, the Participant agrees to be bound by any clawback policy that the Company has in effect or may adopt in the future.</w:t>
      </w:r>
    </w:p>
    <w:p>
      <w:pPr>
        <w:spacing w:after="0" w:line="179" w:lineRule="exact"/>
        <w:rPr>
          <w:rFonts w:ascii="Times New Roman" w:cs="Times New Roman" w:eastAsia="Times New Roman" w:hAnsi="Times New Roman"/>
          <w:sz w:val="18"/>
          <w:szCs w:val="18"/>
          <w:color w:val="auto"/>
        </w:rPr>
      </w:pPr>
    </w:p>
    <w:p>
      <w:pPr>
        <w:ind w:firstLine="857"/>
        <w:spacing w:after="0" w:line="282" w:lineRule="auto"/>
        <w:tabs>
          <w:tab w:leader="none" w:pos="1093" w:val="left"/>
        </w:tabs>
        <w:numPr>
          <w:ilvl w:val="0"/>
          <w:numId w:val="1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Effective Date and Term of Plan</w:t>
      </w:r>
      <w:r>
        <w:rPr>
          <w:rFonts w:ascii="Times New Roman" w:cs="Times New Roman" w:eastAsia="Times New Roman" w:hAnsi="Times New Roman"/>
          <w:sz w:val="18"/>
          <w:szCs w:val="18"/>
          <w:color w:val="auto"/>
        </w:rPr>
        <w:t>. The Plan shall become effective on the Effective Date. No Awards shall be granted under the Plan after the expiration of 10 years from the Effective Date, but Awards previously granted may extend beyond that date.</w:t>
      </w:r>
    </w:p>
    <w:p>
      <w:pPr>
        <w:spacing w:after="0" w:line="161" w:lineRule="exact"/>
        <w:rPr>
          <w:rFonts w:ascii="Times New Roman" w:cs="Times New Roman" w:eastAsia="Times New Roman" w:hAnsi="Times New Roman"/>
          <w:sz w:val="18"/>
          <w:szCs w:val="18"/>
          <w:color w:val="auto"/>
        </w:rPr>
      </w:pPr>
    </w:p>
    <w:p>
      <w:pPr>
        <w:jc w:val="both"/>
        <w:ind w:firstLine="857"/>
        <w:spacing w:after="0" w:line="252" w:lineRule="auto"/>
        <w:tabs>
          <w:tab w:leader="none" w:pos="1117" w:val="left"/>
        </w:tabs>
        <w:numPr>
          <w:ilvl w:val="0"/>
          <w:numId w:val="1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Amendment of Plan</w:t>
      </w:r>
      <w:r>
        <w:rPr>
          <w:rFonts w:ascii="Times New Roman" w:cs="Times New Roman" w:eastAsia="Times New Roman" w:hAnsi="Times New Roman"/>
          <w:sz w:val="18"/>
          <w:szCs w:val="18"/>
          <w:color w:val="auto"/>
        </w:rPr>
        <w:t>. The Board may amend, suspend or terminate the Plan or any portion thereof at any time provided that (i) neither Section 5(g) nor Section 6(e) requiring stockholder approval of any Option or SAR repricing may be amended without stockholder approval; (ii) no amendment that would require stockholder approval under the rules of the national securities exchange on which the Company then maintains its primary listing will be effective unless and until the Company’s stockholders approve such amendment; and (iii) if the national securities exchange on which the Company then maintains its primary listing does not have rules regarding when stockholder approval of amendments to equity compensation plans is required (or if the Company’s Common Stock is not then listed on any national securities exchange), then no amendment to the Plan (A) materially increasing the number of shares authorized under the Plan (other than pursuant to Section 4(b) or 10), (B) expanding the types of Awards that may be granted under the Plan, or (C) materially expanding the class of participants eligible to participate in the Plan shall be effective unless and until the Company’s stockholders approve such amendment. In addition, if at any time the approval of the Company’s stockholders is required as to any other modification or amendment under Section 422 of the Code or any successor provision with respect to Incentive Stock Options, the Board may not effect such modification or amendment without such approval. Unless otherwise specified in the amendment, any amendment to the Plan adopted in accordance with this Section 12(d) shall apply to, and be binding on the holders of, all Awards outstanding under the Plan at the time the amendment is adopted, provided the Board determines that such amendment, taking into account any related action, does not materially and adversely affect the rights of Participants under the Plan. No Award shall be made that is conditioned upon stockholder approval of any amendment to the Plan unless the Award provides that (i) it will terminate or be forfeited if stockholder approval of such amendment is not obtained within no more than 12 months from the date of grant and (2) it may not be exercised or settled (or otherwise result in the issuance of Common Stock) prior to such stockholder approval.</w:t>
      </w:r>
    </w:p>
    <w:p>
      <w:pPr>
        <w:spacing w:after="0" w:line="194" w:lineRule="exact"/>
        <w:rPr>
          <w:rFonts w:ascii="Times New Roman" w:cs="Times New Roman" w:eastAsia="Times New Roman" w:hAnsi="Times New Roman"/>
          <w:sz w:val="18"/>
          <w:szCs w:val="18"/>
          <w:color w:val="auto"/>
        </w:rPr>
      </w:pPr>
    </w:p>
    <w:p>
      <w:pPr>
        <w:jc w:val="both"/>
        <w:ind w:firstLine="857"/>
        <w:spacing w:after="0" w:line="256" w:lineRule="auto"/>
        <w:tabs>
          <w:tab w:leader="none" w:pos="1107" w:val="left"/>
        </w:tabs>
        <w:numPr>
          <w:ilvl w:val="0"/>
          <w:numId w:val="1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Authorization of Sub-Plans (including for Grants to non-U.S. Employees)</w:t>
      </w:r>
      <w:r>
        <w:rPr>
          <w:rFonts w:ascii="Times New Roman" w:cs="Times New Roman" w:eastAsia="Times New Roman" w:hAnsi="Times New Roman"/>
          <w:sz w:val="18"/>
          <w:szCs w:val="18"/>
          <w:color w:val="auto"/>
        </w:rPr>
        <w:t>. The Board may from time to time establish one or more sub-plans under the Plan for purposes of satisfying applicable securities, tax or other laws of various jurisdictions. The Board shall establish such sub-plans by adopting supplements to the Plan containing (i) such limitations on the Board’s discretion under the Plan as the Board deems necessary or desirable or (ii) such additional terms and conditions not otherwise inconsistent with the Plan as the Board shall deem necessary or desirable. All supplements adopted by the Board shall be deemed to be part of the Plan, but each supplement shall apply only to Participants within the affected jurisdiction and the Company shall not be required to provide copies of any supplement to Participants in any jurisdiction which is not the subject of such supplement.</w:t>
      </w:r>
    </w:p>
    <w:p>
      <w:pPr>
        <w:spacing w:after="0" w:line="187" w:lineRule="exact"/>
        <w:rPr>
          <w:rFonts w:ascii="Times New Roman" w:cs="Times New Roman" w:eastAsia="Times New Roman" w:hAnsi="Times New Roman"/>
          <w:sz w:val="18"/>
          <w:szCs w:val="18"/>
          <w:color w:val="auto"/>
        </w:rPr>
      </w:pPr>
    </w:p>
    <w:p>
      <w:pPr>
        <w:jc w:val="both"/>
        <w:ind w:firstLine="857"/>
        <w:spacing w:after="0" w:line="254" w:lineRule="auto"/>
        <w:tabs>
          <w:tab w:leader="none" w:pos="1074" w:val="left"/>
        </w:tabs>
        <w:numPr>
          <w:ilvl w:val="0"/>
          <w:numId w:val="1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Compliance with Section 409A</w:t>
      </w:r>
      <w:r>
        <w:rPr>
          <w:rFonts w:ascii="Times New Roman" w:cs="Times New Roman" w:eastAsia="Times New Roman" w:hAnsi="Times New Roman"/>
          <w:sz w:val="18"/>
          <w:szCs w:val="18"/>
          <w:color w:val="auto"/>
        </w:rPr>
        <w:t>. If and to the extent (i) any portion of any payment, compensation or other benefit provided to a Participant in connection with his or her employment termination constitutes “nonqualified deferred compensation” within the meaning of Section 409A and (ii) the Participant is a specified employee as defined in Section 409A(a)(2)(B)(i) of the Code, in each case as determined by the Company in accordance with its procedures, by which determinations the Participant (through accepting the Award) agrees that to be bound, such portion of the payment, compensation or other benefit shall not be paid before the day that is six months plus one day after the date of “separation from service” (as determined under Section 409A) (the “</w:t>
      </w:r>
      <w:r>
        <w:rPr>
          <w:rFonts w:ascii="Times New Roman" w:cs="Times New Roman" w:eastAsia="Times New Roman" w:hAnsi="Times New Roman"/>
          <w:sz w:val="18"/>
          <w:szCs w:val="18"/>
          <w:b w:val="1"/>
          <w:bCs w:val="1"/>
          <w:i w:val="1"/>
          <w:iCs w:val="1"/>
          <w:color w:val="auto"/>
        </w:rPr>
        <w:t>New Payment Date</w:t>
      </w:r>
      <w:r>
        <w:rPr>
          <w:rFonts w:ascii="Times New Roman" w:cs="Times New Roman" w:eastAsia="Times New Roman" w:hAnsi="Times New Roman"/>
          <w:sz w:val="18"/>
          <w:szCs w:val="18"/>
          <w:color w:val="auto"/>
        </w:rPr>
        <w:t>”), except as Section 409A may then permit. The aggregate of any payments that otherwise would have been paid to the Participant during the period between the date of separation from service and the New Payment Date shall be paid to the Participant in a lump sum on such New Payment Date, and any remaining payments will be paid on their original schedule.</w:t>
      </w:r>
    </w:p>
    <w:p>
      <w:pPr>
        <w:spacing w:after="0" w:line="192" w:lineRule="exact"/>
        <w:rPr>
          <w:sz w:val="20"/>
          <w:szCs w:val="20"/>
          <w:color w:val="auto"/>
        </w:rPr>
      </w:pPr>
    </w:p>
    <w:p>
      <w:pPr>
        <w:ind w:firstLine="849"/>
        <w:spacing w:after="0" w:line="282" w:lineRule="auto"/>
        <w:rPr>
          <w:sz w:val="20"/>
          <w:szCs w:val="20"/>
          <w:color w:val="auto"/>
        </w:rPr>
      </w:pPr>
      <w:r>
        <w:rPr>
          <w:rFonts w:ascii="Times New Roman" w:cs="Times New Roman" w:eastAsia="Times New Roman" w:hAnsi="Times New Roman"/>
          <w:sz w:val="18"/>
          <w:szCs w:val="18"/>
          <w:color w:val="auto"/>
        </w:rPr>
        <w:t>The Company makes no representations or warranty and shall have no liability to the Participant or any other person if any provisions of or payments, compensation or other benefits under the Plan are determined to</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855980</wp:posOffset>
            </wp:positionV>
            <wp:extent cx="7157720" cy="42545"/>
            <wp:wrapNone/>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73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76" w:name="page177"/>
    <w:bookmarkEnd w:id="176"/>
    <w:p>
      <w:pPr>
        <w:spacing w:after="0"/>
        <w:rPr>
          <w:sz w:val="20"/>
          <w:szCs w:val="20"/>
          <w:color w:val="auto"/>
        </w:rPr>
      </w:pPr>
      <w:r>
        <w:rPr>
          <w:rFonts w:ascii="Times New Roman" w:cs="Times New Roman" w:eastAsia="Times New Roman" w:hAnsi="Times New Roman"/>
          <w:sz w:val="18"/>
          <w:szCs w:val="18"/>
          <w:color w:val="auto"/>
        </w:rPr>
        <w:t>constitute nonqualified deferred compensation subject to Section 409A but do not to satisfy the conditions of that section.</w:t>
      </w:r>
    </w:p>
    <w:p>
      <w:pPr>
        <w:spacing w:after="0" w:line="225" w:lineRule="exact"/>
        <w:rPr>
          <w:sz w:val="20"/>
          <w:szCs w:val="20"/>
          <w:color w:val="auto"/>
        </w:rPr>
      </w:pPr>
    </w:p>
    <w:p>
      <w:pPr>
        <w:jc w:val="both"/>
        <w:ind w:firstLine="857"/>
        <w:spacing w:after="0" w:line="255" w:lineRule="auto"/>
        <w:tabs>
          <w:tab w:leader="none" w:pos="1104" w:val="left"/>
        </w:tabs>
        <w:numPr>
          <w:ilvl w:val="0"/>
          <w:numId w:val="1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Limitations on Liability</w:t>
      </w:r>
      <w:r>
        <w:rPr>
          <w:rFonts w:ascii="Times New Roman" w:cs="Times New Roman" w:eastAsia="Times New Roman" w:hAnsi="Times New Roman"/>
          <w:sz w:val="18"/>
          <w:szCs w:val="18"/>
          <w:color w:val="auto"/>
        </w:rPr>
        <w:t>. Notwithstanding any other provisions of the Plan, no individual acting as a director, officer, employee or agent of the Company will be liable to any Participant, former Participant, spouse, beneficiary, or any other person for any claim, loss, liability, or expense incurred in connection with the Plan, nor will such individual be personally liable with respect to the Plan because of any contract or other instrument such individual executes in his or her capacity as a director, officer, employee or agent of the Company. The Company will indemnify and hold harmless each director, officer, employee or agent of the Company to whom any duty or power relating to the administration or interpretation of the Plan has been or will be delegated, against any cost or expense (including attorneys’ fees) or liability (including any sum paid in settlement of a claim with the Board’s approval) arising out of any act or omission to act concerning the Plan unless arising out of such person’s own fraud or bad faith.</w:t>
      </w:r>
    </w:p>
    <w:p>
      <w:pPr>
        <w:spacing w:after="0" w:line="188" w:lineRule="exact"/>
        <w:rPr>
          <w:rFonts w:ascii="Times New Roman" w:cs="Times New Roman" w:eastAsia="Times New Roman" w:hAnsi="Times New Roman"/>
          <w:sz w:val="18"/>
          <w:szCs w:val="18"/>
          <w:color w:val="auto"/>
        </w:rPr>
      </w:pPr>
    </w:p>
    <w:p>
      <w:pPr>
        <w:jc w:val="both"/>
        <w:ind w:firstLine="857"/>
        <w:spacing w:after="0" w:line="266" w:lineRule="auto"/>
        <w:tabs>
          <w:tab w:leader="none" w:pos="1104" w:val="left"/>
        </w:tabs>
        <w:numPr>
          <w:ilvl w:val="0"/>
          <w:numId w:val="1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Governing Law</w:t>
      </w:r>
      <w:r>
        <w:rPr>
          <w:rFonts w:ascii="Times New Roman" w:cs="Times New Roman" w:eastAsia="Times New Roman" w:hAnsi="Times New Roman"/>
          <w:sz w:val="18"/>
          <w:szCs w:val="18"/>
          <w:color w:val="auto"/>
        </w:rPr>
        <w:t>. The provisions of the Plan and all Awards made hereunder shall be governed by and interpreted in accordance with the laws of the State of Delaware, excluding choice-of-law principles of the law of such state that would require the application of the laws of a jurisdiction other than the State of Delaware.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1002030</wp:posOffset>
            </wp:positionV>
            <wp:extent cx="7157720" cy="42545"/>
            <wp:wrapNone/>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73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7" w:right="339" w:bottom="1440" w:gutter="0" w:footer="0" w:header="0"/>
        </w:sectPr>
      </w:pPr>
    </w:p>
    <w:bookmarkStart w:id="177" w:name="page178"/>
    <w:bookmarkEnd w:id="177"/>
    <w:p>
      <w:pPr>
        <w:spacing w:after="0" w:line="136"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b w:val="1"/>
          <w:bCs w:val="1"/>
          <w:color w:val="auto"/>
        </w:rPr>
        <w:t>Exhibit 10.37</w:t>
      </w:r>
    </w:p>
    <w:p>
      <w:pPr>
        <w:spacing w:after="0" w:line="200" w:lineRule="exact"/>
        <w:rPr>
          <w:sz w:val="20"/>
          <w:szCs w:val="20"/>
          <w:color w:val="auto"/>
        </w:rPr>
      </w:pPr>
    </w:p>
    <w:p>
      <w:pPr>
        <w:spacing w:after="0" w:line="34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Summary of Perquisites and Associated Other Compensation Arrangements for Named Executive Officers</w:t>
      </w:r>
    </w:p>
    <w:p>
      <w:pPr>
        <w:spacing w:after="0" w:line="175" w:lineRule="exact"/>
        <w:rPr>
          <w:sz w:val="20"/>
          <w:szCs w:val="20"/>
          <w:color w:val="auto"/>
        </w:rPr>
      </w:pPr>
    </w:p>
    <w:p>
      <w:pPr>
        <w:ind w:right="240" w:firstLine="849"/>
        <w:spacing w:after="0" w:line="282" w:lineRule="auto"/>
        <w:rPr>
          <w:sz w:val="20"/>
          <w:szCs w:val="20"/>
          <w:color w:val="auto"/>
        </w:rPr>
      </w:pPr>
      <w:r>
        <w:rPr>
          <w:rFonts w:ascii="Times New Roman" w:cs="Times New Roman" w:eastAsia="Times New Roman" w:hAnsi="Times New Roman"/>
          <w:sz w:val="18"/>
          <w:szCs w:val="18"/>
          <w:color w:val="auto"/>
        </w:rPr>
        <w:t>This Summary sets forth, as of February 18, 2025, perquisites and other personal benefits that MicroStrategy Incorporated d/b/a Strategy (“Strategy” and, collectively with its subsidiaries, the “Company”) provides to its “named executive officers,” as defined in Item 402 of Regulation S-K.</w:t>
      </w:r>
    </w:p>
    <w:p>
      <w:pPr>
        <w:spacing w:after="0" w:line="54" w:lineRule="exact"/>
        <w:rPr>
          <w:sz w:val="20"/>
          <w:szCs w:val="20"/>
          <w:color w:val="auto"/>
        </w:rPr>
      </w:pPr>
    </w:p>
    <w:p>
      <w:pPr>
        <w:ind w:right="320" w:firstLine="849"/>
        <w:spacing w:after="0" w:line="266" w:lineRule="auto"/>
        <w:rPr>
          <w:sz w:val="20"/>
          <w:szCs w:val="20"/>
          <w:color w:val="auto"/>
        </w:rPr>
      </w:pPr>
      <w:r>
        <w:rPr>
          <w:rFonts w:ascii="Times New Roman" w:cs="Times New Roman" w:eastAsia="Times New Roman" w:hAnsi="Times New Roman"/>
          <w:sz w:val="18"/>
          <w:szCs w:val="18"/>
          <w:color w:val="auto"/>
        </w:rPr>
        <w:t>The Company has a program pursuant to which it arranges for individual disability insurance policies to be provided to eligible executive officers and certain other senior employees as a supplement to the group disability insurance that is available to most Company employees and pays the premiums with respect to such supplemental policies. Certain of our executive officers are eligible to participate in this program.</w:t>
      </w:r>
    </w:p>
    <w:p>
      <w:pPr>
        <w:spacing w:after="0" w:line="68" w:lineRule="exact"/>
        <w:rPr>
          <w:sz w:val="20"/>
          <w:szCs w:val="20"/>
          <w:color w:val="auto"/>
        </w:rPr>
      </w:pPr>
    </w:p>
    <w:p>
      <w:pPr>
        <w:ind w:right="320" w:firstLine="849"/>
        <w:spacing w:after="0" w:line="282" w:lineRule="auto"/>
        <w:rPr>
          <w:sz w:val="20"/>
          <w:szCs w:val="20"/>
          <w:color w:val="auto"/>
        </w:rPr>
      </w:pPr>
      <w:r>
        <w:rPr>
          <w:rFonts w:ascii="Times New Roman" w:cs="Times New Roman" w:eastAsia="Times New Roman" w:hAnsi="Times New Roman"/>
          <w:sz w:val="18"/>
          <w:szCs w:val="18"/>
          <w:color w:val="auto"/>
        </w:rPr>
        <w:t>The Company has a program pursuant to which it pays the cost of annual healthcare screenings for eligible executive officers. All executive officers are currently eligible to participate in this program.</w:t>
      </w:r>
    </w:p>
    <w:p>
      <w:pPr>
        <w:spacing w:after="0" w:line="54" w:lineRule="exact"/>
        <w:rPr>
          <w:sz w:val="20"/>
          <w:szCs w:val="20"/>
          <w:color w:val="auto"/>
        </w:rPr>
      </w:pPr>
    </w:p>
    <w:p>
      <w:pPr>
        <w:ind w:right="320" w:firstLine="849"/>
        <w:spacing w:after="0" w:line="282" w:lineRule="auto"/>
        <w:rPr>
          <w:sz w:val="20"/>
          <w:szCs w:val="20"/>
          <w:color w:val="auto"/>
        </w:rPr>
      </w:pPr>
      <w:r>
        <w:rPr>
          <w:rFonts w:ascii="Times New Roman" w:cs="Times New Roman" w:eastAsia="Times New Roman" w:hAnsi="Times New Roman"/>
          <w:sz w:val="18"/>
          <w:szCs w:val="18"/>
          <w:color w:val="auto"/>
        </w:rPr>
        <w:t>The Company’s executive officers are also eligible to participate in the Company’s 401(k) plan, which includes an employer match of up to $5,000 annually, and group term life insurance plan, each of which is a benefit available to most Company employees.</w:t>
      </w:r>
    </w:p>
    <w:p>
      <w:pPr>
        <w:spacing w:after="0" w:line="54" w:lineRule="exact"/>
        <w:rPr>
          <w:sz w:val="20"/>
          <w:szCs w:val="20"/>
          <w:color w:val="auto"/>
        </w:rPr>
      </w:pPr>
    </w:p>
    <w:p>
      <w:pPr>
        <w:ind w:right="20" w:firstLine="849"/>
        <w:spacing w:after="0" w:line="266" w:lineRule="auto"/>
        <w:rPr>
          <w:sz w:val="20"/>
          <w:szCs w:val="20"/>
          <w:color w:val="auto"/>
        </w:rPr>
      </w:pPr>
      <w:r>
        <w:rPr>
          <w:rFonts w:ascii="Times New Roman" w:cs="Times New Roman" w:eastAsia="Times New Roman" w:hAnsi="Times New Roman"/>
          <w:sz w:val="18"/>
          <w:szCs w:val="18"/>
          <w:color w:val="auto"/>
        </w:rPr>
        <w:t>The Company owns a Bombardier Global Express XRS aircraft (collectively with additional aircraft that the Company may lease or charter, the “Company Aircraft”). The Company permits personal use of Company Aircraft by executive officers and employees of the Company when the applicable Company Aircraft is not being used exclusively for business.</w:t>
      </w:r>
    </w:p>
    <w:p>
      <w:pPr>
        <w:spacing w:after="0" w:line="68" w:lineRule="exact"/>
        <w:rPr>
          <w:sz w:val="20"/>
          <w:szCs w:val="20"/>
          <w:color w:val="auto"/>
        </w:rPr>
      </w:pPr>
    </w:p>
    <w:p>
      <w:pPr>
        <w:ind w:right="120" w:firstLine="849"/>
        <w:spacing w:after="0" w:line="282" w:lineRule="auto"/>
        <w:rPr>
          <w:sz w:val="20"/>
          <w:szCs w:val="20"/>
          <w:color w:val="auto"/>
        </w:rPr>
      </w:pPr>
      <w:r>
        <w:rPr>
          <w:rFonts w:ascii="Times New Roman" w:cs="Times New Roman" w:eastAsia="Times New Roman" w:hAnsi="Times New Roman"/>
          <w:sz w:val="18"/>
          <w:szCs w:val="18"/>
          <w:color w:val="auto"/>
        </w:rPr>
        <w:t>The Company allows executive officers to make personal use of tickets to sporting, charity, dining, entertainment, or similar events, as well as use of corporate suites, club memberships, or similar facilities that the Company may acquire (collectively, the “Corporate Development Programs”).</w:t>
      </w:r>
    </w:p>
    <w:p>
      <w:pPr>
        <w:spacing w:after="0" w:line="54" w:lineRule="exact"/>
        <w:rPr>
          <w:sz w:val="20"/>
          <w:szCs w:val="20"/>
          <w:color w:val="auto"/>
        </w:rPr>
      </w:pPr>
    </w:p>
    <w:p>
      <w:pPr>
        <w:ind w:right="260" w:firstLine="849"/>
        <w:spacing w:after="0" w:line="266" w:lineRule="auto"/>
        <w:rPr>
          <w:sz w:val="20"/>
          <w:szCs w:val="20"/>
          <w:color w:val="auto"/>
        </w:rPr>
      </w:pPr>
      <w:r>
        <w:rPr>
          <w:rFonts w:ascii="Times New Roman" w:cs="Times New Roman" w:eastAsia="Times New Roman" w:hAnsi="Times New Roman"/>
          <w:sz w:val="18"/>
          <w:szCs w:val="18"/>
          <w:color w:val="auto"/>
        </w:rPr>
        <w:t>From time to time, Strategy’s Board of Directors may hold meetings and other related activities in various locations, for which the Company pays specified travel, lodging, food, beverage, entertainment, and related expenses on behalf of the participants (including any participating executive officers) and their guests.</w:t>
      </w:r>
    </w:p>
    <w:p>
      <w:pPr>
        <w:spacing w:after="0" w:line="68" w:lineRule="exact"/>
        <w:rPr>
          <w:sz w:val="20"/>
          <w:szCs w:val="20"/>
          <w:color w:val="auto"/>
        </w:rPr>
      </w:pPr>
    </w:p>
    <w:p>
      <w:pPr>
        <w:ind w:right="60" w:firstLine="849"/>
        <w:spacing w:after="0" w:line="258" w:lineRule="auto"/>
        <w:rPr>
          <w:sz w:val="20"/>
          <w:szCs w:val="20"/>
          <w:color w:val="auto"/>
        </w:rPr>
      </w:pPr>
      <w:r>
        <w:rPr>
          <w:rFonts w:ascii="Times New Roman" w:cs="Times New Roman" w:eastAsia="Times New Roman" w:hAnsi="Times New Roman"/>
          <w:sz w:val="18"/>
          <w:szCs w:val="18"/>
          <w:color w:val="auto"/>
        </w:rPr>
        <w:t>The Company sponsors an annual trip and related events for sales and service personnel who have met specified performance criteria as well as certain executive officers, other Company personnel, and their guests. The Company pays for specified travel, lodging, food, beverage, entertainment, and related expenses on behalf of the participants (including any participating executive officers) and their guests. The Company has established a policy that the compensation imputed to Michael Saylor as a result of this perquisite, excluding any associated tax gross-up payments, may not exceed $30,000 in any fiscal year.</w:t>
      </w:r>
    </w:p>
    <w:p>
      <w:pPr>
        <w:spacing w:after="0" w:line="75" w:lineRule="exact"/>
        <w:rPr>
          <w:sz w:val="20"/>
          <w:szCs w:val="20"/>
          <w:color w:val="auto"/>
        </w:rPr>
      </w:pPr>
    </w:p>
    <w:p>
      <w:pPr>
        <w:ind w:right="180" w:firstLine="849"/>
        <w:spacing w:after="0" w:line="282" w:lineRule="auto"/>
        <w:rPr>
          <w:sz w:val="20"/>
          <w:szCs w:val="20"/>
          <w:color w:val="auto"/>
        </w:rPr>
      </w:pPr>
      <w:r>
        <w:rPr>
          <w:rFonts w:ascii="Times New Roman" w:cs="Times New Roman" w:eastAsia="Times New Roman" w:hAnsi="Times New Roman"/>
          <w:sz w:val="18"/>
          <w:szCs w:val="18"/>
          <w:color w:val="auto"/>
        </w:rPr>
        <w:t>The Company may also request that Company personnel, including executive officers, participate in conferences, symposia, and other similar events or activities relating to the Company’s business for which the Company pays for the expenses of Company participants and their guests.</w:t>
      </w:r>
    </w:p>
    <w:p>
      <w:pPr>
        <w:spacing w:after="0" w:line="54" w:lineRule="exact"/>
        <w:rPr>
          <w:sz w:val="20"/>
          <w:szCs w:val="20"/>
          <w:color w:val="auto"/>
        </w:rPr>
      </w:pPr>
    </w:p>
    <w:p>
      <w:pPr>
        <w:ind w:right="540" w:firstLine="849"/>
        <w:spacing w:after="0" w:line="282" w:lineRule="auto"/>
        <w:rPr>
          <w:sz w:val="20"/>
          <w:szCs w:val="20"/>
          <w:color w:val="auto"/>
        </w:rPr>
      </w:pPr>
      <w:r>
        <w:rPr>
          <w:rFonts w:ascii="Times New Roman" w:cs="Times New Roman" w:eastAsia="Times New Roman" w:hAnsi="Times New Roman"/>
          <w:sz w:val="18"/>
          <w:szCs w:val="18"/>
          <w:color w:val="auto"/>
        </w:rPr>
        <w:t>The Company also makes available to Mr. Saylor, as Strategy’s Executive Chairman, perquisites that are not generally available to other executive officers:</w:t>
      </w:r>
    </w:p>
    <w:p>
      <w:pPr>
        <w:spacing w:after="0" w:line="54" w:lineRule="exact"/>
        <w:rPr>
          <w:sz w:val="20"/>
          <w:szCs w:val="20"/>
          <w:color w:val="auto"/>
        </w:rPr>
      </w:pPr>
    </w:p>
    <w:p>
      <w:pPr>
        <w:ind w:left="760" w:right="140" w:hanging="378"/>
        <w:spacing w:after="0" w:line="257" w:lineRule="auto"/>
        <w:tabs>
          <w:tab w:leader="none" w:pos="760" w:val="left"/>
        </w:tabs>
        <w:numPr>
          <w:ilvl w:val="0"/>
          <w:numId w:val="1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permits Mr. Saylor to use the services of one or more drivers for his personal use. The Company has established a policy that the aggregate compensation to Mr. Saylor and any other director or employee of the Company as a result of personal use of such car services, excluding any associated tax gross-up payments, may not exceed $100,000 in any fiscal year.</w:t>
      </w:r>
    </w:p>
    <w:p>
      <w:pPr>
        <w:spacing w:after="0" w:line="1" w:lineRule="exact"/>
        <w:rPr>
          <w:rFonts w:ascii="Times New Roman" w:cs="Times New Roman" w:eastAsia="Times New Roman" w:hAnsi="Times New Roman"/>
          <w:sz w:val="18"/>
          <w:szCs w:val="18"/>
          <w:color w:val="auto"/>
        </w:rPr>
      </w:pPr>
    </w:p>
    <w:p>
      <w:pPr>
        <w:ind w:left="760" w:right="520" w:hanging="378"/>
        <w:spacing w:after="0" w:line="250" w:lineRule="auto"/>
        <w:tabs>
          <w:tab w:leader="none" w:pos="760" w:val="left"/>
        </w:tabs>
        <w:numPr>
          <w:ilvl w:val="0"/>
          <w:numId w:val="1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subleases, at no rental cost, periodic use of a standard cubicle at the Company’s current headquarters building to Aeromar Management Company, LLC, which is a company wholly owned by Mr. Saylor and through which Mr. Saylor conducts personal business activities and allows Mr. Saylor certain use of assistants for personal matters.</w:t>
      </w:r>
    </w:p>
    <w:p>
      <w:pPr>
        <w:spacing w:after="0" w:line="1" w:lineRule="exact"/>
        <w:rPr>
          <w:rFonts w:ascii="Times New Roman" w:cs="Times New Roman" w:eastAsia="Times New Roman" w:hAnsi="Times New Roman"/>
          <w:sz w:val="18"/>
          <w:szCs w:val="18"/>
          <w:color w:val="auto"/>
        </w:rPr>
      </w:pPr>
    </w:p>
    <w:p>
      <w:pPr>
        <w:ind w:left="760" w:right="160" w:hanging="378"/>
        <w:spacing w:after="0" w:line="260" w:lineRule="auto"/>
        <w:tabs>
          <w:tab w:leader="none" w:pos="760" w:val="left"/>
        </w:tabs>
        <w:numPr>
          <w:ilvl w:val="0"/>
          <w:numId w:val="1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pays for various costs related to a security program pursuant to which security services are provided to Mr. Saylor, provided that the total cost to the Company of such program, together with any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868680</wp:posOffset>
            </wp:positionV>
            <wp:extent cx="7157720" cy="42545"/>
            <wp:wrapNone/>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73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78" w:name="page179"/>
    <w:bookmarkEnd w:id="178"/>
    <w:p>
      <w:pPr>
        <w:ind w:left="760"/>
        <w:spacing w:after="0"/>
        <w:rPr>
          <w:sz w:val="20"/>
          <w:szCs w:val="20"/>
          <w:color w:val="auto"/>
        </w:rPr>
      </w:pPr>
      <w:r>
        <w:rPr>
          <w:rFonts w:ascii="Times New Roman" w:cs="Times New Roman" w:eastAsia="Times New Roman" w:hAnsi="Times New Roman"/>
          <w:sz w:val="18"/>
          <w:szCs w:val="18"/>
          <w:color w:val="auto"/>
        </w:rPr>
        <w:t>associated tax gross-up payments to Mr. Saylor, does not exceed $1,400,000 in any given calendar year (the “Security Program Cap”).</w:t>
      </w:r>
    </w:p>
    <w:p>
      <w:pPr>
        <w:spacing w:after="0" w:line="27" w:lineRule="exact"/>
        <w:rPr>
          <w:sz w:val="20"/>
          <w:szCs w:val="20"/>
          <w:color w:val="auto"/>
        </w:rPr>
      </w:pPr>
    </w:p>
    <w:p>
      <w:pPr>
        <w:ind w:left="760" w:hanging="378"/>
        <w:spacing w:after="0" w:line="250" w:lineRule="auto"/>
        <w:tabs>
          <w:tab w:leader="none" w:pos="760" w:val="left"/>
        </w:tabs>
        <w:numPr>
          <w:ilvl w:val="0"/>
          <w:numId w:val="1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may hold, host, or otherwise arrange events, outings, or other similar entertainment functions at which Mr. Saylor is permitted to entertain personal guests. The Company has established a policy that the aggregate incremental cost to the Company of such entertainment activities (to the extent that they are not Corporate Development Programs) attributable to Mr. Saylor, including any associated tax gross-up payments, may not exceed $75,000 in any fiscal year (the “Entertainment Events Cap”).</w:t>
      </w:r>
    </w:p>
    <w:p>
      <w:pPr>
        <w:spacing w:after="0" w:line="1"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1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permits Mr. Saylor to make personal use of the website, Michael.com, which is owned and maintained by the Company.</w:t>
      </w:r>
    </w:p>
    <w:p>
      <w:pPr>
        <w:spacing w:after="0" w:line="207" w:lineRule="exact"/>
        <w:rPr>
          <w:sz w:val="20"/>
          <w:szCs w:val="20"/>
          <w:color w:val="auto"/>
        </w:rPr>
      </w:pPr>
    </w:p>
    <w:p>
      <w:pPr>
        <w:ind w:right="20" w:firstLine="849"/>
        <w:spacing w:after="0" w:line="258" w:lineRule="auto"/>
        <w:rPr>
          <w:sz w:val="20"/>
          <w:szCs w:val="20"/>
          <w:color w:val="auto"/>
        </w:rPr>
      </w:pPr>
      <w:r>
        <w:rPr>
          <w:rFonts w:ascii="Times New Roman" w:cs="Times New Roman" w:eastAsia="Times New Roman" w:hAnsi="Times New Roman"/>
          <w:sz w:val="18"/>
          <w:szCs w:val="18"/>
          <w:color w:val="auto"/>
        </w:rPr>
        <w:t>To the extent that any of the arrangements described above result in compensation to an executive officer, the Company pays to (or withholds and pays to the appropriate taxing authority on behalf of) such executive officer a tax gross-up in cash approximating his (i) federal and state income and payroll taxes on the taxable income associated with such arrangements, plus (ii) federal and state income and payroll taxes on the taxes that the individual may incur as a result of the payment of taxes by the Company with respect to the imputed compensation, subject to the Entertainment Events Cap and Security Program Cap, as applicable.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1101090</wp:posOffset>
            </wp:positionV>
            <wp:extent cx="7157720" cy="42545"/>
            <wp:wrapNone/>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73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100"/>
          </w:cols>
          <w:pgMar w:left="320" w:top="1417" w:right="479" w:bottom="1440" w:gutter="0" w:footer="0" w:header="0"/>
        </w:sectPr>
      </w:pPr>
    </w:p>
    <w:bookmarkStart w:id="179" w:name="page180"/>
    <w:bookmarkEnd w:id="179"/>
    <w:p>
      <w:pPr>
        <w:ind w:left="10220"/>
        <w:spacing w:after="0"/>
        <w:rPr>
          <w:sz w:val="20"/>
          <w:szCs w:val="20"/>
          <w:color w:val="auto"/>
        </w:rPr>
      </w:pPr>
      <w:r>
        <w:rPr>
          <w:rFonts w:ascii="Times New Roman" w:cs="Times New Roman" w:eastAsia="Times New Roman" w:hAnsi="Times New Roman"/>
          <w:sz w:val="17"/>
          <w:szCs w:val="17"/>
          <w:b w:val="1"/>
          <w:bCs w:val="1"/>
          <w:color w:val="auto"/>
        </w:rPr>
        <w:t>Exhibit 10.38</w:t>
      </w:r>
    </w:p>
    <w:p>
      <w:pPr>
        <w:spacing w:after="0" w:line="16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Summary of Director Fees, Equity Grants, Perquisites, and Associated Other Compensation Arrangements for Non-Employee Directors</w:t>
      </w:r>
    </w:p>
    <w:p>
      <w:pPr>
        <w:spacing w:after="0" w:line="148" w:lineRule="exact"/>
        <w:rPr>
          <w:sz w:val="20"/>
          <w:szCs w:val="20"/>
          <w:color w:val="auto"/>
        </w:rPr>
      </w:pPr>
    </w:p>
    <w:p>
      <w:pPr>
        <w:ind w:right="20"/>
        <w:spacing w:after="0" w:line="266" w:lineRule="auto"/>
        <w:rPr>
          <w:sz w:val="20"/>
          <w:szCs w:val="20"/>
          <w:color w:val="auto"/>
        </w:rPr>
      </w:pPr>
      <w:r>
        <w:rPr>
          <w:rFonts w:ascii="Times New Roman" w:cs="Times New Roman" w:eastAsia="Times New Roman" w:hAnsi="Times New Roman"/>
          <w:sz w:val="18"/>
          <w:szCs w:val="18"/>
          <w:color w:val="auto"/>
        </w:rPr>
        <w:t>This Summary sets forth, as of February 18, 2025, director fees, equity grants, perquisites, and other personal benefits that MicroStrategy Incorporated d/b/a Strategy (“Strategy” and, collectively with its subsidiaries, the “Company”) provides to the non-employee directors (“Outside Directors”) of its Board of Directors (the “Board”).</w:t>
      </w:r>
    </w:p>
    <w:p>
      <w:pPr>
        <w:spacing w:after="0" w:line="108" w:lineRule="exact"/>
        <w:rPr>
          <w:sz w:val="20"/>
          <w:szCs w:val="20"/>
          <w:color w:val="auto"/>
        </w:rPr>
      </w:pPr>
    </w:p>
    <w:p>
      <w:pPr>
        <w:ind w:right="20"/>
        <w:spacing w:after="0" w:line="256" w:lineRule="auto"/>
        <w:rPr>
          <w:sz w:val="20"/>
          <w:szCs w:val="20"/>
          <w:color w:val="auto"/>
        </w:rPr>
      </w:pPr>
      <w:r>
        <w:rPr>
          <w:rFonts w:ascii="Times New Roman" w:cs="Times New Roman" w:eastAsia="Times New Roman" w:hAnsi="Times New Roman"/>
          <w:sz w:val="18"/>
          <w:szCs w:val="18"/>
          <w:color w:val="auto"/>
        </w:rPr>
        <w:t>Each Outside Director receives a quarterly fee of $25,000. Each Outside Director who is a member of the Audit Committee of the Board (the “Audit Committee”) also receives a quarterly fee of $10,000 (or $15,000 in the case of the Chair of the Audit Committee). Each Outside Director who is a member of the Compensation Committee of the Board (the “Compensation Committee”) also receives a quarterly fee of $5,000 (or $7,500 in the case of the Chair of the Compensation Committee). In order to be eligible to receive Board, Audit Committee, or Compensation Committee fees with respect to a fiscal quarter, the Outside Director must have served on the Board, Audit Committee, or Compensation Committee, as applicable, on the last day of such fiscal quarter.</w:t>
      </w:r>
    </w:p>
    <w:p>
      <w:pPr>
        <w:spacing w:after="0" w:line="120" w:lineRule="exact"/>
        <w:rPr>
          <w:sz w:val="20"/>
          <w:szCs w:val="20"/>
          <w:color w:val="auto"/>
        </w:rPr>
      </w:pPr>
    </w:p>
    <w:p>
      <w:pPr>
        <w:ind w:right="100"/>
        <w:spacing w:after="0" w:line="266" w:lineRule="auto"/>
        <w:rPr>
          <w:sz w:val="20"/>
          <w:szCs w:val="20"/>
          <w:color w:val="auto"/>
        </w:rPr>
      </w:pPr>
      <w:r>
        <w:rPr>
          <w:rFonts w:ascii="Times New Roman" w:cs="Times New Roman" w:eastAsia="Times New Roman" w:hAnsi="Times New Roman"/>
          <w:sz w:val="18"/>
          <w:szCs w:val="18"/>
          <w:color w:val="auto"/>
        </w:rPr>
        <w:t>Beginning in April 2021, Outside Directors have received all fees for their service on the Board in bitcoin instead of cash. The amount of Board fees payable to Outside Directors is nominally denominated in U.S. dollars. At the time of payment, the fees are converted from U.S. dollars into bitcoin by the payment processor and then deposited into the digital wallet of the applicable Outside Director.</w:t>
      </w:r>
    </w:p>
    <w:p>
      <w:pPr>
        <w:spacing w:after="0" w:line="95" w:lineRule="exact"/>
        <w:rPr>
          <w:sz w:val="20"/>
          <w:szCs w:val="20"/>
          <w:color w:val="auto"/>
        </w:rPr>
      </w:pPr>
    </w:p>
    <w:p>
      <w:pPr>
        <w:ind w:right="140"/>
        <w:spacing w:after="0" w:line="261" w:lineRule="auto"/>
        <w:rPr>
          <w:sz w:val="20"/>
          <w:szCs w:val="20"/>
          <w:color w:val="auto"/>
        </w:rPr>
      </w:pPr>
      <w:r>
        <w:rPr>
          <w:rFonts w:ascii="Times New Roman" w:cs="Times New Roman" w:eastAsia="Times New Roman" w:hAnsi="Times New Roman"/>
          <w:sz w:val="18"/>
          <w:szCs w:val="18"/>
          <w:color w:val="auto"/>
        </w:rPr>
        <w:t>Additionally, since May 2023, each Outside Director receives on May 31 of each year automatic annual equity awards in accordance with the terms of the Strategy 2023 Equity Incentive Plan, as amended, including (i) a stock option award to purchase shares of Strategy’s class A common stock and (ii) a restricted stock unit (“RSU”) award. Each annual stock option award and RSU award will have an aggregate fair market value of $150,000, calculated based on grant date fair value for financial reporting purposes, with each award vesting the following May 31.</w:t>
      </w:r>
    </w:p>
    <w:p>
      <w:pPr>
        <w:spacing w:after="0" w:line="112" w:lineRule="exact"/>
        <w:rPr>
          <w:sz w:val="20"/>
          <w:szCs w:val="20"/>
          <w:color w:val="auto"/>
        </w:rPr>
      </w:pPr>
    </w:p>
    <w:p>
      <w:pPr>
        <w:ind w:right="100"/>
        <w:spacing w:after="0" w:line="258" w:lineRule="auto"/>
        <w:rPr>
          <w:sz w:val="20"/>
          <w:szCs w:val="20"/>
          <w:color w:val="auto"/>
        </w:rPr>
      </w:pPr>
      <w:r>
        <w:rPr>
          <w:rFonts w:ascii="Times New Roman" w:cs="Times New Roman" w:eastAsia="Times New Roman" w:hAnsi="Times New Roman"/>
          <w:sz w:val="18"/>
          <w:szCs w:val="18"/>
          <w:color w:val="auto"/>
        </w:rPr>
        <w:t>Beginning on December 20, 2024, each Outside Director who is newly appointed to the Board shall automatically receive, in accordance with the terms of the Strategy 2023 Equity Incentive Plan, as amended, upon the date of such director’s initial appointment to the Board, equity awards having an aggregate fair market value (calculated based on grant date fair value for financial reporting purposes) equal to $2,000,000, one-half of which ($1,000,000) will consist of a non-statutory stock option and one-half of which ($1,000,000) will consist of RSUs, with each award vesting annually in equal installments over four years.</w:t>
      </w:r>
    </w:p>
    <w:p>
      <w:pPr>
        <w:spacing w:after="0" w:line="116" w:lineRule="exact"/>
        <w:rPr>
          <w:sz w:val="20"/>
          <w:szCs w:val="20"/>
          <w:color w:val="auto"/>
        </w:rPr>
      </w:pPr>
    </w:p>
    <w:p>
      <w:pPr>
        <w:ind w:right="20"/>
        <w:spacing w:after="0" w:line="258" w:lineRule="auto"/>
        <w:rPr>
          <w:sz w:val="20"/>
          <w:szCs w:val="20"/>
          <w:color w:val="auto"/>
        </w:rPr>
      </w:pPr>
      <w:r>
        <w:rPr>
          <w:rFonts w:ascii="Times New Roman" w:cs="Times New Roman" w:eastAsia="Times New Roman" w:hAnsi="Times New Roman"/>
          <w:sz w:val="18"/>
          <w:szCs w:val="18"/>
          <w:color w:val="auto"/>
        </w:rPr>
        <w:t>From time to time, the Board may hold meetings and other related activities in various locations for which the Company pays for the expenses of Outside Directors and their guests (“Meeting Activities”). In addition, the Company may hold, host, or otherwise arrange parties, outings, or other similar entertainment events for which the Company pays for the expenses of Outside Directors and their guests (“Entertainment Events”). The Company may also request that Outside Directors participate in conferences, symposia, and other similar events or activities relating to the Company’s business for which the Company pays the expenses of Outside Directors and their guests (“Company-sponsored Activities”).</w:t>
      </w:r>
    </w:p>
    <w:p>
      <w:pPr>
        <w:spacing w:after="0" w:line="102"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8"/>
          <w:szCs w:val="18"/>
          <w:color w:val="auto"/>
        </w:rPr>
        <w:t>The Company is also authorized to make available, from time to time, for personal use by Outside Directors: tickets to sporting, charity, dining, entertainment, or similar events, as well as use of corporate suites, club memberships, or similar facilities that the Company may acquire; Company-owned vehicles and related driving services; the services of one or more drivers for vehicles other than Company-owned vehicles; and the Company’s Bombardier Global Express XRS aircraft (collectively with additional aircraft that the Company may lease or charter, the “Company Aircraft”). Outside Directors may make personal use of Company Aircraft; provided that (a) all Outside Directors are invited by the Company to travel on the applicable flight and (b) such personal use is in connection with the Outside Director’s participation in one or more (1) Meeting Activities, (2) Entertainment Events to which all Outside Directors have been invited, or (3) Company-sponsored Activities. In addition, Outside Directors may make personal use of Company Aircraft on a “ride-along” basis. The Company also makes available to Outside Directors certain medical, dental, and vision insurance plan benefits that the Company offers to its U.S. employees.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967105</wp:posOffset>
            </wp:positionV>
            <wp:extent cx="7157720" cy="42545"/>
            <wp:wrapNone/>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73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180" w:name="page181"/>
    <w:bookmarkEnd w:id="180"/>
    <w:p>
      <w:pPr>
        <w:spacing w:after="0" w:line="261" w:lineRule="auto"/>
        <w:rPr>
          <w:sz w:val="20"/>
          <w:szCs w:val="20"/>
          <w:color w:val="auto"/>
        </w:rPr>
      </w:pPr>
      <w:r>
        <w:rPr>
          <w:rFonts w:ascii="Times New Roman" w:cs="Times New Roman" w:eastAsia="Times New Roman" w:hAnsi="Times New Roman"/>
          <w:sz w:val="18"/>
          <w:szCs w:val="18"/>
          <w:color w:val="auto"/>
        </w:rPr>
        <w:t>To the extent that any of the arrangements described above, other than fee compensation, result in imputed compensation to an Outside Director, the Company pays to (or withholds and pays to the appropriate taxing authority on behalf of) such Outside Director a tax gross-up in cash approximating his (i) federal and state income and payroll taxes on the taxable income associated with such arrangements, plus (ii) federal and state income and payroll taxes on the taxes that the Outside Director may incur as a result of the payment of taxes by the Company with respect to the imputed compensation.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1184275</wp:posOffset>
            </wp:positionV>
            <wp:extent cx="7157720" cy="42545"/>
            <wp:wrapNone/>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73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20"/>
          </w:cols>
          <w:pgMar w:left="320" w:top="1417" w:right="359" w:bottom="1440" w:gutter="0" w:footer="0" w:header="0"/>
        </w:sectPr>
      </w:pPr>
    </w:p>
    <w:bookmarkStart w:id="181" w:name="page182"/>
    <w:bookmarkEnd w:id="181"/>
    <w:p>
      <w:pPr>
        <w:jc w:val="right"/>
        <w:spacing w:after="0"/>
        <w:rPr>
          <w:sz w:val="20"/>
          <w:szCs w:val="20"/>
          <w:color w:val="auto"/>
        </w:rPr>
      </w:pPr>
      <w:r>
        <w:rPr>
          <w:rFonts w:ascii="Calibri" w:cs="Calibri" w:eastAsia="Calibri" w:hAnsi="Calibri"/>
          <w:sz w:val="18"/>
          <w:szCs w:val="18"/>
          <w:b w:val="1"/>
          <w:bCs w:val="1"/>
          <w:color w:val="auto"/>
        </w:rPr>
        <w:t>Exhibit 19</w:t>
      </w:r>
    </w:p>
    <w:p>
      <w:pPr>
        <w:spacing w:after="0" w:line="212" w:lineRule="exact"/>
        <w:rPr>
          <w:sz w:val="20"/>
          <w:szCs w:val="20"/>
          <w:color w:val="auto"/>
        </w:rPr>
      </w:pPr>
    </w:p>
    <w:p>
      <w:pPr>
        <w:jc w:val="center"/>
        <w:spacing w:after="0"/>
        <w:rPr>
          <w:sz w:val="20"/>
          <w:szCs w:val="20"/>
          <w:color w:val="auto"/>
        </w:rPr>
      </w:pPr>
      <w:r>
        <w:rPr>
          <w:rFonts w:ascii="Calibri" w:cs="Calibri" w:eastAsia="Calibri" w:hAnsi="Calibri"/>
          <w:sz w:val="25"/>
          <w:szCs w:val="25"/>
          <w:b w:val="1"/>
          <w:bCs w:val="1"/>
          <w:color w:val="auto"/>
        </w:rPr>
        <w:t>MicroStrategy Incorporated - Insider Trading Policy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29210</wp:posOffset>
            </wp:positionV>
            <wp:extent cx="7132320" cy="8890"/>
            <wp:wrapNone/>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736">
                      <a:extLst>
                        <a:ext uri="{28A0092B-C50C-407E-A947-70E740481C1C}"/>
                      </a:extLst>
                    </a:blip>
                    <a:srcRect/>
                    <a:stretch>
                      <a:fillRect/>
                    </a:stretch>
                  </pic:blipFill>
                  <pic:spPr bwMode="auto">
                    <a:xfrm>
                      <a:off x="0" y="0"/>
                      <a:ext cx="7132320" cy="8890"/>
                    </a:xfrm>
                    <a:prstGeom prst="rect">
                      <a:avLst/>
                    </a:prstGeom>
                    <a:noFill/>
                  </pic:spPr>
                </pic:pic>
              </a:graphicData>
            </a:graphic>
          </wp:anchor>
        </w:drawing>
      </w:r>
    </w:p>
    <w:p>
      <w:pPr>
        <w:spacing w:after="0" w:line="240" w:lineRule="exact"/>
        <w:rPr>
          <w:sz w:val="20"/>
          <w:szCs w:val="20"/>
          <w:color w:val="auto"/>
        </w:rPr>
      </w:pPr>
    </w:p>
    <w:p>
      <w:pPr>
        <w:ind w:left="520" w:hanging="512"/>
        <w:spacing w:after="0"/>
        <w:tabs>
          <w:tab w:leader="none" w:pos="520" w:val="left"/>
        </w:tabs>
        <w:numPr>
          <w:ilvl w:val="0"/>
          <w:numId w:val="143"/>
        </w:numPr>
        <w:rPr>
          <w:rFonts w:ascii="Calibri" w:cs="Calibri" w:eastAsia="Calibri" w:hAnsi="Calibri"/>
          <w:sz w:val="14"/>
          <w:szCs w:val="14"/>
          <w:b w:val="1"/>
          <w:bCs w:val="1"/>
          <w:color w:val="auto"/>
        </w:rPr>
      </w:pPr>
      <w:r>
        <w:rPr>
          <w:rFonts w:ascii="Calibri" w:cs="Calibri" w:eastAsia="Calibri" w:hAnsi="Calibri"/>
          <w:sz w:val="14"/>
          <w:szCs w:val="14"/>
          <w:b w:val="1"/>
          <w:bCs w:val="1"/>
          <w:u w:val="single" w:color="auto"/>
          <w:color w:val="auto"/>
        </w:rPr>
        <w:t>Overview</w:t>
      </w:r>
    </w:p>
    <w:p>
      <w:pPr>
        <w:spacing w:after="0" w:line="180" w:lineRule="exact"/>
        <w:rPr>
          <w:rFonts w:ascii="Calibri" w:cs="Calibri" w:eastAsia="Calibri" w:hAnsi="Calibri"/>
          <w:sz w:val="14"/>
          <w:szCs w:val="14"/>
          <w:b w:val="1"/>
          <w:bCs w:val="1"/>
          <w:color w:val="auto"/>
        </w:rPr>
      </w:pPr>
    </w:p>
    <w:p>
      <w:pPr>
        <w:ind w:left="1140" w:hanging="383"/>
        <w:spacing w:after="0"/>
        <w:tabs>
          <w:tab w:leader="none" w:pos="1140" w:val="left"/>
        </w:tabs>
        <w:numPr>
          <w:ilvl w:val="1"/>
          <w:numId w:val="143"/>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General Overview</w:t>
      </w:r>
    </w:p>
    <w:p>
      <w:pPr>
        <w:spacing w:after="0" w:line="181" w:lineRule="exact"/>
        <w:rPr>
          <w:rFonts w:ascii="Calibri" w:cs="Calibri" w:eastAsia="Calibri" w:hAnsi="Calibri"/>
          <w:sz w:val="14"/>
          <w:szCs w:val="14"/>
          <w:b w:val="1"/>
          <w:bCs w:val="1"/>
          <w:color w:val="auto"/>
        </w:rPr>
      </w:pPr>
    </w:p>
    <w:p>
      <w:pPr>
        <w:jc w:val="both"/>
        <w:ind w:left="1140"/>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This policy (including all addenda and exhibits) (“</w:t>
      </w:r>
      <w:r>
        <w:rPr>
          <w:rFonts w:ascii="Calibri" w:cs="Calibri" w:eastAsia="Calibri" w:hAnsi="Calibri"/>
          <w:sz w:val="14"/>
          <w:szCs w:val="14"/>
          <w:b w:val="1"/>
          <w:bCs w:val="1"/>
          <w:color w:val="auto"/>
        </w:rPr>
        <w:t>Policy</w:t>
      </w:r>
      <w:r>
        <w:rPr>
          <w:rFonts w:ascii="Calibri" w:cs="Calibri" w:eastAsia="Calibri" w:hAnsi="Calibri"/>
          <w:sz w:val="14"/>
          <w:szCs w:val="14"/>
          <w:color w:val="auto"/>
        </w:rPr>
        <w:t>”) provides guidelines regarding transactons in the securites of MicroStrategy Incorporated (together with its subsidiaries, “</w:t>
      </w:r>
      <w:r>
        <w:rPr>
          <w:rFonts w:ascii="Calibri" w:cs="Calibri" w:eastAsia="Calibri" w:hAnsi="Calibri"/>
          <w:sz w:val="14"/>
          <w:szCs w:val="14"/>
          <w:b w:val="1"/>
          <w:bCs w:val="1"/>
          <w:color w:val="auto"/>
        </w:rPr>
        <w:t>MicroStrategy</w:t>
      </w:r>
      <w:r>
        <w:rPr>
          <w:rFonts w:ascii="Calibri" w:cs="Calibri" w:eastAsia="Calibri" w:hAnsi="Calibri"/>
          <w:sz w:val="14"/>
          <w:szCs w:val="14"/>
          <w:color w:val="auto"/>
        </w:rPr>
        <w:t>” or the “</w:t>
      </w:r>
      <w:r>
        <w:rPr>
          <w:rFonts w:ascii="Calibri" w:cs="Calibri" w:eastAsia="Calibri" w:hAnsi="Calibri"/>
          <w:sz w:val="14"/>
          <w:szCs w:val="14"/>
          <w:b w:val="1"/>
          <w:bCs w:val="1"/>
          <w:color w:val="auto"/>
        </w:rPr>
        <w:t>Company</w:t>
      </w:r>
      <w:r>
        <w:rPr>
          <w:rFonts w:ascii="Calibri" w:cs="Calibri" w:eastAsia="Calibri" w:hAnsi="Calibri"/>
          <w:sz w:val="14"/>
          <w:szCs w:val="14"/>
          <w:color w:val="auto"/>
        </w:rPr>
        <w:t>”). The purpose of this Policy is (i) to diminish the likelihood of trading on inside informaton in violaton of federal and state securites laws, including Secton 10(b) of the Securites Exchange Act of 1934 and Securites and Exchange Commission (“</w:t>
      </w:r>
      <w:r>
        <w:rPr>
          <w:rFonts w:ascii="Calibri" w:cs="Calibri" w:eastAsia="Calibri" w:hAnsi="Calibri"/>
          <w:sz w:val="14"/>
          <w:szCs w:val="14"/>
          <w:b w:val="1"/>
          <w:bCs w:val="1"/>
          <w:color w:val="auto"/>
        </w:rPr>
        <w:t>SEC</w:t>
      </w:r>
      <w:r>
        <w:rPr>
          <w:rFonts w:ascii="Calibri" w:cs="Calibri" w:eastAsia="Calibri" w:hAnsi="Calibri"/>
          <w:sz w:val="14"/>
          <w:szCs w:val="14"/>
          <w:color w:val="auto"/>
        </w:rPr>
        <w:t>”) Rule 10b-5, (ii) to promote compliance with SEC Rule 10b-5, and (iii) to promote the Company’s obligaton to publicly disclose informaton related to its insider trading policies and practces and the use of certain trading arrangements by Insiders (as defned below). Because the vast majority of civil securites lawsuits include allegatons of insider trading, it is important to undertake reasonable steps to minimize the likelihood of both intentonal and inadvertent violatons of securites laws and to reduce MicroStrategy’s and its employees’, ofcers’, and directors’ potental exposure to SEC and derivatve shareholder actons arising out of such violatons.</w:t>
      </w:r>
    </w:p>
    <w:p>
      <w:pPr>
        <w:spacing w:after="0" w:line="176" w:lineRule="exact"/>
        <w:rPr>
          <w:rFonts w:ascii="Calibri" w:cs="Calibri" w:eastAsia="Calibri" w:hAnsi="Calibri"/>
          <w:sz w:val="14"/>
          <w:szCs w:val="14"/>
          <w:b w:val="1"/>
          <w:bCs w:val="1"/>
          <w:color w:val="auto"/>
        </w:rPr>
      </w:pPr>
    </w:p>
    <w:p>
      <w:pPr>
        <w:ind w:left="1140" w:hanging="383"/>
        <w:spacing w:after="0"/>
        <w:tabs>
          <w:tab w:leader="none" w:pos="1140" w:val="left"/>
        </w:tabs>
        <w:numPr>
          <w:ilvl w:val="1"/>
          <w:numId w:val="143"/>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Example of Insider Trading</w:t>
      </w:r>
    </w:p>
    <w:p>
      <w:pPr>
        <w:spacing w:after="0" w:line="181" w:lineRule="exact"/>
        <w:rPr>
          <w:rFonts w:ascii="Calibri" w:cs="Calibri" w:eastAsia="Calibri" w:hAnsi="Calibri"/>
          <w:sz w:val="14"/>
          <w:szCs w:val="14"/>
          <w:b w:val="1"/>
          <w:bCs w:val="1"/>
          <w:color w:val="auto"/>
        </w:rPr>
      </w:pPr>
    </w:p>
    <w:p>
      <w:pPr>
        <w:ind w:left="1140"/>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The landmark Texas Gulf Sulphur litgaton is a good example of how Rule 10b-5 operates. Several people traded the company’s stock before news of a major new mineral discovery had been released and disseminated. They included a director, the company secretary, a company lawyer and a company geologist:</w:t>
      </w:r>
    </w:p>
    <w:p>
      <w:pPr>
        <w:spacing w:after="0" w:line="177" w:lineRule="exact"/>
        <w:rPr>
          <w:rFonts w:ascii="Calibri" w:cs="Calibri" w:eastAsia="Calibri" w:hAnsi="Calibri"/>
          <w:sz w:val="14"/>
          <w:szCs w:val="14"/>
          <w:b w:val="1"/>
          <w:bCs w:val="1"/>
          <w:color w:val="auto"/>
        </w:rPr>
      </w:pPr>
    </w:p>
    <w:p>
      <w:pPr>
        <w:ind w:left="1880" w:hanging="375"/>
        <w:spacing w:after="0" w:line="245" w:lineRule="auto"/>
        <w:tabs>
          <w:tab w:leader="none" w:pos="1880" w:val="left"/>
        </w:tabs>
        <w:numPr>
          <w:ilvl w:val="2"/>
          <w:numId w:val="143"/>
        </w:numPr>
        <w:rPr>
          <w:rFonts w:ascii="Times New Roman" w:cs="Times New Roman" w:eastAsia="Times New Roman" w:hAnsi="Times New Roman"/>
          <w:sz w:val="14"/>
          <w:szCs w:val="14"/>
          <w:color w:val="auto"/>
        </w:rPr>
      </w:pPr>
      <w:r>
        <w:rPr>
          <w:rFonts w:ascii="Calibri" w:cs="Calibri" w:eastAsia="Calibri" w:hAnsi="Calibri"/>
          <w:sz w:val="14"/>
          <w:szCs w:val="14"/>
          <w:color w:val="auto"/>
        </w:rPr>
        <w:t>The director lef a press conference announcing the discovery and ordered 2,000 shares of company stock for various family trust accounts. He was found to be liable because, even though the news had been announced, it had not yet been widely disseminated.</w:t>
      </w:r>
    </w:p>
    <w:p>
      <w:pPr>
        <w:spacing w:after="0" w:line="110" w:lineRule="exact"/>
        <w:rPr>
          <w:rFonts w:ascii="Times New Roman" w:cs="Times New Roman" w:eastAsia="Times New Roman" w:hAnsi="Times New Roman"/>
          <w:sz w:val="14"/>
          <w:szCs w:val="14"/>
          <w:color w:val="auto"/>
        </w:rPr>
      </w:pPr>
    </w:p>
    <w:p>
      <w:pPr>
        <w:ind w:left="1880" w:hanging="375"/>
        <w:spacing w:after="0" w:line="245" w:lineRule="auto"/>
        <w:tabs>
          <w:tab w:leader="none" w:pos="1880" w:val="left"/>
        </w:tabs>
        <w:numPr>
          <w:ilvl w:val="2"/>
          <w:numId w:val="143"/>
        </w:numPr>
        <w:rPr>
          <w:rFonts w:ascii="Times New Roman" w:cs="Times New Roman" w:eastAsia="Times New Roman" w:hAnsi="Times New Roman"/>
          <w:sz w:val="14"/>
          <w:szCs w:val="14"/>
          <w:color w:val="auto"/>
        </w:rPr>
      </w:pPr>
      <w:r>
        <w:rPr>
          <w:rFonts w:ascii="Calibri" w:cs="Calibri" w:eastAsia="Calibri" w:hAnsi="Calibri"/>
          <w:sz w:val="14"/>
          <w:szCs w:val="14"/>
          <w:color w:val="auto"/>
        </w:rPr>
        <w:t>The company secretary called his broker at midnight before the press conference and ordered 300 shares when the market opened. The court held that he purposely “beat the news,” using material inside informaton to his own advantage.</w:t>
      </w:r>
    </w:p>
    <w:p>
      <w:pPr>
        <w:spacing w:after="0" w:line="110" w:lineRule="exact"/>
        <w:rPr>
          <w:rFonts w:ascii="Times New Roman" w:cs="Times New Roman" w:eastAsia="Times New Roman" w:hAnsi="Times New Roman"/>
          <w:sz w:val="14"/>
          <w:szCs w:val="14"/>
          <w:color w:val="auto"/>
        </w:rPr>
      </w:pPr>
    </w:p>
    <w:p>
      <w:pPr>
        <w:ind w:left="1880" w:hanging="375"/>
        <w:spacing w:after="0" w:line="245" w:lineRule="auto"/>
        <w:tabs>
          <w:tab w:leader="none" w:pos="1880" w:val="left"/>
        </w:tabs>
        <w:numPr>
          <w:ilvl w:val="2"/>
          <w:numId w:val="143"/>
        </w:numPr>
        <w:rPr>
          <w:rFonts w:ascii="Times New Roman" w:cs="Times New Roman" w:eastAsia="Times New Roman" w:hAnsi="Times New Roman"/>
          <w:sz w:val="14"/>
          <w:szCs w:val="14"/>
          <w:color w:val="auto"/>
        </w:rPr>
      </w:pPr>
      <w:r>
        <w:rPr>
          <w:rFonts w:ascii="Calibri" w:cs="Calibri" w:eastAsia="Calibri" w:hAnsi="Calibri"/>
          <w:sz w:val="14"/>
          <w:szCs w:val="14"/>
          <w:color w:val="auto"/>
        </w:rPr>
        <w:t>The company atorney, involved in land acquisiton, purchased calls on company stock following the discovery. The court ruled that he possessed enough inside informaton to be in violaton of Rule 10b-5 even though he had no access to details regarding the discovery.</w:t>
      </w:r>
    </w:p>
    <w:p>
      <w:pPr>
        <w:spacing w:after="0" w:line="109" w:lineRule="exact"/>
        <w:rPr>
          <w:rFonts w:ascii="Times New Roman" w:cs="Times New Roman" w:eastAsia="Times New Roman" w:hAnsi="Times New Roman"/>
          <w:sz w:val="14"/>
          <w:szCs w:val="14"/>
          <w:color w:val="auto"/>
        </w:rPr>
      </w:pPr>
    </w:p>
    <w:p>
      <w:pPr>
        <w:ind w:left="1880" w:hanging="375"/>
        <w:spacing w:after="0"/>
        <w:tabs>
          <w:tab w:leader="none" w:pos="1880" w:val="left"/>
        </w:tabs>
        <w:numPr>
          <w:ilvl w:val="2"/>
          <w:numId w:val="143"/>
        </w:numPr>
        <w:rPr>
          <w:rFonts w:ascii="Times New Roman" w:cs="Times New Roman" w:eastAsia="Times New Roman" w:hAnsi="Times New Roman"/>
          <w:sz w:val="14"/>
          <w:szCs w:val="14"/>
          <w:color w:val="auto"/>
        </w:rPr>
      </w:pPr>
      <w:r>
        <w:rPr>
          <w:rFonts w:ascii="Calibri" w:cs="Calibri" w:eastAsia="Calibri" w:hAnsi="Calibri"/>
          <w:sz w:val="14"/>
          <w:szCs w:val="14"/>
          <w:color w:val="auto"/>
        </w:rPr>
        <w:t>A geologist who knew of the discovery was held liable for tpping outsiders who traded on the basis of his tps.</w:t>
      </w:r>
    </w:p>
    <w:p>
      <w:pPr>
        <w:spacing w:after="0" w:line="180" w:lineRule="exact"/>
        <w:rPr>
          <w:rFonts w:ascii="Times New Roman" w:cs="Times New Roman" w:eastAsia="Times New Roman" w:hAnsi="Times New Roman"/>
          <w:sz w:val="14"/>
          <w:szCs w:val="14"/>
          <w:color w:val="auto"/>
        </w:rPr>
      </w:pPr>
    </w:p>
    <w:p>
      <w:pPr>
        <w:ind w:left="1140" w:hanging="383"/>
        <w:spacing w:after="0"/>
        <w:tabs>
          <w:tab w:leader="none" w:pos="1140" w:val="left"/>
        </w:tabs>
        <w:numPr>
          <w:ilvl w:val="1"/>
          <w:numId w:val="143"/>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Index of Certain Defned Terms</w:t>
      </w:r>
    </w:p>
    <w:p>
      <w:pPr>
        <w:spacing w:after="0" w:line="180" w:lineRule="exact"/>
        <w:rPr>
          <w:sz w:val="20"/>
          <w:szCs w:val="20"/>
          <w:color w:val="auto"/>
        </w:rPr>
      </w:pPr>
    </w:p>
    <w:p>
      <w:pPr>
        <w:ind w:left="1140"/>
        <w:spacing w:after="0"/>
        <w:rPr>
          <w:sz w:val="20"/>
          <w:szCs w:val="20"/>
          <w:color w:val="auto"/>
        </w:rPr>
      </w:pPr>
      <w:r>
        <w:rPr>
          <w:rFonts w:ascii="Calibri" w:cs="Calibri" w:eastAsia="Calibri" w:hAnsi="Calibri"/>
          <w:sz w:val="14"/>
          <w:szCs w:val="14"/>
          <w:color w:val="auto"/>
        </w:rPr>
        <w:t>Each term listed below has the meaning set forth in the secton indicated.</w:t>
      </w:r>
    </w:p>
    <w:tbl>
      <w:tblPr>
        <w:tblLayout w:type="fixed"/>
        <w:tblInd w:w="10" w:type="dxa"/>
        <w:tblCellMar>
          <w:top w:w="0" w:type="dxa"/>
          <w:left w:w="0" w:type="dxa"/>
          <w:bottom w:w="0" w:type="dxa"/>
          <w:right w:w="0" w:type="dxa"/>
        </w:tblCellMar>
      </w:tblPr>
      <w:tr>
        <w:trPr>
          <w:trHeight w:val="206"/>
        </w:trPr>
        <w:tc>
          <w:tcPr>
            <w:tcW w:w="4120" w:type="dxa"/>
            <w:vAlign w:val="bottom"/>
            <w:tcBorders>
              <w:top w:val="single" w:sz="8" w:color="auto"/>
              <w:left w:val="single" w:sz="8" w:color="auto"/>
              <w:bottom w:val="single" w:sz="8" w:color="auto"/>
              <w:right w:val="single" w:sz="8" w:color="auto"/>
            </w:tcBorders>
          </w:tcPr>
          <w:p>
            <w:pPr>
              <w:ind w:left="120"/>
              <w:spacing w:after="0"/>
              <w:rPr>
                <w:sz w:val="20"/>
                <w:szCs w:val="20"/>
                <w:color w:val="auto"/>
              </w:rPr>
            </w:pPr>
            <w:r>
              <w:rPr>
                <w:rFonts w:ascii="Calibri" w:cs="Calibri" w:eastAsia="Calibri" w:hAnsi="Calibri"/>
                <w:sz w:val="14"/>
                <w:szCs w:val="14"/>
                <w:color w:val="auto"/>
                <w:highlight w:val="white"/>
              </w:rPr>
              <w:t>“Approved Trading Plan”</w:t>
            </w:r>
          </w:p>
        </w:tc>
        <w:tc>
          <w:tcPr>
            <w:tcW w:w="4640" w:type="dxa"/>
            <w:vAlign w:val="bottom"/>
            <w:tcBorders>
              <w:top w:val="single" w:sz="8" w:color="auto"/>
              <w:bottom w:val="single" w:sz="8" w:color="auto"/>
              <w:right w:val="single" w:sz="8" w:color="auto"/>
            </w:tcBorders>
          </w:tcPr>
          <w:p>
            <w:pPr>
              <w:ind w:left="80"/>
              <w:spacing w:after="0"/>
              <w:rPr>
                <w:sz w:val="20"/>
                <w:szCs w:val="20"/>
                <w:color w:val="auto"/>
              </w:rPr>
            </w:pPr>
            <w:r>
              <w:rPr>
                <w:rFonts w:ascii="Calibri" w:cs="Calibri" w:eastAsia="Calibri" w:hAnsi="Calibri"/>
                <w:sz w:val="14"/>
                <w:szCs w:val="14"/>
                <w:i w:val="1"/>
                <w:iCs w:val="1"/>
                <w:color w:val="auto"/>
              </w:rPr>
              <w:t>IV.C.3. 10b5-1 Trading Plans</w:t>
            </w:r>
          </w:p>
        </w:tc>
      </w:tr>
      <w:tr>
        <w:trPr>
          <w:trHeight w:val="151"/>
        </w:trPr>
        <w:tc>
          <w:tcPr>
            <w:tcW w:w="4120" w:type="dxa"/>
            <w:vAlign w:val="bottom"/>
            <w:tcBorders>
              <w:left w:val="single" w:sz="8" w:color="auto"/>
              <w:bottom w:val="single" w:sz="8" w:color="auto"/>
              <w:right w:val="single" w:sz="8" w:color="auto"/>
            </w:tcBorders>
          </w:tcPr>
          <w:p>
            <w:pPr>
              <w:ind w:left="120"/>
              <w:spacing w:after="0" w:line="151" w:lineRule="exact"/>
              <w:rPr>
                <w:sz w:val="20"/>
                <w:szCs w:val="20"/>
                <w:color w:val="auto"/>
              </w:rPr>
            </w:pPr>
            <w:r>
              <w:rPr>
                <w:rFonts w:ascii="Calibri" w:cs="Calibri" w:eastAsia="Calibri" w:hAnsi="Calibri"/>
                <w:sz w:val="14"/>
                <w:szCs w:val="14"/>
                <w:color w:val="auto"/>
              </w:rPr>
              <w:t>“Business Partners”</w:t>
            </w:r>
          </w:p>
        </w:tc>
        <w:tc>
          <w:tcPr>
            <w:tcW w:w="4640" w:type="dxa"/>
            <w:vAlign w:val="bottom"/>
            <w:tcBorders>
              <w:bottom w:val="single" w:sz="8" w:color="auto"/>
              <w:right w:val="single" w:sz="8" w:color="auto"/>
            </w:tcBorders>
          </w:tcPr>
          <w:p>
            <w:pPr>
              <w:ind w:left="80"/>
              <w:spacing w:after="0" w:line="150" w:lineRule="exact"/>
              <w:rPr>
                <w:sz w:val="20"/>
                <w:szCs w:val="20"/>
                <w:color w:val="auto"/>
              </w:rPr>
            </w:pPr>
            <w:r>
              <w:rPr>
                <w:rFonts w:ascii="Calibri" w:cs="Calibri" w:eastAsia="Calibri" w:hAnsi="Calibri"/>
                <w:sz w:val="14"/>
                <w:szCs w:val="14"/>
                <w:i w:val="1"/>
                <w:iCs w:val="1"/>
                <w:color w:val="auto"/>
              </w:rPr>
              <w:t>III.A. Material Nonpublic Informaton—Overview</w:t>
            </w:r>
          </w:p>
        </w:tc>
      </w:tr>
      <w:tr>
        <w:trPr>
          <w:trHeight w:val="167"/>
        </w:trPr>
        <w:tc>
          <w:tcPr>
            <w:tcW w:w="4120" w:type="dxa"/>
            <w:vAlign w:val="bottom"/>
            <w:tcBorders>
              <w:left w:val="single" w:sz="8" w:color="auto"/>
              <w:bottom w:val="single" w:sz="8" w:color="auto"/>
              <w:right w:val="single" w:sz="8" w:color="auto"/>
            </w:tcBorders>
          </w:tcPr>
          <w:p>
            <w:pPr>
              <w:ind w:left="120"/>
              <w:spacing w:after="0" w:line="168" w:lineRule="exact"/>
              <w:rPr>
                <w:sz w:val="20"/>
                <w:szCs w:val="20"/>
                <w:color w:val="auto"/>
              </w:rPr>
            </w:pPr>
            <w:r>
              <w:rPr>
                <w:rFonts w:ascii="Calibri" w:cs="Calibri" w:eastAsia="Calibri" w:hAnsi="Calibri"/>
                <w:sz w:val="14"/>
                <w:szCs w:val="14"/>
                <w:color w:val="auto"/>
              </w:rPr>
              <w:t>“Clearance Time”</w:t>
            </w:r>
          </w:p>
        </w:tc>
        <w:tc>
          <w:tcPr>
            <w:tcW w:w="4640" w:type="dxa"/>
            <w:vAlign w:val="bottom"/>
            <w:tcBorders>
              <w:bottom w:val="single" w:sz="8" w:color="auto"/>
              <w:right w:val="single" w:sz="8" w:color="auto"/>
            </w:tcBorders>
          </w:tcPr>
          <w:p>
            <w:pPr>
              <w:ind w:left="80"/>
              <w:spacing w:after="0" w:line="168" w:lineRule="exact"/>
              <w:rPr>
                <w:sz w:val="20"/>
                <w:szCs w:val="20"/>
                <w:color w:val="auto"/>
              </w:rPr>
            </w:pPr>
            <w:r>
              <w:rPr>
                <w:rFonts w:ascii="Calibri" w:cs="Calibri" w:eastAsia="Calibri" w:hAnsi="Calibri"/>
                <w:sz w:val="14"/>
                <w:szCs w:val="14"/>
                <w:i w:val="1"/>
                <w:iCs w:val="1"/>
                <w:color w:val="auto"/>
              </w:rPr>
              <w:t>IV.C. When Informaton is Considered Public</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“Compliant Trading Plan”</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IV.B.1. No Trading on Material Nonpublic Informaton</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“Insiders”</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II.B. Persons Subject to this Policy</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“material”</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III.A. Material Nonpublic Informaton—Overview</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“Material Nonpublic Informaton”</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III.A. Material Nonpublic Informaton—Overview</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“nonpublic”</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III.A. Material Nonpublic Informaton—Overview</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“Non-Trading Windows”</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IV.C.1.a. Regular Non-Trading Window</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“Policy”</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I.A. General Overview</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“Pre-Clearance Persons”</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IV.C.2. Pre-Clearance of Transactons</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“Regular Non-Trading Window”</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IV.C.1.a. Regular Non-Trading Window</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“Secton 16 Insiders”</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IV.C.2. Pre-Clearance of Transactons</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“Securites Transacton”</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IV.B.1. No Trading on Material Nonpublic Informaton</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“Special Non-Trading Windows”</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IV.C.1.c. Special Non-Trading Windows</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“tp”</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IV.B.2. No Disclosure or Tipping</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“Tippee”</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II.B. Persons Subject to this Policy</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“Trading Day”</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III.C. When Informaton is Considered Public</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“trading plan”</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IV.C.3. 10b5-1 Trading Plans</w:t>
            </w:r>
          </w:p>
        </w:tc>
      </w:tr>
      <w:tr>
        <w:trPr>
          <w:trHeight w:val="169"/>
        </w:trPr>
        <w:tc>
          <w:tcPr>
            <w:tcW w:w="4120" w:type="dxa"/>
            <w:vAlign w:val="bottom"/>
            <w:tcBorders>
              <w:left w:val="single" w:sz="8" w:color="auto"/>
              <w:bottom w:val="single" w:sz="8" w:color="auto"/>
              <w:right w:val="single" w:sz="8" w:color="auto"/>
            </w:tcBorders>
          </w:tcPr>
          <w:p>
            <w:pPr>
              <w:ind w:left="120"/>
              <w:spacing w:after="0" w:line="169" w:lineRule="exact"/>
              <w:rPr>
                <w:sz w:val="20"/>
                <w:szCs w:val="20"/>
                <w:color w:val="auto"/>
              </w:rPr>
            </w:pPr>
            <w:r>
              <w:rPr>
                <w:rFonts w:ascii="Calibri" w:cs="Calibri" w:eastAsia="Calibri" w:hAnsi="Calibri"/>
                <w:sz w:val="14"/>
                <w:szCs w:val="14"/>
                <w:color w:val="auto"/>
              </w:rPr>
              <w:t>“Trading Window”</w:t>
            </w:r>
          </w:p>
        </w:tc>
        <w:tc>
          <w:tcPr>
            <w:tcW w:w="4640" w:type="dxa"/>
            <w:vAlign w:val="bottom"/>
            <w:tcBorders>
              <w:bottom w:val="single" w:sz="8" w:color="auto"/>
              <w:right w:val="single" w:sz="8" w:color="auto"/>
            </w:tcBorders>
          </w:tcPr>
          <w:p>
            <w:pPr>
              <w:ind w:left="80"/>
              <w:spacing w:after="0" w:line="169" w:lineRule="exact"/>
              <w:rPr>
                <w:sz w:val="20"/>
                <w:szCs w:val="20"/>
                <w:color w:val="auto"/>
              </w:rPr>
            </w:pPr>
            <w:r>
              <w:rPr>
                <w:rFonts w:ascii="Calibri" w:cs="Calibri" w:eastAsia="Calibri" w:hAnsi="Calibri"/>
                <w:sz w:val="14"/>
                <w:szCs w:val="14"/>
                <w:i w:val="1"/>
                <w:iCs w:val="1"/>
                <w:color w:val="auto"/>
              </w:rPr>
              <w:t>IV.C.1.b. Trading Window</w:t>
            </w:r>
          </w:p>
        </w:tc>
      </w:tr>
    </w:tbl>
    <w:p>
      <w:pPr>
        <w:spacing w:after="0" w:line="200" w:lineRule="exact"/>
        <w:rPr>
          <w:sz w:val="20"/>
          <w:szCs w:val="20"/>
          <w:color w:val="auto"/>
        </w:rPr>
      </w:pPr>
    </w:p>
    <w:p>
      <w:pPr>
        <w:spacing w:after="0" w:line="352" w:lineRule="exact"/>
        <w:rPr>
          <w:sz w:val="20"/>
          <w:szCs w:val="20"/>
          <w:color w:val="auto"/>
        </w:rPr>
      </w:pPr>
    </w:p>
    <w:p>
      <w:pPr>
        <w:ind w:left="520" w:hanging="512"/>
        <w:spacing w:after="0"/>
        <w:tabs>
          <w:tab w:leader="none" w:pos="520" w:val="left"/>
        </w:tabs>
        <w:numPr>
          <w:ilvl w:val="0"/>
          <w:numId w:val="144"/>
        </w:numPr>
        <w:rPr>
          <w:rFonts w:ascii="Calibri" w:cs="Calibri" w:eastAsia="Calibri" w:hAnsi="Calibri"/>
          <w:sz w:val="14"/>
          <w:szCs w:val="14"/>
          <w:b w:val="1"/>
          <w:bCs w:val="1"/>
          <w:color w:val="auto"/>
        </w:rPr>
      </w:pPr>
      <w:r>
        <w:rPr>
          <w:rFonts w:ascii="Calibri" w:cs="Calibri" w:eastAsia="Calibri" w:hAnsi="Calibri"/>
          <w:sz w:val="14"/>
          <w:szCs w:val="14"/>
          <w:b w:val="1"/>
          <w:bCs w:val="1"/>
          <w:u w:val="single" w:color="auto"/>
          <w:color w:val="auto"/>
        </w:rPr>
        <w:t>Applicability of Policy</w:t>
      </w:r>
    </w:p>
    <w:p>
      <w:pPr>
        <w:spacing w:after="0" w:line="180" w:lineRule="exact"/>
        <w:rPr>
          <w:rFonts w:ascii="Calibri" w:cs="Calibri" w:eastAsia="Calibri" w:hAnsi="Calibri"/>
          <w:sz w:val="14"/>
          <w:szCs w:val="14"/>
          <w:b w:val="1"/>
          <w:bCs w:val="1"/>
          <w:color w:val="auto"/>
        </w:rPr>
      </w:pPr>
    </w:p>
    <w:p>
      <w:pPr>
        <w:ind w:left="760"/>
        <w:spacing w:after="0"/>
        <w:rPr>
          <w:rFonts w:ascii="Calibri" w:cs="Calibri" w:eastAsia="Calibri" w:hAnsi="Calibri"/>
          <w:sz w:val="14"/>
          <w:szCs w:val="14"/>
          <w:b w:val="1"/>
          <w:bCs w:val="1"/>
          <w:color w:val="auto"/>
        </w:rPr>
      </w:pPr>
      <w:r>
        <w:rPr>
          <w:rFonts w:ascii="Calibri" w:cs="Calibri" w:eastAsia="Calibri" w:hAnsi="Calibri"/>
          <w:sz w:val="14"/>
          <w:szCs w:val="14"/>
          <w:b w:val="1"/>
          <w:bCs w:val="1"/>
          <w:color w:val="auto"/>
        </w:rPr>
        <w:t>A.    Transactons Subject to this Policy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788670</wp:posOffset>
            </wp:positionV>
            <wp:extent cx="7157720" cy="42545"/>
            <wp:wrapNone/>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73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52" w:right="339" w:bottom="1440" w:gutter="0" w:footer="0" w:header="0"/>
        </w:sectPr>
      </w:pPr>
    </w:p>
    <w:bookmarkStart w:id="182" w:name="page183"/>
    <w:bookmarkEnd w:id="182"/>
    <w:p>
      <w:pPr>
        <w:jc w:val="both"/>
        <w:ind w:left="1140"/>
        <w:spacing w:after="0" w:line="245" w:lineRule="auto"/>
        <w:rPr>
          <w:sz w:val="20"/>
          <w:szCs w:val="20"/>
          <w:color w:val="auto"/>
        </w:rPr>
      </w:pPr>
      <w:r>
        <w:rPr>
          <w:rFonts w:ascii="Calibri" w:cs="Calibri" w:eastAsia="Calibri" w:hAnsi="Calibri"/>
          <w:sz w:val="14"/>
          <w:szCs w:val="14"/>
          <w:color w:val="auto"/>
        </w:rPr>
        <w:t>This Policy applies to all transactons, regardless of magnitude, in MicroStrategy’s securites, including common stock, debt securites, preferred stock, and any other securites MicroStrategy may issue from tme to tme, as well as to derivatve securites relatng to MicroStrategy’s stock or debt securites, whether or not issued by MicroStrategy, including warrants and exchange-traded optons.</w:t>
      </w:r>
    </w:p>
    <w:p>
      <w:pPr>
        <w:spacing w:after="0" w:line="111" w:lineRule="exact"/>
        <w:rPr>
          <w:sz w:val="20"/>
          <w:szCs w:val="20"/>
          <w:color w:val="auto"/>
        </w:rPr>
      </w:pPr>
    </w:p>
    <w:p>
      <w:pPr>
        <w:jc w:val="both"/>
        <w:ind w:left="1140"/>
        <w:spacing w:after="0" w:line="245" w:lineRule="auto"/>
        <w:rPr>
          <w:sz w:val="20"/>
          <w:szCs w:val="20"/>
          <w:color w:val="auto"/>
        </w:rPr>
      </w:pPr>
      <w:r>
        <w:rPr>
          <w:rFonts w:ascii="Calibri" w:cs="Calibri" w:eastAsia="Calibri" w:hAnsi="Calibri"/>
          <w:sz w:val="14"/>
          <w:szCs w:val="14"/>
          <w:color w:val="auto"/>
        </w:rPr>
        <w:t>While the requirements of this Policy are generally not applicable to transactons by the Company itself, transactons by the Company will only be made in accordance with applicable U.S. federal securites laws, including those relatng to insider trading.</w:t>
      </w:r>
    </w:p>
    <w:p>
      <w:pPr>
        <w:spacing w:after="0" w:line="178" w:lineRule="exact"/>
        <w:rPr>
          <w:sz w:val="20"/>
          <w:szCs w:val="20"/>
          <w:color w:val="auto"/>
        </w:rPr>
      </w:pPr>
    </w:p>
    <w:p>
      <w:pPr>
        <w:ind w:left="1140" w:right="8360" w:hanging="383"/>
        <w:spacing w:after="0" w:line="491" w:lineRule="auto"/>
        <w:tabs>
          <w:tab w:leader="none" w:pos="1140" w:val="left"/>
        </w:tabs>
        <w:numPr>
          <w:ilvl w:val="0"/>
          <w:numId w:val="145"/>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 xml:space="preserve">Persons Subject to this Policy </w:t>
      </w:r>
      <w:r>
        <w:rPr>
          <w:rFonts w:ascii="Calibri" w:cs="Calibri" w:eastAsia="Calibri" w:hAnsi="Calibri"/>
          <w:sz w:val="14"/>
          <w:szCs w:val="14"/>
          <w:color w:val="auto"/>
        </w:rPr>
        <w:t>This Policy applies to:</w:t>
      </w:r>
    </w:p>
    <w:p>
      <w:pPr>
        <w:spacing w:after="0" w:line="1" w:lineRule="exact"/>
        <w:rPr>
          <w:rFonts w:ascii="Calibri" w:cs="Calibri" w:eastAsia="Calibri" w:hAnsi="Calibri"/>
          <w:sz w:val="14"/>
          <w:szCs w:val="14"/>
          <w:b w:val="1"/>
          <w:bCs w:val="1"/>
          <w:color w:val="auto"/>
        </w:rPr>
      </w:pPr>
    </w:p>
    <w:p>
      <w:pPr>
        <w:ind w:left="1880" w:hanging="375"/>
        <w:spacing w:after="0"/>
        <w:tabs>
          <w:tab w:leader="none" w:pos="1880" w:val="left"/>
        </w:tabs>
        <w:numPr>
          <w:ilvl w:val="1"/>
          <w:numId w:val="145"/>
        </w:numPr>
        <w:rPr>
          <w:rFonts w:ascii="Calibri" w:cs="Calibri" w:eastAsia="Calibri" w:hAnsi="Calibri"/>
          <w:sz w:val="14"/>
          <w:szCs w:val="14"/>
          <w:color w:val="auto"/>
        </w:rPr>
      </w:pPr>
      <w:r>
        <w:rPr>
          <w:rFonts w:ascii="Calibri" w:cs="Calibri" w:eastAsia="Calibri" w:hAnsi="Calibri"/>
          <w:sz w:val="14"/>
          <w:szCs w:val="14"/>
          <w:b w:val="1"/>
          <w:bCs w:val="1"/>
          <w:color w:val="auto"/>
        </w:rPr>
        <w:t xml:space="preserve">Company Personnel: </w:t>
      </w:r>
      <w:r>
        <w:rPr>
          <w:rFonts w:ascii="Calibri" w:cs="Calibri" w:eastAsia="Calibri" w:hAnsi="Calibri"/>
          <w:sz w:val="14"/>
          <w:szCs w:val="14"/>
          <w:color w:val="auto"/>
        </w:rPr>
        <w:t>all members of MicroStrategy’s board of directors, and all ofcers and employees of, and consultants and contractors to, MicroStrategy;</w:t>
      </w:r>
    </w:p>
    <w:p>
      <w:pPr>
        <w:spacing w:after="0" w:line="180" w:lineRule="exact"/>
        <w:rPr>
          <w:rFonts w:ascii="Calibri" w:cs="Calibri" w:eastAsia="Calibri" w:hAnsi="Calibri"/>
          <w:sz w:val="14"/>
          <w:szCs w:val="14"/>
          <w:color w:val="auto"/>
        </w:rPr>
      </w:pPr>
    </w:p>
    <w:p>
      <w:pPr>
        <w:ind w:left="1880" w:hanging="375"/>
        <w:spacing w:after="0"/>
        <w:tabs>
          <w:tab w:leader="none" w:pos="1880" w:val="left"/>
        </w:tabs>
        <w:numPr>
          <w:ilvl w:val="1"/>
          <w:numId w:val="145"/>
        </w:numPr>
        <w:rPr>
          <w:rFonts w:ascii="Calibri" w:cs="Calibri" w:eastAsia="Calibri" w:hAnsi="Calibri"/>
          <w:sz w:val="14"/>
          <w:szCs w:val="14"/>
          <w:color w:val="auto"/>
        </w:rPr>
      </w:pPr>
      <w:r>
        <w:rPr>
          <w:rFonts w:ascii="Calibri" w:cs="Calibri" w:eastAsia="Calibri" w:hAnsi="Calibri"/>
          <w:sz w:val="14"/>
          <w:szCs w:val="14"/>
          <w:b w:val="1"/>
          <w:bCs w:val="1"/>
          <w:color w:val="auto"/>
        </w:rPr>
        <w:t>Related Persons:</w:t>
      </w:r>
    </w:p>
    <w:p>
      <w:pPr>
        <w:spacing w:after="0" w:line="181" w:lineRule="exact"/>
        <w:rPr>
          <w:rFonts w:ascii="Calibri" w:cs="Calibri" w:eastAsia="Calibri" w:hAnsi="Calibri"/>
          <w:sz w:val="14"/>
          <w:szCs w:val="14"/>
          <w:color w:val="auto"/>
        </w:rPr>
      </w:pPr>
    </w:p>
    <w:p>
      <w:pPr>
        <w:ind w:left="2620" w:hanging="366"/>
        <w:spacing w:after="0" w:line="245" w:lineRule="auto"/>
        <w:tabs>
          <w:tab w:leader="none" w:pos="2620" w:val="left"/>
        </w:tabs>
        <w:numPr>
          <w:ilvl w:val="2"/>
          <w:numId w:val="145"/>
        </w:numPr>
        <w:rPr>
          <w:rFonts w:ascii="Times New Roman" w:cs="Times New Roman" w:eastAsia="Times New Roman" w:hAnsi="Times New Roman"/>
          <w:sz w:val="14"/>
          <w:szCs w:val="14"/>
          <w:color w:val="auto"/>
        </w:rPr>
      </w:pPr>
      <w:r>
        <w:rPr>
          <w:rFonts w:ascii="Calibri" w:cs="Calibri" w:eastAsia="Calibri" w:hAnsi="Calibri"/>
          <w:sz w:val="14"/>
          <w:szCs w:val="14"/>
          <w:color w:val="auto"/>
        </w:rPr>
        <w:t>respectve family members of Company Personnel who reside with them (including a spouse, children, children away at college, stepchildren, grandchildren, parents, stepparents, grandparents, siblings and in-laws);</w:t>
      </w:r>
    </w:p>
    <w:p>
      <w:pPr>
        <w:spacing w:after="0" w:line="110" w:lineRule="exact"/>
        <w:rPr>
          <w:rFonts w:ascii="Times New Roman" w:cs="Times New Roman" w:eastAsia="Times New Roman" w:hAnsi="Times New Roman"/>
          <w:sz w:val="14"/>
          <w:szCs w:val="14"/>
          <w:color w:val="auto"/>
        </w:rPr>
      </w:pPr>
    </w:p>
    <w:p>
      <w:pPr>
        <w:ind w:left="2620" w:right="20" w:hanging="366"/>
        <w:spacing w:after="0" w:line="245" w:lineRule="auto"/>
        <w:tabs>
          <w:tab w:leader="none" w:pos="2620" w:val="left"/>
        </w:tabs>
        <w:numPr>
          <w:ilvl w:val="2"/>
          <w:numId w:val="145"/>
        </w:numPr>
        <w:rPr>
          <w:rFonts w:ascii="Times New Roman" w:cs="Times New Roman" w:eastAsia="Times New Roman" w:hAnsi="Times New Roman"/>
          <w:sz w:val="14"/>
          <w:szCs w:val="14"/>
          <w:color w:val="auto"/>
        </w:rPr>
      </w:pPr>
      <w:r>
        <w:rPr>
          <w:rFonts w:ascii="Calibri" w:cs="Calibri" w:eastAsia="Calibri" w:hAnsi="Calibri"/>
          <w:sz w:val="14"/>
          <w:szCs w:val="14"/>
          <w:color w:val="auto"/>
        </w:rPr>
        <w:t>anyone else who resides in the household of Company Personnel (other than (x) an employee or tenant of such person or (y) another unrelated person whom the General Counsel determines should not be covered by this policy);</w:t>
      </w:r>
    </w:p>
    <w:p>
      <w:pPr>
        <w:spacing w:after="0" w:line="110" w:lineRule="exact"/>
        <w:rPr>
          <w:rFonts w:ascii="Times New Roman" w:cs="Times New Roman" w:eastAsia="Times New Roman" w:hAnsi="Times New Roman"/>
          <w:sz w:val="14"/>
          <w:szCs w:val="14"/>
          <w:color w:val="auto"/>
        </w:rPr>
      </w:pPr>
    </w:p>
    <w:p>
      <w:pPr>
        <w:ind w:left="2620" w:hanging="366"/>
        <w:spacing w:after="0" w:line="245" w:lineRule="auto"/>
        <w:tabs>
          <w:tab w:leader="none" w:pos="2620" w:val="left"/>
        </w:tabs>
        <w:numPr>
          <w:ilvl w:val="2"/>
          <w:numId w:val="145"/>
        </w:numPr>
        <w:rPr>
          <w:rFonts w:ascii="Times New Roman" w:cs="Times New Roman" w:eastAsia="Times New Roman" w:hAnsi="Times New Roman"/>
          <w:sz w:val="14"/>
          <w:szCs w:val="14"/>
          <w:color w:val="auto"/>
        </w:rPr>
      </w:pPr>
      <w:r>
        <w:rPr>
          <w:rFonts w:ascii="Calibri" w:cs="Calibri" w:eastAsia="Calibri" w:hAnsi="Calibri"/>
          <w:sz w:val="14"/>
          <w:szCs w:val="14"/>
          <w:color w:val="auto"/>
        </w:rPr>
        <w:t>any family members of Company Personnel who do not reside in their household but whose transactons in MicroStrategy’s securites are directed by Company Personnel or who are subject to the infuence or control of Company Personnel; and</w:t>
      </w:r>
    </w:p>
    <w:p>
      <w:pPr>
        <w:spacing w:after="0" w:line="110" w:lineRule="exact"/>
        <w:rPr>
          <w:rFonts w:ascii="Times New Roman" w:cs="Times New Roman" w:eastAsia="Times New Roman" w:hAnsi="Times New Roman"/>
          <w:sz w:val="14"/>
          <w:szCs w:val="14"/>
          <w:color w:val="auto"/>
        </w:rPr>
      </w:pPr>
    </w:p>
    <w:p>
      <w:pPr>
        <w:jc w:val="both"/>
        <w:ind w:left="2620" w:hanging="366"/>
        <w:spacing w:after="0" w:line="245" w:lineRule="auto"/>
        <w:tabs>
          <w:tab w:leader="none" w:pos="2620" w:val="left"/>
        </w:tabs>
        <w:numPr>
          <w:ilvl w:val="2"/>
          <w:numId w:val="145"/>
        </w:numPr>
        <w:rPr>
          <w:rFonts w:ascii="Times New Roman" w:cs="Times New Roman" w:eastAsia="Times New Roman" w:hAnsi="Times New Roman"/>
          <w:sz w:val="14"/>
          <w:szCs w:val="14"/>
          <w:color w:val="auto"/>
        </w:rPr>
      </w:pPr>
      <w:r>
        <w:rPr>
          <w:rFonts w:ascii="Calibri" w:cs="Calibri" w:eastAsia="Calibri" w:hAnsi="Calibri"/>
          <w:sz w:val="14"/>
          <w:szCs w:val="14"/>
          <w:color w:val="auto"/>
        </w:rPr>
        <w:t>all corporatons, limited liability companies, partnerships, trusts or other enttes controlled by any Company Personnel or any of the above listed Related Persons (“</w:t>
      </w:r>
      <w:r>
        <w:rPr>
          <w:rFonts w:ascii="Calibri" w:cs="Calibri" w:eastAsia="Calibri" w:hAnsi="Calibri"/>
          <w:sz w:val="14"/>
          <w:szCs w:val="14"/>
          <w:b w:val="1"/>
          <w:bCs w:val="1"/>
          <w:color w:val="auto"/>
        </w:rPr>
        <w:t>Controlled Enttes</w:t>
      </w:r>
      <w:r>
        <w:rPr>
          <w:rFonts w:ascii="Calibri" w:cs="Calibri" w:eastAsia="Calibri" w:hAnsi="Calibri"/>
          <w:sz w:val="14"/>
          <w:szCs w:val="14"/>
          <w:color w:val="auto"/>
        </w:rPr>
        <w:t>”), unless the entty has implemented policies or procedures designed to ensure that such Company Personnel or Related Person cannot infuence transactons by the entty involving MicroStrategy securites.</w:t>
      </w:r>
    </w:p>
    <w:p>
      <w:pPr>
        <w:spacing w:after="0" w:line="287" w:lineRule="exact"/>
        <w:rPr>
          <w:sz w:val="20"/>
          <w:szCs w:val="20"/>
          <w:color w:val="auto"/>
        </w:rPr>
      </w:pPr>
    </w:p>
    <w:p>
      <w:pPr>
        <w:jc w:val="both"/>
        <w:ind w:left="1140" w:right="20"/>
        <w:spacing w:after="0" w:line="245" w:lineRule="auto"/>
        <w:rPr>
          <w:sz w:val="20"/>
          <w:szCs w:val="20"/>
          <w:color w:val="auto"/>
        </w:rPr>
      </w:pPr>
      <w:r>
        <w:rPr>
          <w:rFonts w:ascii="Calibri" w:cs="Calibri" w:eastAsia="Calibri" w:hAnsi="Calibri"/>
          <w:sz w:val="14"/>
          <w:szCs w:val="14"/>
          <w:color w:val="auto"/>
        </w:rPr>
        <w:t>Company Personnel and Related Persons are referred to in this Policy as “</w:t>
      </w:r>
      <w:r>
        <w:rPr>
          <w:rFonts w:ascii="Calibri" w:cs="Calibri" w:eastAsia="Calibri" w:hAnsi="Calibri"/>
          <w:sz w:val="14"/>
          <w:szCs w:val="14"/>
          <w:b w:val="1"/>
          <w:bCs w:val="1"/>
          <w:color w:val="auto"/>
        </w:rPr>
        <w:t>Insiders</w:t>
      </w:r>
      <w:r>
        <w:rPr>
          <w:rFonts w:ascii="Calibri" w:cs="Calibri" w:eastAsia="Calibri" w:hAnsi="Calibri"/>
          <w:sz w:val="14"/>
          <w:szCs w:val="14"/>
          <w:color w:val="auto"/>
        </w:rPr>
        <w:t>.” Company Personnel are responsible for making Related Persons aware of the need to confer with them prior to engaging in transactons in MicroStrategy securites.</w:t>
      </w:r>
    </w:p>
    <w:p>
      <w:pPr>
        <w:spacing w:after="0" w:line="178" w:lineRule="exact"/>
        <w:rPr>
          <w:sz w:val="20"/>
          <w:szCs w:val="20"/>
          <w:color w:val="auto"/>
        </w:rPr>
      </w:pPr>
    </w:p>
    <w:p>
      <w:pPr>
        <w:jc w:val="both"/>
        <w:ind w:left="1140"/>
        <w:spacing w:after="0" w:line="245" w:lineRule="auto"/>
        <w:rPr>
          <w:sz w:val="20"/>
          <w:szCs w:val="20"/>
          <w:color w:val="auto"/>
        </w:rPr>
      </w:pPr>
      <w:r>
        <w:rPr>
          <w:rFonts w:ascii="Calibri" w:cs="Calibri" w:eastAsia="Calibri" w:hAnsi="Calibri"/>
          <w:sz w:val="14"/>
          <w:szCs w:val="14"/>
          <w:color w:val="auto"/>
        </w:rPr>
        <w:t>If an Insider discloses or tps an outsider (“</w:t>
      </w:r>
      <w:r>
        <w:rPr>
          <w:rFonts w:ascii="Calibri" w:cs="Calibri" w:eastAsia="Calibri" w:hAnsi="Calibri"/>
          <w:sz w:val="14"/>
          <w:szCs w:val="14"/>
          <w:b w:val="1"/>
          <w:bCs w:val="1"/>
          <w:color w:val="auto"/>
        </w:rPr>
        <w:t>Tippee</w:t>
      </w:r>
      <w:r>
        <w:rPr>
          <w:rFonts w:ascii="Calibri" w:cs="Calibri" w:eastAsia="Calibri" w:hAnsi="Calibri"/>
          <w:sz w:val="14"/>
          <w:szCs w:val="14"/>
          <w:color w:val="auto"/>
        </w:rPr>
        <w:t>”), such as a business associate or friend, using “Material Nonpublic Informaton” (as defned below under “</w:t>
      </w:r>
      <w:r>
        <w:rPr>
          <w:rFonts w:ascii="Calibri" w:cs="Calibri" w:eastAsia="Calibri" w:hAnsi="Calibri"/>
          <w:sz w:val="14"/>
          <w:szCs w:val="14"/>
          <w:i w:val="1"/>
          <w:iCs w:val="1"/>
          <w:color w:val="auto"/>
        </w:rPr>
        <w:t>III. Material</w:t>
      </w:r>
      <w:r>
        <w:rPr>
          <w:rFonts w:ascii="Calibri" w:cs="Calibri" w:eastAsia="Calibri" w:hAnsi="Calibri"/>
          <w:sz w:val="14"/>
          <w:szCs w:val="14"/>
          <w:color w:val="auto"/>
        </w:rPr>
        <w:t xml:space="preserve"> </w:t>
      </w:r>
      <w:r>
        <w:rPr>
          <w:rFonts w:ascii="Calibri" w:cs="Calibri" w:eastAsia="Calibri" w:hAnsi="Calibri"/>
          <w:sz w:val="14"/>
          <w:szCs w:val="14"/>
          <w:i w:val="1"/>
          <w:iCs w:val="1"/>
          <w:color w:val="auto"/>
        </w:rPr>
        <w:t>Nonpublic Informaton</w:t>
      </w:r>
      <w:r>
        <w:rPr>
          <w:rFonts w:ascii="Calibri" w:cs="Calibri" w:eastAsia="Calibri" w:hAnsi="Calibri"/>
          <w:sz w:val="14"/>
          <w:szCs w:val="14"/>
          <w:color w:val="auto"/>
        </w:rPr>
        <w:t>”), and the Tippee undertakes a trade in any MicroStrategy security, both the Insider and the Tippee may be found liable. Any person who holds</w:t>
      </w:r>
      <w:r>
        <w:rPr>
          <w:rFonts w:ascii="Calibri" w:cs="Calibri" w:eastAsia="Calibri" w:hAnsi="Calibri"/>
          <w:sz w:val="14"/>
          <w:szCs w:val="14"/>
          <w:i w:val="1"/>
          <w:iCs w:val="1"/>
          <w:color w:val="auto"/>
        </w:rPr>
        <w:t xml:space="preserve"> </w:t>
      </w:r>
      <w:r>
        <w:rPr>
          <w:rFonts w:ascii="Calibri" w:cs="Calibri" w:eastAsia="Calibri" w:hAnsi="Calibri"/>
          <w:sz w:val="14"/>
          <w:szCs w:val="14"/>
          <w:color w:val="auto"/>
        </w:rPr>
        <w:t>Material Nonpublic Informaton regarding MicroStrategy is an Insider for so long as the informaton is not generally available to the public.</w:t>
      </w:r>
    </w:p>
    <w:p>
      <w:pPr>
        <w:spacing w:after="0" w:line="178" w:lineRule="exact"/>
        <w:rPr>
          <w:sz w:val="20"/>
          <w:szCs w:val="20"/>
          <w:color w:val="auto"/>
        </w:rPr>
      </w:pPr>
    </w:p>
    <w:p>
      <w:pPr>
        <w:ind w:left="520" w:hanging="512"/>
        <w:spacing w:after="0"/>
        <w:tabs>
          <w:tab w:leader="none" w:pos="520" w:val="left"/>
        </w:tabs>
        <w:numPr>
          <w:ilvl w:val="0"/>
          <w:numId w:val="146"/>
        </w:numPr>
        <w:rPr>
          <w:rFonts w:ascii="Calibri" w:cs="Calibri" w:eastAsia="Calibri" w:hAnsi="Calibri"/>
          <w:sz w:val="14"/>
          <w:szCs w:val="14"/>
          <w:b w:val="1"/>
          <w:bCs w:val="1"/>
          <w:color w:val="auto"/>
        </w:rPr>
      </w:pPr>
      <w:r>
        <w:rPr>
          <w:rFonts w:ascii="Calibri" w:cs="Calibri" w:eastAsia="Calibri" w:hAnsi="Calibri"/>
          <w:sz w:val="14"/>
          <w:szCs w:val="14"/>
          <w:b w:val="1"/>
          <w:bCs w:val="1"/>
          <w:u w:val="single" w:color="auto"/>
          <w:color w:val="auto"/>
        </w:rPr>
        <w:t>Material Nonpublic Informaton</w:t>
      </w:r>
    </w:p>
    <w:p>
      <w:pPr>
        <w:spacing w:after="0" w:line="180" w:lineRule="exact"/>
        <w:rPr>
          <w:rFonts w:ascii="Calibri" w:cs="Calibri" w:eastAsia="Calibri" w:hAnsi="Calibri"/>
          <w:sz w:val="14"/>
          <w:szCs w:val="14"/>
          <w:b w:val="1"/>
          <w:bCs w:val="1"/>
          <w:color w:val="auto"/>
        </w:rPr>
      </w:pPr>
    </w:p>
    <w:p>
      <w:pPr>
        <w:ind w:left="1140" w:hanging="383"/>
        <w:spacing w:after="0"/>
        <w:tabs>
          <w:tab w:leader="none" w:pos="1140" w:val="left"/>
        </w:tabs>
        <w:numPr>
          <w:ilvl w:val="1"/>
          <w:numId w:val="146"/>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Overview</w:t>
      </w:r>
    </w:p>
    <w:p>
      <w:pPr>
        <w:spacing w:after="0" w:line="113" w:lineRule="exact"/>
        <w:rPr>
          <w:rFonts w:ascii="Calibri" w:cs="Calibri" w:eastAsia="Calibri" w:hAnsi="Calibri"/>
          <w:sz w:val="14"/>
          <w:szCs w:val="14"/>
          <w:b w:val="1"/>
          <w:bCs w:val="1"/>
          <w:color w:val="auto"/>
        </w:rPr>
      </w:pPr>
    </w:p>
    <w:p>
      <w:pPr>
        <w:ind w:left="1140"/>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It is not possible to defne all categories of Material Nonpublic Informaton. However, informaton should be regarded as Material Nonpublic Informaton concerning MicroStrategy and its customers, partners or suppliers (collectvely referred to as “</w:t>
      </w:r>
      <w:r>
        <w:rPr>
          <w:rFonts w:ascii="Calibri" w:cs="Calibri" w:eastAsia="Calibri" w:hAnsi="Calibri"/>
          <w:sz w:val="14"/>
          <w:szCs w:val="14"/>
          <w:b w:val="1"/>
          <w:bCs w:val="1"/>
          <w:color w:val="auto"/>
        </w:rPr>
        <w:t>Business Partners</w:t>
      </w:r>
      <w:r>
        <w:rPr>
          <w:rFonts w:ascii="Calibri" w:cs="Calibri" w:eastAsia="Calibri" w:hAnsi="Calibri"/>
          <w:sz w:val="14"/>
          <w:szCs w:val="14"/>
          <w:color w:val="auto"/>
        </w:rPr>
        <w:t>”) if such informaton:</w:t>
      </w:r>
    </w:p>
    <w:p>
      <w:pPr>
        <w:spacing w:after="0" w:line="110" w:lineRule="exact"/>
        <w:rPr>
          <w:rFonts w:ascii="Calibri" w:cs="Calibri" w:eastAsia="Calibri" w:hAnsi="Calibri"/>
          <w:sz w:val="14"/>
          <w:szCs w:val="14"/>
          <w:b w:val="1"/>
          <w:bCs w:val="1"/>
          <w:color w:val="auto"/>
        </w:rPr>
      </w:pPr>
    </w:p>
    <w:p>
      <w:pPr>
        <w:ind w:left="1880" w:right="20" w:hanging="375"/>
        <w:spacing w:after="0" w:line="245" w:lineRule="auto"/>
        <w:tabs>
          <w:tab w:leader="none" w:pos="1880" w:val="left"/>
        </w:tabs>
        <w:numPr>
          <w:ilvl w:val="2"/>
          <w:numId w:val="146"/>
        </w:numPr>
        <w:rPr>
          <w:rFonts w:ascii="Calibri" w:cs="Calibri" w:eastAsia="Calibri" w:hAnsi="Calibri"/>
          <w:sz w:val="14"/>
          <w:szCs w:val="14"/>
          <w:color w:val="auto"/>
        </w:rPr>
      </w:pPr>
      <w:r>
        <w:rPr>
          <w:rFonts w:ascii="Calibri" w:cs="Calibri" w:eastAsia="Calibri" w:hAnsi="Calibri"/>
          <w:sz w:val="14"/>
          <w:szCs w:val="14"/>
          <w:color w:val="auto"/>
        </w:rPr>
        <w:t>is reasonably likely to be considered meaningful to an investor in making an investment decision regarding the acquisiton or sale of securites (such informaton is considered to be “material”); and</w:t>
      </w:r>
    </w:p>
    <w:p>
      <w:pPr>
        <w:spacing w:after="0" w:line="110" w:lineRule="exact"/>
        <w:rPr>
          <w:rFonts w:ascii="Calibri" w:cs="Calibri" w:eastAsia="Calibri" w:hAnsi="Calibri"/>
          <w:sz w:val="14"/>
          <w:szCs w:val="14"/>
          <w:color w:val="auto"/>
        </w:rPr>
      </w:pPr>
    </w:p>
    <w:p>
      <w:pPr>
        <w:ind w:left="1880" w:hanging="375"/>
        <w:spacing w:after="0" w:line="245" w:lineRule="auto"/>
        <w:tabs>
          <w:tab w:leader="none" w:pos="1880" w:val="left"/>
        </w:tabs>
        <w:numPr>
          <w:ilvl w:val="2"/>
          <w:numId w:val="146"/>
        </w:numPr>
        <w:rPr>
          <w:rFonts w:ascii="Calibri" w:cs="Calibri" w:eastAsia="Calibri" w:hAnsi="Calibri"/>
          <w:sz w:val="14"/>
          <w:szCs w:val="14"/>
          <w:color w:val="auto"/>
        </w:rPr>
      </w:pPr>
      <w:r>
        <w:rPr>
          <w:rFonts w:ascii="Calibri" w:cs="Calibri" w:eastAsia="Calibri" w:hAnsi="Calibri"/>
          <w:sz w:val="14"/>
          <w:szCs w:val="14"/>
          <w:color w:val="auto"/>
        </w:rPr>
        <w:t>has not been previously disseminated in a manner that is reasonably designed to provide broad, non-exclusionary distributon of such informaton to the general public and is otherwise not available to the general public (such informaton is considered to be “nonpublic”).</w:t>
      </w:r>
    </w:p>
    <w:p>
      <w:pPr>
        <w:spacing w:after="0" w:line="217" w:lineRule="exact"/>
        <w:rPr>
          <w:rFonts w:ascii="Calibri" w:cs="Calibri" w:eastAsia="Calibri" w:hAnsi="Calibri"/>
          <w:sz w:val="14"/>
          <w:szCs w:val="14"/>
          <w:color w:val="auto"/>
        </w:rPr>
      </w:pPr>
    </w:p>
    <w:p>
      <w:pPr>
        <w:ind w:left="1140" w:hanging="383"/>
        <w:spacing w:after="0"/>
        <w:tabs>
          <w:tab w:leader="none" w:pos="1140" w:val="left"/>
        </w:tabs>
        <w:numPr>
          <w:ilvl w:val="1"/>
          <w:numId w:val="146"/>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Examples of Material Nonpublic Informaton</w:t>
      </w:r>
    </w:p>
    <w:p>
      <w:pPr>
        <w:spacing w:after="0" w:line="113" w:lineRule="exact"/>
        <w:rPr>
          <w:rFonts w:ascii="Calibri" w:cs="Calibri" w:eastAsia="Calibri" w:hAnsi="Calibri"/>
          <w:sz w:val="14"/>
          <w:szCs w:val="14"/>
          <w:b w:val="1"/>
          <w:bCs w:val="1"/>
          <w:color w:val="auto"/>
        </w:rPr>
      </w:pPr>
    </w:p>
    <w:p>
      <w:pPr>
        <w:jc w:val="both"/>
        <w:ind w:left="1140"/>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Either positve or negatve informaton may be material. While it may be difcult under this standard to determine whether certain informaton is Material Nonpublic Informaton, there are various categories of informaton that are partcularly sensitve (see below for examples) and, as a general rule, Insiders should treat such informaton as being or potentally being Material Nonpublic Informaton if such informaton has not already been widely disseminated publicly. Examples of such informaton include:</w:t>
      </w:r>
    </w:p>
    <w:p>
      <w:pPr>
        <w:spacing w:after="0" w:line="152" w:lineRule="exact"/>
        <w:rPr>
          <w:sz w:val="20"/>
          <w:szCs w:val="20"/>
          <w:color w:val="auto"/>
        </w:rPr>
      </w:pPr>
    </w:p>
    <w:p>
      <w:pPr>
        <w:ind w:left="1880" w:hanging="375"/>
        <w:spacing w:after="0"/>
        <w:tabs>
          <w:tab w:leader="none" w:pos="1880" w:val="left"/>
        </w:tabs>
        <w:numPr>
          <w:ilvl w:val="0"/>
          <w:numId w:val="147"/>
        </w:numPr>
        <w:rPr>
          <w:rFonts w:ascii="Times New Roman" w:cs="Times New Roman" w:eastAsia="Times New Roman" w:hAnsi="Times New Roman"/>
          <w:sz w:val="18"/>
          <w:szCs w:val="18"/>
          <w:color w:val="auto"/>
        </w:rPr>
      </w:pPr>
      <w:r>
        <w:rPr>
          <w:rFonts w:ascii="Calibri" w:cs="Calibri" w:eastAsia="Calibri" w:hAnsi="Calibri"/>
          <w:sz w:val="14"/>
          <w:szCs w:val="14"/>
          <w:color w:val="auto"/>
        </w:rPr>
        <w:t>Financial implicatons of the company’s bitcoin holdings, including impairment charges, gains or losses required to be recorded in the Company’s fnancial statements</w:t>
      </w:r>
    </w:p>
    <w:p>
      <w:pPr>
        <w:spacing w:after="0" w:line="292" w:lineRule="exact"/>
        <w:rPr>
          <w:rFonts w:ascii="Times New Roman" w:cs="Times New Roman" w:eastAsia="Times New Roman" w:hAnsi="Times New Roman"/>
          <w:sz w:val="18"/>
          <w:szCs w:val="18"/>
          <w:color w:val="auto"/>
        </w:rPr>
      </w:pPr>
    </w:p>
    <w:p>
      <w:pPr>
        <w:ind w:left="1880" w:hanging="375"/>
        <w:spacing w:after="0" w:line="219" w:lineRule="auto"/>
        <w:tabs>
          <w:tab w:leader="none" w:pos="1880" w:val="left"/>
        </w:tabs>
        <w:numPr>
          <w:ilvl w:val="0"/>
          <w:numId w:val="147"/>
        </w:numPr>
        <w:rPr>
          <w:rFonts w:ascii="Times New Roman" w:cs="Times New Roman" w:eastAsia="Times New Roman" w:hAnsi="Times New Roman"/>
          <w:sz w:val="18"/>
          <w:szCs w:val="18"/>
          <w:color w:val="auto"/>
        </w:rPr>
      </w:pPr>
      <w:r>
        <w:rPr>
          <w:rFonts w:ascii="Calibri" w:cs="Calibri" w:eastAsia="Calibri" w:hAnsi="Calibri"/>
          <w:sz w:val="14"/>
          <w:szCs w:val="14"/>
          <w:color w:val="auto"/>
        </w:rPr>
        <w:t>Informaton concerning signifcant acquisitons or dispositons of assets, such as bitcoin, or signifcant changes in asset acquisiton or dispositon strategies, such as a change to our strategy relatng to bitcoin</w:t>
      </w:r>
    </w:p>
    <w:p>
      <w:pPr>
        <w:spacing w:after="0" w:line="117" w:lineRule="exact"/>
        <w:rPr>
          <w:rFonts w:ascii="Times New Roman" w:cs="Times New Roman" w:eastAsia="Times New Roman" w:hAnsi="Times New Roman"/>
          <w:sz w:val="18"/>
          <w:szCs w:val="18"/>
          <w:color w:val="auto"/>
        </w:rPr>
      </w:pPr>
    </w:p>
    <w:p>
      <w:pPr>
        <w:ind w:left="1880" w:hanging="375"/>
        <w:spacing w:after="0"/>
        <w:tabs>
          <w:tab w:leader="none" w:pos="1880" w:val="left"/>
        </w:tabs>
        <w:numPr>
          <w:ilvl w:val="0"/>
          <w:numId w:val="147"/>
        </w:numPr>
        <w:rPr>
          <w:rFonts w:ascii="Times New Roman" w:cs="Times New Roman" w:eastAsia="Times New Roman" w:hAnsi="Times New Roman"/>
          <w:sz w:val="18"/>
          <w:szCs w:val="18"/>
          <w:color w:val="auto"/>
        </w:rPr>
      </w:pPr>
      <w:r>
        <w:rPr>
          <w:rFonts w:ascii="Calibri" w:cs="Calibri" w:eastAsia="Calibri" w:hAnsi="Calibri"/>
          <w:sz w:val="14"/>
          <w:szCs w:val="14"/>
          <w:color w:val="auto"/>
        </w:rPr>
        <w:t>Informaton concerning a pending or proposed merger, or acquisiton of a business, or other signifcant investment</w:t>
      </w:r>
    </w:p>
    <w:p>
      <w:pPr>
        <w:spacing w:after="0" w:line="113" w:lineRule="exact"/>
        <w:rPr>
          <w:sz w:val="20"/>
          <w:szCs w:val="20"/>
          <w:color w:val="auto"/>
        </w:rPr>
      </w:pPr>
    </w:p>
    <w:p>
      <w:pPr>
        <w:jc w:val="center"/>
        <w:spacing w:after="0"/>
        <w:rPr>
          <w:sz w:val="20"/>
          <w:szCs w:val="20"/>
          <w:color w:val="auto"/>
        </w:rPr>
      </w:pPr>
      <w:r>
        <w:rPr>
          <w:rFonts w:ascii="Calibri" w:cs="Calibri" w:eastAsia="Calibri" w:hAnsi="Calibri"/>
          <w:sz w:val="14"/>
          <w:szCs w:val="14"/>
          <w:color w:val="auto"/>
        </w:rPr>
        <w:t>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788670</wp:posOffset>
            </wp:positionV>
            <wp:extent cx="7157720" cy="42545"/>
            <wp:wrapNone/>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73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73" w:right="339" w:bottom="1440" w:gutter="0" w:footer="0" w:header="0"/>
        </w:sectPr>
      </w:pPr>
    </w:p>
    <w:bookmarkStart w:id="183" w:name="page184"/>
    <w:bookmarkEnd w:id="183"/>
    <w:p>
      <w:pPr>
        <w:ind w:left="1880" w:hanging="375"/>
        <w:spacing w:after="0"/>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Informaton concerning the pending or proposed dispositon of a signifcant subsidiary, or business unit</w:t>
      </w:r>
    </w:p>
    <w:p>
      <w:pPr>
        <w:spacing w:after="0" w:line="117" w:lineRule="exact"/>
        <w:rPr>
          <w:rFonts w:ascii="Times New Roman" w:cs="Times New Roman" w:eastAsia="Times New Roman" w:hAnsi="Times New Roman"/>
          <w:sz w:val="18"/>
          <w:szCs w:val="18"/>
          <w:color w:val="auto"/>
        </w:rPr>
      </w:pPr>
    </w:p>
    <w:p>
      <w:pPr>
        <w:ind w:left="1880" w:hanging="375"/>
        <w:spacing w:after="0"/>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Signifcant new product or technology plans</w:t>
      </w:r>
    </w:p>
    <w:p>
      <w:pPr>
        <w:spacing w:after="0" w:line="117" w:lineRule="exact"/>
        <w:rPr>
          <w:rFonts w:ascii="Times New Roman" w:cs="Times New Roman" w:eastAsia="Times New Roman" w:hAnsi="Times New Roman"/>
          <w:sz w:val="18"/>
          <w:szCs w:val="18"/>
          <w:color w:val="auto"/>
        </w:rPr>
      </w:pPr>
    </w:p>
    <w:p>
      <w:pPr>
        <w:ind w:left="1880" w:hanging="375"/>
        <w:spacing w:after="0"/>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Impending bankruptcy or fnancial liquidity problems</w:t>
      </w:r>
    </w:p>
    <w:p>
      <w:pPr>
        <w:spacing w:after="0" w:line="117" w:lineRule="exact"/>
        <w:rPr>
          <w:rFonts w:ascii="Times New Roman" w:cs="Times New Roman" w:eastAsia="Times New Roman" w:hAnsi="Times New Roman"/>
          <w:sz w:val="18"/>
          <w:szCs w:val="18"/>
          <w:color w:val="auto"/>
        </w:rPr>
      </w:pPr>
    </w:p>
    <w:p>
      <w:pPr>
        <w:ind w:left="1880" w:hanging="375"/>
        <w:spacing w:after="0"/>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Changes in dividend policy</w:t>
      </w:r>
    </w:p>
    <w:p>
      <w:pPr>
        <w:spacing w:after="0" w:line="117" w:lineRule="exact"/>
        <w:rPr>
          <w:rFonts w:ascii="Times New Roman" w:cs="Times New Roman" w:eastAsia="Times New Roman" w:hAnsi="Times New Roman"/>
          <w:sz w:val="18"/>
          <w:szCs w:val="18"/>
          <w:color w:val="auto"/>
        </w:rPr>
      </w:pPr>
    </w:p>
    <w:p>
      <w:pPr>
        <w:ind w:left="1880" w:hanging="375"/>
        <w:spacing w:after="0"/>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Stock splits</w:t>
      </w:r>
    </w:p>
    <w:p>
      <w:pPr>
        <w:spacing w:after="0" w:line="117" w:lineRule="exact"/>
        <w:rPr>
          <w:rFonts w:ascii="Times New Roman" w:cs="Times New Roman" w:eastAsia="Times New Roman" w:hAnsi="Times New Roman"/>
          <w:sz w:val="18"/>
          <w:szCs w:val="18"/>
          <w:color w:val="auto"/>
        </w:rPr>
      </w:pPr>
    </w:p>
    <w:p>
      <w:pPr>
        <w:ind w:left="1880" w:hanging="375"/>
        <w:spacing w:after="0"/>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New signifcant equity or debt oferings, or the establishment or cessaton of repurchase programs for MicroStrategy securites</w:t>
      </w:r>
    </w:p>
    <w:p>
      <w:pPr>
        <w:spacing w:after="0" w:line="117" w:lineRule="exact"/>
        <w:rPr>
          <w:rFonts w:ascii="Times New Roman" w:cs="Times New Roman" w:eastAsia="Times New Roman" w:hAnsi="Times New Roman"/>
          <w:sz w:val="18"/>
          <w:szCs w:val="18"/>
          <w:color w:val="auto"/>
        </w:rPr>
      </w:pPr>
    </w:p>
    <w:p>
      <w:pPr>
        <w:ind w:left="1880" w:hanging="375"/>
        <w:spacing w:after="0"/>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Signifcant legal exposure due to actual, pending or threatened litgaton, or the resoluton of any such litgaton</w:t>
      </w:r>
    </w:p>
    <w:p>
      <w:pPr>
        <w:spacing w:after="0" w:line="117" w:lineRule="exact"/>
        <w:rPr>
          <w:rFonts w:ascii="Times New Roman" w:cs="Times New Roman" w:eastAsia="Times New Roman" w:hAnsi="Times New Roman"/>
          <w:sz w:val="18"/>
          <w:szCs w:val="18"/>
          <w:color w:val="auto"/>
        </w:rPr>
      </w:pPr>
    </w:p>
    <w:p>
      <w:pPr>
        <w:ind w:left="1880" w:hanging="375"/>
        <w:spacing w:after="0"/>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Pending or actual signifcant changes in senior management</w:t>
      </w:r>
    </w:p>
    <w:p>
      <w:pPr>
        <w:spacing w:after="0" w:line="117" w:lineRule="exact"/>
        <w:rPr>
          <w:rFonts w:ascii="Times New Roman" w:cs="Times New Roman" w:eastAsia="Times New Roman" w:hAnsi="Times New Roman"/>
          <w:sz w:val="18"/>
          <w:szCs w:val="18"/>
          <w:color w:val="auto"/>
        </w:rPr>
      </w:pPr>
    </w:p>
    <w:p>
      <w:pPr>
        <w:ind w:left="1880" w:hanging="375"/>
        <w:spacing w:after="0"/>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Signifcant cybersecurity risks or incidents, including vulnerabilites and breaches.</w:t>
      </w:r>
    </w:p>
    <w:p>
      <w:pPr>
        <w:spacing w:after="0" w:line="200" w:lineRule="exact"/>
        <w:rPr>
          <w:rFonts w:ascii="Times New Roman" w:cs="Times New Roman" w:eastAsia="Times New Roman" w:hAnsi="Times New Roman"/>
          <w:sz w:val="18"/>
          <w:szCs w:val="18"/>
          <w:color w:val="auto"/>
        </w:rPr>
      </w:pPr>
    </w:p>
    <w:p>
      <w:pPr>
        <w:spacing w:after="0" w:line="371" w:lineRule="exact"/>
        <w:rPr>
          <w:rFonts w:ascii="Times New Roman" w:cs="Times New Roman" w:eastAsia="Times New Roman" w:hAnsi="Times New Roman"/>
          <w:sz w:val="18"/>
          <w:szCs w:val="18"/>
          <w:color w:val="auto"/>
        </w:rPr>
      </w:pPr>
    </w:p>
    <w:p>
      <w:pPr>
        <w:ind w:left="1140" w:hanging="383"/>
        <w:spacing w:after="0"/>
        <w:tabs>
          <w:tab w:leader="none" w:pos="1140" w:val="left"/>
        </w:tabs>
        <w:numPr>
          <w:ilvl w:val="0"/>
          <w:numId w:val="148"/>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When Informaton is Considered Public</w:t>
      </w:r>
    </w:p>
    <w:p>
      <w:pPr>
        <w:spacing w:after="0" w:line="113" w:lineRule="exact"/>
        <w:rPr>
          <w:rFonts w:ascii="Calibri" w:cs="Calibri" w:eastAsia="Calibri" w:hAnsi="Calibri"/>
          <w:sz w:val="14"/>
          <w:szCs w:val="14"/>
          <w:b w:val="1"/>
          <w:bCs w:val="1"/>
          <w:color w:val="auto"/>
        </w:rPr>
      </w:pPr>
    </w:p>
    <w:p>
      <w:pPr>
        <w:jc w:val="both"/>
        <w:ind w:left="1140"/>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Material Nonpublic Informaton is transformed into publicly disclosed informaton only when it has been widely disseminated. Generally, informaton is not disseminated the moment a press release is issued; it should have tme to spread and be picked up in the press. As a general rule, no trading should be initated untl (i) the total trading hours equivalent to a full Trading Day has elapsed following the tme of public disclosure of such informaton or (ii) if the public disclosure occurs on a Friday, the commencement of the next Trading Day (such tme as applicable, the “</w:t>
      </w:r>
      <w:r>
        <w:rPr>
          <w:rFonts w:ascii="Calibri" w:cs="Calibri" w:eastAsia="Calibri" w:hAnsi="Calibri"/>
          <w:sz w:val="14"/>
          <w:szCs w:val="14"/>
          <w:b w:val="1"/>
          <w:bCs w:val="1"/>
          <w:color w:val="auto"/>
        </w:rPr>
        <w:t>Clearance Time</w:t>
      </w:r>
      <w:r>
        <w:rPr>
          <w:rFonts w:ascii="Calibri" w:cs="Calibri" w:eastAsia="Calibri" w:hAnsi="Calibri"/>
          <w:sz w:val="14"/>
          <w:szCs w:val="14"/>
          <w:color w:val="auto"/>
        </w:rPr>
        <w:t>”). For example:</w:t>
      </w:r>
    </w:p>
    <w:p>
      <w:pPr>
        <w:spacing w:after="0" w:line="217" w:lineRule="exact"/>
        <w:rPr>
          <w:rFonts w:ascii="Calibri" w:cs="Calibri" w:eastAsia="Calibri" w:hAnsi="Calibri"/>
          <w:sz w:val="14"/>
          <w:szCs w:val="14"/>
          <w:b w:val="1"/>
          <w:bCs w:val="1"/>
          <w:color w:val="auto"/>
        </w:rPr>
      </w:pPr>
    </w:p>
    <w:p>
      <w:pPr>
        <w:ind w:left="1880" w:right="20" w:hanging="375"/>
        <w:spacing w:after="0" w:line="219" w:lineRule="auto"/>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If public disclosure occurs at 8:00 a.m. on a Monday (i.e., before commencement of a full Trading Day), then the Clearance Time will be the commencement of trading on Tuesday (assuming it is a Trading Day).</w:t>
      </w:r>
    </w:p>
    <w:p>
      <w:pPr>
        <w:spacing w:after="0" w:line="154" w:lineRule="exact"/>
        <w:rPr>
          <w:rFonts w:ascii="Times New Roman" w:cs="Times New Roman" w:eastAsia="Times New Roman" w:hAnsi="Times New Roman"/>
          <w:sz w:val="18"/>
          <w:szCs w:val="18"/>
          <w:color w:val="auto"/>
        </w:rPr>
      </w:pPr>
    </w:p>
    <w:p>
      <w:pPr>
        <w:ind w:left="1880" w:hanging="375"/>
        <w:spacing w:after="0" w:line="219" w:lineRule="auto"/>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If public disclosure occurs at 11:00 a.m. on a Thursday (a full Trading Day), then the Clearance Time will be 11:00 a.m. on Friday (assuming it is also a full Trading Day).</w:t>
      </w:r>
    </w:p>
    <w:p>
      <w:pPr>
        <w:spacing w:after="0" w:line="154" w:lineRule="exact"/>
        <w:rPr>
          <w:rFonts w:ascii="Times New Roman" w:cs="Times New Roman" w:eastAsia="Times New Roman" w:hAnsi="Times New Roman"/>
          <w:sz w:val="18"/>
          <w:szCs w:val="18"/>
          <w:color w:val="auto"/>
        </w:rPr>
      </w:pPr>
    </w:p>
    <w:p>
      <w:pPr>
        <w:ind w:left="1880" w:hanging="375"/>
        <w:spacing w:after="0" w:line="219" w:lineRule="auto"/>
        <w:tabs>
          <w:tab w:leader="none" w:pos="1880" w:val="left"/>
        </w:tabs>
        <w:numPr>
          <w:ilvl w:val="1"/>
          <w:numId w:val="148"/>
        </w:numPr>
        <w:rPr>
          <w:rFonts w:ascii="Times New Roman" w:cs="Times New Roman" w:eastAsia="Times New Roman" w:hAnsi="Times New Roman"/>
          <w:sz w:val="18"/>
          <w:szCs w:val="18"/>
          <w:color w:val="auto"/>
        </w:rPr>
      </w:pPr>
      <w:r>
        <w:rPr>
          <w:rFonts w:ascii="Calibri" w:cs="Calibri" w:eastAsia="Calibri" w:hAnsi="Calibri"/>
          <w:sz w:val="14"/>
          <w:szCs w:val="14"/>
          <w:color w:val="auto"/>
        </w:rPr>
        <w:t>If public disclosure occurs at 4:30 p.m. on a Friday (i.e., afer close of regular trading on a full Trading Day), then the Clearance Time will be the commencement of trading on Monday (assuming it is a Trading Day).</w:t>
      </w:r>
    </w:p>
    <w:p>
      <w:pPr>
        <w:spacing w:after="0" w:line="181" w:lineRule="exact"/>
        <w:rPr>
          <w:sz w:val="20"/>
          <w:szCs w:val="20"/>
          <w:color w:val="auto"/>
        </w:rPr>
      </w:pPr>
    </w:p>
    <w:p>
      <w:pPr>
        <w:ind w:left="1140"/>
        <w:spacing w:after="0"/>
        <w:rPr>
          <w:sz w:val="20"/>
          <w:szCs w:val="20"/>
          <w:color w:val="auto"/>
        </w:rPr>
      </w:pPr>
      <w:r>
        <w:rPr>
          <w:rFonts w:ascii="Calibri" w:cs="Calibri" w:eastAsia="Calibri" w:hAnsi="Calibri"/>
          <w:sz w:val="14"/>
          <w:szCs w:val="14"/>
          <w:color w:val="auto"/>
        </w:rPr>
        <w:t>The term “</w:t>
      </w:r>
      <w:r>
        <w:rPr>
          <w:rFonts w:ascii="Calibri" w:cs="Calibri" w:eastAsia="Calibri" w:hAnsi="Calibri"/>
          <w:sz w:val="14"/>
          <w:szCs w:val="14"/>
          <w:b w:val="1"/>
          <w:bCs w:val="1"/>
          <w:color w:val="auto"/>
        </w:rPr>
        <w:t>Trading Day</w:t>
      </w:r>
      <w:r>
        <w:rPr>
          <w:rFonts w:ascii="Calibri" w:cs="Calibri" w:eastAsia="Calibri" w:hAnsi="Calibri"/>
          <w:sz w:val="14"/>
          <w:szCs w:val="14"/>
          <w:color w:val="auto"/>
        </w:rPr>
        <w:t>” shall mean a day in which The Nasdaq Stock Market (“</w:t>
      </w:r>
      <w:r>
        <w:rPr>
          <w:rFonts w:ascii="Calibri" w:cs="Calibri" w:eastAsia="Calibri" w:hAnsi="Calibri"/>
          <w:sz w:val="14"/>
          <w:szCs w:val="14"/>
          <w:b w:val="1"/>
          <w:bCs w:val="1"/>
          <w:color w:val="auto"/>
        </w:rPr>
        <w:t>Nasdaq</w:t>
      </w:r>
      <w:r>
        <w:rPr>
          <w:rFonts w:ascii="Calibri" w:cs="Calibri" w:eastAsia="Calibri" w:hAnsi="Calibri"/>
          <w:sz w:val="14"/>
          <w:szCs w:val="14"/>
          <w:color w:val="auto"/>
        </w:rPr>
        <w:t>”) is open for trading.</w:t>
      </w:r>
    </w:p>
    <w:p>
      <w:pPr>
        <w:spacing w:after="0" w:line="180" w:lineRule="exact"/>
        <w:rPr>
          <w:sz w:val="20"/>
          <w:szCs w:val="20"/>
          <w:color w:val="auto"/>
        </w:rPr>
      </w:pPr>
    </w:p>
    <w:p>
      <w:pPr>
        <w:spacing w:after="0"/>
        <w:tabs>
          <w:tab w:leader="none" w:pos="500" w:val="left"/>
        </w:tabs>
        <w:rPr>
          <w:sz w:val="20"/>
          <w:szCs w:val="20"/>
          <w:color w:val="auto"/>
        </w:rPr>
      </w:pPr>
      <w:r>
        <w:rPr>
          <w:rFonts w:ascii="Calibri" w:cs="Calibri" w:eastAsia="Calibri" w:hAnsi="Calibri"/>
          <w:sz w:val="14"/>
          <w:szCs w:val="14"/>
          <w:b w:val="1"/>
          <w:bCs w:val="1"/>
          <w:color w:val="auto"/>
        </w:rPr>
        <w:t>IV.</w:t>
      </w:r>
      <w:r>
        <w:rPr>
          <w:sz w:val="20"/>
          <w:szCs w:val="20"/>
          <w:color w:val="auto"/>
        </w:rPr>
        <w:tab/>
      </w:r>
      <w:r>
        <w:rPr>
          <w:rFonts w:ascii="Calibri" w:cs="Calibri" w:eastAsia="Calibri" w:hAnsi="Calibri"/>
          <w:sz w:val="14"/>
          <w:szCs w:val="14"/>
          <w:b w:val="1"/>
          <w:bCs w:val="1"/>
          <w:u w:val="single" w:color="auto"/>
          <w:color w:val="auto"/>
        </w:rPr>
        <w:t>Policies and Guidelines</w:t>
      </w:r>
    </w:p>
    <w:p>
      <w:pPr>
        <w:spacing w:after="0" w:line="180" w:lineRule="exact"/>
        <w:rPr>
          <w:sz w:val="20"/>
          <w:szCs w:val="20"/>
          <w:color w:val="auto"/>
        </w:rPr>
      </w:pPr>
    </w:p>
    <w:p>
      <w:pPr>
        <w:ind w:left="1140" w:hanging="383"/>
        <w:spacing w:after="0"/>
        <w:tabs>
          <w:tab w:leader="none" w:pos="1140" w:val="left"/>
        </w:tabs>
        <w:numPr>
          <w:ilvl w:val="0"/>
          <w:numId w:val="149"/>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General Policy and Rule 10b-5</w:t>
      </w:r>
    </w:p>
    <w:p>
      <w:pPr>
        <w:spacing w:after="0" w:line="5" w:lineRule="exact"/>
        <w:rPr>
          <w:rFonts w:ascii="Calibri" w:cs="Calibri" w:eastAsia="Calibri" w:hAnsi="Calibri"/>
          <w:sz w:val="14"/>
          <w:szCs w:val="14"/>
          <w:b w:val="1"/>
          <w:bCs w:val="1"/>
          <w:color w:val="auto"/>
        </w:rPr>
      </w:pPr>
    </w:p>
    <w:p>
      <w:pPr>
        <w:ind w:left="1140" w:right="20"/>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Rule 10b-5 is designed to prevent an Insider from using his or her positon to take unfair advantage of the uninformed outsider. MicroStrategy prohibits Insiders from (i) making unauthorized disclosure of any Material Nonpublic Informaton and (ii) trading in MicroStrategy securites while in possession of Material Nonpublic Informaton.</w:t>
      </w:r>
    </w:p>
    <w:p>
      <w:pPr>
        <w:spacing w:after="0" w:line="176" w:lineRule="exact"/>
        <w:rPr>
          <w:rFonts w:ascii="Calibri" w:cs="Calibri" w:eastAsia="Calibri" w:hAnsi="Calibri"/>
          <w:sz w:val="14"/>
          <w:szCs w:val="14"/>
          <w:b w:val="1"/>
          <w:bCs w:val="1"/>
          <w:color w:val="auto"/>
        </w:rPr>
      </w:pPr>
    </w:p>
    <w:p>
      <w:pPr>
        <w:ind w:left="1140" w:hanging="383"/>
        <w:spacing w:after="0"/>
        <w:tabs>
          <w:tab w:leader="none" w:pos="1140" w:val="left"/>
        </w:tabs>
        <w:numPr>
          <w:ilvl w:val="0"/>
          <w:numId w:val="149"/>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Specifc Policies</w:t>
      </w:r>
    </w:p>
    <w:p>
      <w:pPr>
        <w:spacing w:after="0" w:line="180" w:lineRule="exact"/>
        <w:rPr>
          <w:rFonts w:ascii="Calibri" w:cs="Calibri" w:eastAsia="Calibri" w:hAnsi="Calibri"/>
          <w:sz w:val="14"/>
          <w:szCs w:val="14"/>
          <w:b w:val="1"/>
          <w:bCs w:val="1"/>
          <w:color w:val="auto"/>
        </w:rPr>
      </w:pPr>
    </w:p>
    <w:p>
      <w:pPr>
        <w:ind w:left="1500" w:hanging="369"/>
        <w:spacing w:after="0"/>
        <w:tabs>
          <w:tab w:leader="none" w:pos="1500" w:val="left"/>
        </w:tabs>
        <w:numPr>
          <w:ilvl w:val="1"/>
          <w:numId w:val="149"/>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No Trading on Material Nonpublic Informaton</w:t>
      </w:r>
    </w:p>
    <w:p>
      <w:pPr>
        <w:spacing w:after="0" w:line="181" w:lineRule="exact"/>
        <w:rPr>
          <w:rFonts w:ascii="Calibri" w:cs="Calibri" w:eastAsia="Calibri" w:hAnsi="Calibri"/>
          <w:sz w:val="14"/>
          <w:szCs w:val="14"/>
          <w:b w:val="1"/>
          <w:bCs w:val="1"/>
          <w:color w:val="auto"/>
        </w:rPr>
      </w:pPr>
    </w:p>
    <w:p>
      <w:pPr>
        <w:jc w:val="both"/>
        <w:ind w:left="1500"/>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Unless specifcally permited by this Policy, an Insider shall NOT engage in any transacton involving an acquisiton, sale, or donaton of MicroStrategy’s securites (a “</w:t>
      </w:r>
      <w:r>
        <w:rPr>
          <w:rFonts w:ascii="Calibri" w:cs="Calibri" w:eastAsia="Calibri" w:hAnsi="Calibri"/>
          <w:sz w:val="14"/>
          <w:szCs w:val="14"/>
          <w:b w:val="1"/>
          <w:bCs w:val="1"/>
          <w:color w:val="auto"/>
        </w:rPr>
        <w:t>Securites Transacton</w:t>
      </w:r>
      <w:r>
        <w:rPr>
          <w:rFonts w:ascii="Calibri" w:cs="Calibri" w:eastAsia="Calibri" w:hAnsi="Calibri"/>
          <w:sz w:val="14"/>
          <w:szCs w:val="14"/>
          <w:color w:val="auto"/>
        </w:rPr>
        <w:t>”) during any period commencing at the point in tme at which he or she comes into possession of Material Nonpublic Informaton concerning MicroStrategy and ending at the Clearance Time related to public disclosure of such informaton, or in the absence of public disclosure, ending at the tme when such Material Nonpublic Informaton is determined to no longer be material.</w:t>
      </w:r>
    </w:p>
    <w:p>
      <w:pPr>
        <w:spacing w:after="0" w:line="200" w:lineRule="exact"/>
        <w:rPr>
          <w:rFonts w:ascii="Calibri" w:cs="Calibri" w:eastAsia="Calibri" w:hAnsi="Calibri"/>
          <w:sz w:val="14"/>
          <w:szCs w:val="14"/>
          <w:b w:val="1"/>
          <w:bCs w:val="1"/>
          <w:color w:val="auto"/>
        </w:rPr>
      </w:pPr>
    </w:p>
    <w:p>
      <w:pPr>
        <w:spacing w:after="0" w:line="300" w:lineRule="exact"/>
        <w:rPr>
          <w:rFonts w:ascii="Calibri" w:cs="Calibri" w:eastAsia="Calibri" w:hAnsi="Calibri"/>
          <w:sz w:val="14"/>
          <w:szCs w:val="14"/>
          <w:b w:val="1"/>
          <w:bCs w:val="1"/>
          <w:color w:val="auto"/>
        </w:rPr>
      </w:pPr>
    </w:p>
    <w:p>
      <w:pPr>
        <w:jc w:val="both"/>
        <w:ind w:left="1500"/>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Note, however, that there are certain types of transactons that are specifcally permited by this Policy, as discussed further below. Examples include (i) the acquisiton (but not the sale) of stock upon exercise of stock optons for cash under MicroStrategy’s equity compensaton plans, and the acquisiton of stock pursuant to MicroStrategy employee stock purchase plans (but not electons to partcipate in such plans nor the sale of stock acquired under such plans) (see “</w:t>
      </w:r>
      <w:r>
        <w:rPr>
          <w:rFonts w:ascii="Calibri" w:cs="Calibri" w:eastAsia="Calibri" w:hAnsi="Calibri"/>
          <w:sz w:val="14"/>
          <w:szCs w:val="14"/>
          <w:i w:val="1"/>
          <w:iCs w:val="1"/>
          <w:color w:val="auto"/>
        </w:rPr>
        <w:t>IV.C.7. Certain</w:t>
      </w:r>
      <w:r>
        <w:rPr>
          <w:rFonts w:ascii="Calibri" w:cs="Calibri" w:eastAsia="Calibri" w:hAnsi="Calibri"/>
          <w:sz w:val="14"/>
          <w:szCs w:val="14"/>
          <w:color w:val="auto"/>
        </w:rPr>
        <w:t xml:space="preserve"> </w:t>
      </w:r>
      <w:r>
        <w:rPr>
          <w:rFonts w:ascii="Calibri" w:cs="Calibri" w:eastAsia="Calibri" w:hAnsi="Calibri"/>
          <w:sz w:val="14"/>
          <w:szCs w:val="14"/>
          <w:i w:val="1"/>
          <w:iCs w:val="1"/>
          <w:color w:val="auto"/>
        </w:rPr>
        <w:t>Exceptons</w:t>
      </w:r>
      <w:r>
        <w:rPr>
          <w:rFonts w:ascii="Calibri" w:cs="Calibri" w:eastAsia="Calibri" w:hAnsi="Calibri"/>
          <w:sz w:val="14"/>
          <w:szCs w:val="14"/>
          <w:color w:val="auto"/>
        </w:rPr>
        <w:t>”), and (ii) transactons by Pre-Clearance Persons (as defned below under “</w:t>
      </w:r>
      <w:r>
        <w:rPr>
          <w:rFonts w:ascii="Calibri" w:cs="Calibri" w:eastAsia="Calibri" w:hAnsi="Calibri"/>
          <w:sz w:val="14"/>
          <w:szCs w:val="14"/>
          <w:i w:val="1"/>
          <w:iCs w:val="1"/>
          <w:color w:val="auto"/>
        </w:rPr>
        <w:t>IV.C.2. Pre-Clearance of Transactons</w:t>
      </w:r>
      <w:r>
        <w:rPr>
          <w:rFonts w:ascii="Calibri" w:cs="Calibri" w:eastAsia="Calibri" w:hAnsi="Calibri"/>
          <w:sz w:val="14"/>
          <w:szCs w:val="14"/>
          <w:color w:val="auto"/>
        </w:rPr>
        <w:t>”) pursuant to Approved Trading Plans (as</w:t>
      </w:r>
      <w:r>
        <w:rPr>
          <w:rFonts w:ascii="Calibri" w:cs="Calibri" w:eastAsia="Calibri" w:hAnsi="Calibri"/>
          <w:sz w:val="14"/>
          <w:szCs w:val="14"/>
          <w:i w:val="1"/>
          <w:iCs w:val="1"/>
          <w:color w:val="auto"/>
        </w:rPr>
        <w:t xml:space="preserve"> </w:t>
      </w:r>
      <w:r>
        <w:rPr>
          <w:rFonts w:ascii="Calibri" w:cs="Calibri" w:eastAsia="Calibri" w:hAnsi="Calibri"/>
          <w:sz w:val="14"/>
          <w:szCs w:val="14"/>
          <w:color w:val="auto"/>
        </w:rPr>
        <w:t>defned below under “</w:t>
      </w:r>
      <w:r>
        <w:rPr>
          <w:rFonts w:ascii="Calibri" w:cs="Calibri" w:eastAsia="Calibri" w:hAnsi="Calibri"/>
          <w:sz w:val="14"/>
          <w:szCs w:val="14"/>
          <w:i w:val="1"/>
          <w:iCs w:val="1"/>
          <w:color w:val="auto"/>
        </w:rPr>
        <w:t>IV.C.3. 10b5-1 Trading Plans</w:t>
      </w:r>
      <w:r>
        <w:rPr>
          <w:rFonts w:ascii="Calibri" w:cs="Calibri" w:eastAsia="Calibri" w:hAnsi="Calibri"/>
          <w:sz w:val="14"/>
          <w:szCs w:val="14"/>
          <w:color w:val="auto"/>
        </w:rPr>
        <w:t>”) and by all other Insiders pursuant to Compliant Trading Plans (as defned below under “</w:t>
      </w:r>
      <w:r>
        <w:rPr>
          <w:rFonts w:ascii="Calibri" w:cs="Calibri" w:eastAsia="Calibri" w:hAnsi="Calibri"/>
          <w:sz w:val="14"/>
          <w:szCs w:val="14"/>
          <w:i w:val="1"/>
          <w:iCs w:val="1"/>
          <w:color w:val="auto"/>
        </w:rPr>
        <w:t>IV.C.3. 10b5-1 Trading</w:t>
      </w:r>
      <w:r>
        <w:rPr>
          <w:rFonts w:ascii="Calibri" w:cs="Calibri" w:eastAsia="Calibri" w:hAnsi="Calibri"/>
          <w:sz w:val="14"/>
          <w:szCs w:val="14"/>
          <w:color w:val="auto"/>
        </w:rPr>
        <w:t xml:space="preserve"> </w:t>
      </w:r>
      <w:r>
        <w:rPr>
          <w:rFonts w:ascii="Calibri" w:cs="Calibri" w:eastAsia="Calibri" w:hAnsi="Calibri"/>
          <w:sz w:val="14"/>
          <w:szCs w:val="14"/>
          <w:i w:val="1"/>
          <w:iCs w:val="1"/>
          <w:color w:val="auto"/>
        </w:rPr>
        <w:t>Plans</w:t>
      </w:r>
      <w:r>
        <w:rPr>
          <w:rFonts w:ascii="Calibri" w:cs="Calibri" w:eastAsia="Calibri" w:hAnsi="Calibri"/>
          <w:sz w:val="14"/>
          <w:szCs w:val="14"/>
          <w:color w:val="auto"/>
        </w:rPr>
        <w:t>”).</w:t>
      </w:r>
    </w:p>
    <w:p>
      <w:pPr>
        <w:spacing w:after="0" w:line="351" w:lineRule="exact"/>
        <w:rPr>
          <w:rFonts w:ascii="Calibri" w:cs="Calibri" w:eastAsia="Calibri" w:hAnsi="Calibri"/>
          <w:sz w:val="14"/>
          <w:szCs w:val="14"/>
          <w:b w:val="1"/>
          <w:bCs w:val="1"/>
          <w:color w:val="auto"/>
        </w:rPr>
      </w:pPr>
    </w:p>
    <w:p>
      <w:pPr>
        <w:ind w:left="1500" w:hanging="369"/>
        <w:spacing w:after="0"/>
        <w:tabs>
          <w:tab w:leader="none" w:pos="1500" w:val="left"/>
        </w:tabs>
        <w:numPr>
          <w:ilvl w:val="1"/>
          <w:numId w:val="149"/>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No Disclosure or Tipping</w:t>
      </w:r>
    </w:p>
    <w:p>
      <w:pPr>
        <w:spacing w:after="0" w:line="221" w:lineRule="exact"/>
        <w:rPr>
          <w:sz w:val="20"/>
          <w:szCs w:val="20"/>
          <w:color w:val="auto"/>
        </w:rPr>
      </w:pPr>
    </w:p>
    <w:p>
      <w:pPr>
        <w:jc w:val="center"/>
        <w:ind w:right="-19"/>
        <w:spacing w:after="0"/>
        <w:rPr>
          <w:sz w:val="20"/>
          <w:szCs w:val="20"/>
          <w:color w:val="auto"/>
        </w:rPr>
      </w:pPr>
      <w:r>
        <w:rPr>
          <w:rFonts w:ascii="Calibri" w:cs="Calibri" w:eastAsia="Calibri" w:hAnsi="Calibri"/>
          <w:sz w:val="14"/>
          <w:szCs w:val="14"/>
          <w:color w:val="auto"/>
        </w:rPr>
        <w:t>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788670</wp:posOffset>
            </wp:positionV>
            <wp:extent cx="7157720" cy="42545"/>
            <wp:wrapNone/>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73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76" w:right="339" w:bottom="1440" w:gutter="0" w:footer="0" w:header="0"/>
        </w:sectPr>
      </w:pPr>
    </w:p>
    <w:bookmarkStart w:id="184" w:name="page185"/>
    <w:bookmarkEnd w:id="184"/>
    <w:p>
      <w:pPr>
        <w:jc w:val="both"/>
        <w:ind w:left="380"/>
        <w:spacing w:after="0" w:line="246" w:lineRule="auto"/>
        <w:rPr>
          <w:sz w:val="20"/>
          <w:szCs w:val="20"/>
          <w:color w:val="auto"/>
        </w:rPr>
      </w:pPr>
      <w:r>
        <w:rPr>
          <w:rFonts w:ascii="Calibri" w:cs="Calibri" w:eastAsia="Calibri" w:hAnsi="Calibri"/>
          <w:sz w:val="14"/>
          <w:szCs w:val="14"/>
          <w:color w:val="auto"/>
        </w:rPr>
        <w:t>An Insider shall NOT disclose (“</w:t>
      </w:r>
      <w:r>
        <w:rPr>
          <w:rFonts w:ascii="Calibri" w:cs="Calibri" w:eastAsia="Calibri" w:hAnsi="Calibri"/>
          <w:sz w:val="14"/>
          <w:szCs w:val="14"/>
          <w:b w:val="1"/>
          <w:bCs w:val="1"/>
          <w:color w:val="auto"/>
        </w:rPr>
        <w:t>tp</w:t>
      </w:r>
      <w:r>
        <w:rPr>
          <w:rFonts w:ascii="Calibri" w:cs="Calibri" w:eastAsia="Calibri" w:hAnsi="Calibri"/>
          <w:sz w:val="14"/>
          <w:szCs w:val="14"/>
          <w:color w:val="auto"/>
        </w:rPr>
        <w:t>”) all or any porton of Material Nonpublic Informaton to any other person (including family members) where such Material Nonpublic Informaton may be used by such person to his or her proft by trading in the securites of MicroStrategy or companies to which such Material Nonpublic Informaton relates, nor shall such Insider or related person make recommendatons or express opinions on the basis of Material Nonpublic Informaton as to trading in MicroStrategy’s securites.</w:t>
      </w:r>
    </w:p>
    <w:p>
      <w:pPr>
        <w:spacing w:after="0" w:line="176" w:lineRule="exact"/>
        <w:rPr>
          <w:sz w:val="20"/>
          <w:szCs w:val="20"/>
          <w:color w:val="auto"/>
        </w:rPr>
      </w:pPr>
    </w:p>
    <w:p>
      <w:pPr>
        <w:ind w:left="380" w:hanging="369"/>
        <w:spacing w:after="0"/>
        <w:tabs>
          <w:tab w:leader="none" w:pos="380" w:val="left"/>
        </w:tabs>
        <w:numPr>
          <w:ilvl w:val="0"/>
          <w:numId w:val="150"/>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Confdentality of Material Nonpublic Informaton</w:t>
      </w:r>
    </w:p>
    <w:p>
      <w:pPr>
        <w:spacing w:after="0" w:line="181" w:lineRule="exact"/>
        <w:rPr>
          <w:rFonts w:ascii="Calibri" w:cs="Calibri" w:eastAsia="Calibri" w:hAnsi="Calibri"/>
          <w:sz w:val="14"/>
          <w:szCs w:val="14"/>
          <w:b w:val="1"/>
          <w:bCs w:val="1"/>
          <w:color w:val="auto"/>
        </w:rPr>
      </w:pPr>
    </w:p>
    <w:p>
      <w:pPr>
        <w:jc w:val="both"/>
        <w:ind w:left="380"/>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 xml:space="preserve">Material Nonpublic Informaton relatng to MicroStrategy is confdental and proprietary to MicroStrategy and the unauthorized disclosure of such informaton is forbidden. Company Personnel may not disclose Material Nonpublic Informaton except in accordance with MicroStrategy’s policies with respect to public communicatons or as otherwise authorized by an Insider Trading Compliance Ofcer (see </w:t>
      </w:r>
      <w:r>
        <w:rPr>
          <w:rFonts w:ascii="Calibri" w:cs="Calibri" w:eastAsia="Calibri" w:hAnsi="Calibri"/>
          <w:sz w:val="14"/>
          <w:szCs w:val="14"/>
          <w:i w:val="1"/>
          <w:iCs w:val="1"/>
          <w:color w:val="auto"/>
        </w:rPr>
        <w:t>Exhibit A</w:t>
      </w:r>
      <w:r>
        <w:rPr>
          <w:rFonts w:ascii="Calibri" w:cs="Calibri" w:eastAsia="Calibri" w:hAnsi="Calibri"/>
          <w:sz w:val="14"/>
          <w:szCs w:val="14"/>
          <w:color w:val="auto"/>
        </w:rPr>
        <w:t xml:space="preserve"> hereto). Additonal informaton on the treatment of MicroStrategy confdental and proprietary informaton can be found in MicroStrategy’s Employee Handbook and the policies referenced in the Employee Handbook.</w:t>
      </w:r>
    </w:p>
    <w:p>
      <w:pPr>
        <w:spacing w:after="0" w:line="175" w:lineRule="exact"/>
        <w:rPr>
          <w:rFonts w:ascii="Calibri" w:cs="Calibri" w:eastAsia="Calibri" w:hAnsi="Calibri"/>
          <w:sz w:val="14"/>
          <w:szCs w:val="14"/>
          <w:b w:val="1"/>
          <w:bCs w:val="1"/>
          <w:color w:val="auto"/>
        </w:rPr>
      </w:pPr>
    </w:p>
    <w:p>
      <w:pPr>
        <w:ind w:left="380" w:hanging="369"/>
        <w:spacing w:after="0"/>
        <w:tabs>
          <w:tab w:leader="none" w:pos="380" w:val="left"/>
        </w:tabs>
        <w:numPr>
          <w:ilvl w:val="0"/>
          <w:numId w:val="150"/>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Restrictons on Short Sales, Derivatves Trading, and Hedging Transactons</w:t>
      </w:r>
    </w:p>
    <w:p>
      <w:pPr>
        <w:spacing w:after="0" w:line="180" w:lineRule="exact"/>
        <w:rPr>
          <w:rFonts w:ascii="Calibri" w:cs="Calibri" w:eastAsia="Calibri" w:hAnsi="Calibri"/>
          <w:sz w:val="14"/>
          <w:szCs w:val="14"/>
          <w:b w:val="1"/>
          <w:bCs w:val="1"/>
          <w:color w:val="auto"/>
        </w:rPr>
      </w:pPr>
    </w:p>
    <w:p>
      <w:pPr>
        <w:ind w:left="380"/>
        <w:spacing w:after="0"/>
        <w:rPr>
          <w:rFonts w:ascii="Calibri" w:cs="Calibri" w:eastAsia="Calibri" w:hAnsi="Calibri"/>
          <w:sz w:val="14"/>
          <w:szCs w:val="14"/>
          <w:b w:val="1"/>
          <w:bCs w:val="1"/>
          <w:color w:val="auto"/>
        </w:rPr>
      </w:pPr>
      <w:r>
        <w:rPr>
          <w:rFonts w:ascii="Calibri" w:cs="Calibri" w:eastAsia="Calibri" w:hAnsi="Calibri"/>
          <w:sz w:val="14"/>
          <w:szCs w:val="14"/>
          <w:color w:val="auto"/>
        </w:rPr>
        <w:t>The following restrictons apply to short sales, derivatves trading, and hedging transactons involving MicroStrategy securites:</w:t>
      </w:r>
    </w:p>
    <w:p>
      <w:pPr>
        <w:spacing w:after="0" w:line="181" w:lineRule="exact"/>
        <w:rPr>
          <w:rFonts w:ascii="Calibri" w:cs="Calibri" w:eastAsia="Calibri" w:hAnsi="Calibri"/>
          <w:sz w:val="14"/>
          <w:szCs w:val="14"/>
          <w:b w:val="1"/>
          <w:bCs w:val="1"/>
          <w:color w:val="auto"/>
        </w:rPr>
      </w:pPr>
    </w:p>
    <w:p>
      <w:pPr>
        <w:jc w:val="both"/>
        <w:ind w:left="1140" w:hanging="380"/>
        <w:spacing w:after="0" w:line="246" w:lineRule="auto"/>
        <w:tabs>
          <w:tab w:leader="none" w:pos="1140" w:val="left"/>
        </w:tabs>
        <w:numPr>
          <w:ilvl w:val="1"/>
          <w:numId w:val="150"/>
        </w:numPr>
        <w:rPr>
          <w:rFonts w:ascii="Times New Roman" w:cs="Times New Roman" w:eastAsia="Times New Roman" w:hAnsi="Times New Roman"/>
          <w:sz w:val="14"/>
          <w:szCs w:val="14"/>
          <w:color w:val="auto"/>
        </w:rPr>
      </w:pPr>
      <w:r>
        <w:rPr>
          <w:rFonts w:ascii="Calibri" w:cs="Calibri" w:eastAsia="Calibri" w:hAnsi="Calibri"/>
          <w:sz w:val="14"/>
          <w:szCs w:val="14"/>
          <w:color w:val="auto"/>
        </w:rPr>
        <w:t xml:space="preserve">A </w:t>
      </w:r>
      <w:r>
        <w:rPr>
          <w:rFonts w:ascii="Calibri" w:cs="Calibri" w:eastAsia="Calibri" w:hAnsi="Calibri"/>
          <w:sz w:val="14"/>
          <w:szCs w:val="14"/>
          <w:b w:val="1"/>
          <w:bCs w:val="1"/>
          <w:color w:val="auto"/>
        </w:rPr>
        <w:t>short sale</w:t>
      </w:r>
      <w:r>
        <w:rPr>
          <w:rFonts w:ascii="Calibri" w:cs="Calibri" w:eastAsia="Calibri" w:hAnsi="Calibri"/>
          <w:sz w:val="14"/>
          <w:szCs w:val="14"/>
          <w:color w:val="auto"/>
        </w:rPr>
        <w:t xml:space="preserve"> occurs when an investor sells securites and receives the sales proceeds but uses borrowed securites to setle the sale transacton. Short sales may be a </w:t>
      </w:r>
      <w:r>
        <w:rPr>
          <w:rFonts w:ascii="Calibri" w:cs="Calibri" w:eastAsia="Calibri" w:hAnsi="Calibri"/>
          <w:sz w:val="14"/>
          <w:szCs w:val="14"/>
          <w:b w:val="1"/>
          <w:bCs w:val="1"/>
          <w:color w:val="auto"/>
        </w:rPr>
        <w:t>naked short sale</w:t>
      </w:r>
      <w:r>
        <w:rPr>
          <w:rFonts w:ascii="Calibri" w:cs="Calibri" w:eastAsia="Calibri" w:hAnsi="Calibri"/>
          <w:sz w:val="14"/>
          <w:szCs w:val="14"/>
          <w:color w:val="auto"/>
        </w:rPr>
        <w:t xml:space="preserve">, when the investor does not own any of the securites sold, or </w:t>
      </w:r>
      <w:r>
        <w:rPr>
          <w:rFonts w:ascii="Calibri" w:cs="Calibri" w:eastAsia="Calibri" w:hAnsi="Calibri"/>
          <w:sz w:val="14"/>
          <w:szCs w:val="14"/>
          <w:b w:val="1"/>
          <w:bCs w:val="1"/>
          <w:color w:val="auto"/>
        </w:rPr>
        <w:t>short against the box</w:t>
      </w:r>
      <w:r>
        <w:rPr>
          <w:rFonts w:ascii="Calibri" w:cs="Calibri" w:eastAsia="Calibri" w:hAnsi="Calibri"/>
          <w:sz w:val="14"/>
          <w:szCs w:val="14"/>
          <w:color w:val="auto"/>
        </w:rPr>
        <w:t>, when the investor owns sufcient securites to cover the trade, but elects to borrow securites from someone else to setle the sale transacton. The short sales investor assumes that the price of the securites will decline prior to the date on which he or she is required to deliver equivalent securites to the third party who loaned the securites used to setle the sale transacton.</w:t>
      </w:r>
    </w:p>
    <w:p>
      <w:pPr>
        <w:spacing w:after="0" w:line="109" w:lineRule="exact"/>
        <w:rPr>
          <w:rFonts w:ascii="Times New Roman" w:cs="Times New Roman" w:eastAsia="Times New Roman" w:hAnsi="Times New Roman"/>
          <w:sz w:val="14"/>
          <w:szCs w:val="14"/>
          <w:color w:val="auto"/>
        </w:rPr>
      </w:pPr>
    </w:p>
    <w:p>
      <w:pPr>
        <w:jc w:val="both"/>
        <w:ind w:left="1140" w:hanging="380"/>
        <w:spacing w:after="0" w:line="246" w:lineRule="auto"/>
        <w:tabs>
          <w:tab w:leader="none" w:pos="1140" w:val="left"/>
        </w:tabs>
        <w:numPr>
          <w:ilvl w:val="1"/>
          <w:numId w:val="150"/>
        </w:numPr>
        <w:rPr>
          <w:rFonts w:ascii="Times New Roman" w:cs="Times New Roman" w:eastAsia="Times New Roman" w:hAnsi="Times New Roman"/>
          <w:sz w:val="14"/>
          <w:szCs w:val="14"/>
          <w:color w:val="auto"/>
        </w:rPr>
      </w:pPr>
      <w:r>
        <w:rPr>
          <w:rFonts w:ascii="Calibri" w:cs="Calibri" w:eastAsia="Calibri" w:hAnsi="Calibri"/>
          <w:sz w:val="14"/>
          <w:szCs w:val="14"/>
          <w:color w:val="auto"/>
        </w:rPr>
        <w:t xml:space="preserve">A </w:t>
      </w:r>
      <w:r>
        <w:rPr>
          <w:rFonts w:ascii="Calibri" w:cs="Calibri" w:eastAsia="Calibri" w:hAnsi="Calibri"/>
          <w:sz w:val="14"/>
          <w:szCs w:val="14"/>
          <w:b w:val="1"/>
          <w:bCs w:val="1"/>
          <w:color w:val="auto"/>
        </w:rPr>
        <w:t>short-equivalent positon</w:t>
      </w:r>
      <w:r>
        <w:rPr>
          <w:rFonts w:ascii="Calibri" w:cs="Calibri" w:eastAsia="Calibri" w:hAnsi="Calibri"/>
          <w:sz w:val="14"/>
          <w:szCs w:val="14"/>
          <w:color w:val="auto"/>
        </w:rPr>
        <w:t xml:space="preserve"> would arise whenever an investor takes a positon based on an assumpton that the price of securites will stay the same or decline. For example, when an investor buys a put at a specifed strike price, the investor protects himself or herself from a decline in price because the investor can exercise the put and receive the higher strike price for the underlying securites. Similarly, when an investor sells a call at a specifed strike price, the investor assumes that the price of the underlying securites will not go up during the term of the call, which would give the counter-party an incentve to exercise, and the investor receives a premium for the call which ofsets losses if the price of the underlying securites declines.</w:t>
      </w:r>
    </w:p>
    <w:p>
      <w:pPr>
        <w:spacing w:after="0" w:line="109" w:lineRule="exact"/>
        <w:rPr>
          <w:rFonts w:ascii="Times New Roman" w:cs="Times New Roman" w:eastAsia="Times New Roman" w:hAnsi="Times New Roman"/>
          <w:sz w:val="14"/>
          <w:szCs w:val="14"/>
          <w:color w:val="auto"/>
        </w:rPr>
      </w:pPr>
    </w:p>
    <w:p>
      <w:pPr>
        <w:jc w:val="both"/>
        <w:ind w:left="1140" w:hanging="380"/>
        <w:spacing w:after="0" w:line="246" w:lineRule="auto"/>
        <w:tabs>
          <w:tab w:leader="none" w:pos="1140" w:val="left"/>
        </w:tabs>
        <w:numPr>
          <w:ilvl w:val="1"/>
          <w:numId w:val="150"/>
        </w:numPr>
        <w:rPr>
          <w:rFonts w:ascii="Times New Roman" w:cs="Times New Roman" w:eastAsia="Times New Roman" w:hAnsi="Times New Roman"/>
          <w:sz w:val="14"/>
          <w:szCs w:val="14"/>
          <w:color w:val="auto"/>
        </w:rPr>
      </w:pPr>
      <w:r>
        <w:rPr>
          <w:rFonts w:ascii="Calibri" w:cs="Calibri" w:eastAsia="Calibri" w:hAnsi="Calibri"/>
          <w:sz w:val="14"/>
          <w:szCs w:val="14"/>
          <w:color w:val="auto"/>
        </w:rPr>
        <w:t xml:space="preserve">By contrast, a </w:t>
      </w:r>
      <w:r>
        <w:rPr>
          <w:rFonts w:ascii="Calibri" w:cs="Calibri" w:eastAsia="Calibri" w:hAnsi="Calibri"/>
          <w:sz w:val="14"/>
          <w:szCs w:val="14"/>
          <w:b w:val="1"/>
          <w:bCs w:val="1"/>
          <w:color w:val="auto"/>
        </w:rPr>
        <w:t>long</w:t>
      </w:r>
      <w:r>
        <w:rPr>
          <w:rFonts w:ascii="Calibri" w:cs="Calibri" w:eastAsia="Calibri" w:hAnsi="Calibri"/>
          <w:sz w:val="14"/>
          <w:szCs w:val="14"/>
          <w:color w:val="auto"/>
        </w:rPr>
        <w:t xml:space="preserve"> positon would arise whenever an investor takes a positon based on an assumpton that the price of securites will increase. For example, when an investor buys a call at a specifed strike price, the investor assumes the price of the underlying securites will increase and the Investor can then purchase the underlying securites at the call strike price and sell them in the market at a higher value. Similarly, when an investor sells a put at a specifed strike price, the investor assumes that the price of the underlying securites will not go down during the term of the put, which would give the counter-party an incentve to exercise, and the investor receives a premium for the put which increases the investor’s gain if the price goes up and ofsets losses if the price goes down.</w:t>
      </w:r>
    </w:p>
    <w:p>
      <w:pPr>
        <w:spacing w:after="0" w:line="109" w:lineRule="exact"/>
        <w:rPr>
          <w:rFonts w:ascii="Times New Roman" w:cs="Times New Roman" w:eastAsia="Times New Roman" w:hAnsi="Times New Roman"/>
          <w:sz w:val="14"/>
          <w:szCs w:val="14"/>
          <w:color w:val="auto"/>
        </w:rPr>
      </w:pPr>
    </w:p>
    <w:p>
      <w:pPr>
        <w:jc w:val="both"/>
        <w:ind w:left="1140" w:hanging="380"/>
        <w:spacing w:after="0" w:line="245" w:lineRule="auto"/>
        <w:tabs>
          <w:tab w:leader="none" w:pos="1140" w:val="left"/>
        </w:tabs>
        <w:numPr>
          <w:ilvl w:val="1"/>
          <w:numId w:val="150"/>
        </w:numPr>
        <w:rPr>
          <w:rFonts w:ascii="Times New Roman" w:cs="Times New Roman" w:eastAsia="Times New Roman" w:hAnsi="Times New Roman"/>
          <w:sz w:val="14"/>
          <w:szCs w:val="14"/>
          <w:color w:val="auto"/>
        </w:rPr>
      </w:pPr>
      <w:r>
        <w:rPr>
          <w:rFonts w:ascii="Calibri" w:cs="Calibri" w:eastAsia="Calibri" w:hAnsi="Calibri"/>
          <w:sz w:val="14"/>
          <w:szCs w:val="14"/>
          <w:color w:val="auto"/>
        </w:rPr>
        <w:t xml:space="preserve">A </w:t>
      </w:r>
      <w:r>
        <w:rPr>
          <w:rFonts w:ascii="Calibri" w:cs="Calibri" w:eastAsia="Calibri" w:hAnsi="Calibri"/>
          <w:sz w:val="14"/>
          <w:szCs w:val="14"/>
          <w:b w:val="1"/>
          <w:bCs w:val="1"/>
          <w:color w:val="auto"/>
        </w:rPr>
        <w:t>derivatve security</w:t>
      </w:r>
      <w:r>
        <w:rPr>
          <w:rFonts w:ascii="Calibri" w:cs="Calibri" w:eastAsia="Calibri" w:hAnsi="Calibri"/>
          <w:sz w:val="14"/>
          <w:szCs w:val="14"/>
          <w:color w:val="auto"/>
        </w:rPr>
        <w:t xml:space="preserve"> generally is any security whose value is dependent to some degree on another security. Examples of the most common types of derivatve securites include </w:t>
      </w:r>
      <w:r>
        <w:rPr>
          <w:rFonts w:ascii="Calibri" w:cs="Calibri" w:eastAsia="Calibri" w:hAnsi="Calibri"/>
          <w:sz w:val="14"/>
          <w:szCs w:val="14"/>
          <w:b w:val="1"/>
          <w:bCs w:val="1"/>
          <w:color w:val="auto"/>
        </w:rPr>
        <w:t>warrants</w:t>
      </w:r>
      <w:r>
        <w:rPr>
          <w:rFonts w:ascii="Calibri" w:cs="Calibri" w:eastAsia="Calibri" w:hAnsi="Calibri"/>
          <w:sz w:val="14"/>
          <w:szCs w:val="14"/>
          <w:color w:val="auto"/>
        </w:rPr>
        <w:t xml:space="preserve">, </w:t>
      </w:r>
      <w:r>
        <w:rPr>
          <w:rFonts w:ascii="Calibri" w:cs="Calibri" w:eastAsia="Calibri" w:hAnsi="Calibri"/>
          <w:sz w:val="14"/>
          <w:szCs w:val="14"/>
          <w:b w:val="1"/>
          <w:bCs w:val="1"/>
          <w:color w:val="auto"/>
        </w:rPr>
        <w:t>puts</w:t>
      </w:r>
      <w:r>
        <w:rPr>
          <w:rFonts w:ascii="Calibri" w:cs="Calibri" w:eastAsia="Calibri" w:hAnsi="Calibri"/>
          <w:sz w:val="14"/>
          <w:szCs w:val="14"/>
          <w:color w:val="auto"/>
        </w:rPr>
        <w:t xml:space="preserve"> and </w:t>
      </w:r>
      <w:r>
        <w:rPr>
          <w:rFonts w:ascii="Calibri" w:cs="Calibri" w:eastAsia="Calibri" w:hAnsi="Calibri"/>
          <w:sz w:val="14"/>
          <w:szCs w:val="14"/>
          <w:b w:val="1"/>
          <w:bCs w:val="1"/>
          <w:color w:val="auto"/>
        </w:rPr>
        <w:t>calls</w:t>
      </w:r>
      <w:r>
        <w:rPr>
          <w:rFonts w:ascii="Calibri" w:cs="Calibri" w:eastAsia="Calibri" w:hAnsi="Calibri"/>
          <w:sz w:val="14"/>
          <w:szCs w:val="14"/>
          <w:color w:val="auto"/>
        </w:rPr>
        <w:t xml:space="preserve">. A </w:t>
      </w:r>
      <w:r>
        <w:rPr>
          <w:rFonts w:ascii="Calibri" w:cs="Calibri" w:eastAsia="Calibri" w:hAnsi="Calibri"/>
          <w:sz w:val="14"/>
          <w:szCs w:val="14"/>
          <w:b w:val="1"/>
          <w:bCs w:val="1"/>
          <w:color w:val="auto"/>
        </w:rPr>
        <w:t>put</w:t>
      </w:r>
      <w:r>
        <w:rPr>
          <w:rFonts w:ascii="Calibri" w:cs="Calibri" w:eastAsia="Calibri" w:hAnsi="Calibri"/>
          <w:sz w:val="14"/>
          <w:szCs w:val="14"/>
          <w:color w:val="auto"/>
        </w:rPr>
        <w:t xml:space="preserve"> is an opton giving one party the right to cause the other party to buy the underlying securites upon exercise. A </w:t>
      </w:r>
      <w:r>
        <w:rPr>
          <w:rFonts w:ascii="Calibri" w:cs="Calibri" w:eastAsia="Calibri" w:hAnsi="Calibri"/>
          <w:sz w:val="14"/>
          <w:szCs w:val="14"/>
          <w:b w:val="1"/>
          <w:bCs w:val="1"/>
          <w:color w:val="auto"/>
        </w:rPr>
        <w:t>call</w:t>
      </w:r>
      <w:r>
        <w:rPr>
          <w:rFonts w:ascii="Calibri" w:cs="Calibri" w:eastAsia="Calibri" w:hAnsi="Calibri"/>
          <w:sz w:val="14"/>
          <w:szCs w:val="14"/>
          <w:color w:val="auto"/>
        </w:rPr>
        <w:t xml:space="preserve"> is an opton giving one party the right to cause the other party to sell the underlying securites upon exercise.</w:t>
      </w:r>
    </w:p>
    <w:p>
      <w:pPr>
        <w:spacing w:after="0" w:line="179" w:lineRule="exact"/>
        <w:rPr>
          <w:sz w:val="20"/>
          <w:szCs w:val="20"/>
          <w:color w:val="auto"/>
        </w:rPr>
      </w:pPr>
    </w:p>
    <w:p>
      <w:pPr>
        <w:jc w:val="both"/>
        <w:ind w:left="380"/>
        <w:spacing w:after="0" w:line="245" w:lineRule="auto"/>
        <w:rPr>
          <w:sz w:val="20"/>
          <w:szCs w:val="20"/>
          <w:color w:val="auto"/>
        </w:rPr>
      </w:pPr>
      <w:r>
        <w:rPr>
          <w:rFonts w:ascii="Calibri" w:cs="Calibri" w:eastAsia="Calibri" w:hAnsi="Calibri"/>
          <w:sz w:val="14"/>
          <w:szCs w:val="14"/>
          <w:color w:val="auto"/>
        </w:rPr>
        <w:t xml:space="preserve">Certain types of transactons may </w:t>
      </w:r>
      <w:r>
        <w:rPr>
          <w:rFonts w:ascii="Calibri" w:cs="Calibri" w:eastAsia="Calibri" w:hAnsi="Calibri"/>
          <w:sz w:val="14"/>
          <w:szCs w:val="14"/>
          <w:b w:val="1"/>
          <w:bCs w:val="1"/>
          <w:color w:val="auto"/>
        </w:rPr>
        <w:t>hedge</w:t>
      </w:r>
      <w:r>
        <w:rPr>
          <w:rFonts w:ascii="Calibri" w:cs="Calibri" w:eastAsia="Calibri" w:hAnsi="Calibri"/>
          <w:sz w:val="14"/>
          <w:szCs w:val="14"/>
          <w:color w:val="auto"/>
        </w:rPr>
        <w:t xml:space="preserve"> or ofset a decrease in the market value of MicroStrategy securites, enabling holders of such securites to contnue to own MicroStrategy securites without the full risks of ownership. The Company believes that such transactons separate the holder's interests from those of other shareholders. All Insiders are prohibited from:</w:t>
      </w:r>
    </w:p>
    <w:p>
      <w:pPr>
        <w:spacing w:after="0" w:line="178" w:lineRule="exact"/>
        <w:rPr>
          <w:sz w:val="20"/>
          <w:szCs w:val="20"/>
          <w:color w:val="auto"/>
        </w:rPr>
      </w:pPr>
    </w:p>
    <w:p>
      <w:pPr>
        <w:ind w:left="1140" w:hanging="380"/>
        <w:spacing w:after="0"/>
        <w:tabs>
          <w:tab w:leader="none" w:pos="1140" w:val="left"/>
        </w:tabs>
        <w:numPr>
          <w:ilvl w:val="0"/>
          <w:numId w:val="151"/>
        </w:numPr>
        <w:rPr>
          <w:rFonts w:ascii="Times New Roman" w:cs="Times New Roman" w:eastAsia="Times New Roman" w:hAnsi="Times New Roman"/>
          <w:sz w:val="14"/>
          <w:szCs w:val="14"/>
          <w:color w:val="auto"/>
        </w:rPr>
      </w:pPr>
      <w:r>
        <w:rPr>
          <w:rFonts w:ascii="Calibri" w:cs="Calibri" w:eastAsia="Calibri" w:hAnsi="Calibri"/>
          <w:sz w:val="14"/>
          <w:szCs w:val="14"/>
          <w:color w:val="auto"/>
        </w:rPr>
        <w:t>engaging in naked short sales of MicroStrategy securites.</w:t>
      </w:r>
    </w:p>
    <w:p>
      <w:pPr>
        <w:spacing w:after="0" w:line="112" w:lineRule="exact"/>
        <w:rPr>
          <w:rFonts w:ascii="Times New Roman" w:cs="Times New Roman" w:eastAsia="Times New Roman" w:hAnsi="Times New Roman"/>
          <w:sz w:val="14"/>
          <w:szCs w:val="14"/>
          <w:color w:val="auto"/>
        </w:rPr>
      </w:pPr>
    </w:p>
    <w:p>
      <w:pPr>
        <w:ind w:left="1140" w:hanging="380"/>
        <w:spacing w:after="0"/>
        <w:tabs>
          <w:tab w:leader="none" w:pos="1140" w:val="left"/>
        </w:tabs>
        <w:numPr>
          <w:ilvl w:val="0"/>
          <w:numId w:val="151"/>
        </w:numPr>
        <w:rPr>
          <w:rFonts w:ascii="Times New Roman" w:cs="Times New Roman" w:eastAsia="Times New Roman" w:hAnsi="Times New Roman"/>
          <w:sz w:val="14"/>
          <w:szCs w:val="14"/>
          <w:color w:val="auto"/>
        </w:rPr>
      </w:pPr>
      <w:r>
        <w:rPr>
          <w:rFonts w:ascii="Calibri" w:cs="Calibri" w:eastAsia="Calibri" w:hAnsi="Calibri"/>
          <w:sz w:val="14"/>
          <w:szCs w:val="14"/>
          <w:color w:val="auto"/>
        </w:rPr>
        <w:t>selling short against the box, buying put optons, selling call optons, or entering into any other short-equivalent positons in MicroStrategy securites.</w:t>
      </w:r>
    </w:p>
    <w:p>
      <w:pPr>
        <w:spacing w:after="0" w:line="112" w:lineRule="exact"/>
        <w:rPr>
          <w:rFonts w:ascii="Times New Roman" w:cs="Times New Roman" w:eastAsia="Times New Roman" w:hAnsi="Times New Roman"/>
          <w:sz w:val="14"/>
          <w:szCs w:val="14"/>
          <w:color w:val="auto"/>
        </w:rPr>
      </w:pPr>
    </w:p>
    <w:p>
      <w:pPr>
        <w:ind w:left="1140" w:hanging="380"/>
        <w:spacing w:after="0"/>
        <w:tabs>
          <w:tab w:leader="none" w:pos="1140" w:val="left"/>
        </w:tabs>
        <w:numPr>
          <w:ilvl w:val="0"/>
          <w:numId w:val="151"/>
        </w:numPr>
        <w:rPr>
          <w:rFonts w:ascii="Times New Roman" w:cs="Times New Roman" w:eastAsia="Times New Roman" w:hAnsi="Times New Roman"/>
          <w:sz w:val="14"/>
          <w:szCs w:val="14"/>
          <w:color w:val="auto"/>
        </w:rPr>
      </w:pPr>
      <w:r>
        <w:rPr>
          <w:rFonts w:ascii="Calibri" w:cs="Calibri" w:eastAsia="Calibri" w:hAnsi="Calibri"/>
          <w:sz w:val="14"/>
          <w:szCs w:val="14"/>
          <w:color w:val="auto"/>
        </w:rPr>
        <w:t>engaging in trading of call optons and other long derivatves positons.</w:t>
      </w:r>
    </w:p>
    <w:p>
      <w:pPr>
        <w:spacing w:after="0" w:line="112" w:lineRule="exact"/>
        <w:rPr>
          <w:rFonts w:ascii="Times New Roman" w:cs="Times New Roman" w:eastAsia="Times New Roman" w:hAnsi="Times New Roman"/>
          <w:sz w:val="14"/>
          <w:szCs w:val="14"/>
          <w:color w:val="auto"/>
        </w:rPr>
      </w:pPr>
    </w:p>
    <w:p>
      <w:pPr>
        <w:ind w:left="1140" w:hanging="380"/>
        <w:spacing w:after="0"/>
        <w:tabs>
          <w:tab w:leader="none" w:pos="1140" w:val="left"/>
        </w:tabs>
        <w:numPr>
          <w:ilvl w:val="0"/>
          <w:numId w:val="151"/>
        </w:numPr>
        <w:rPr>
          <w:rFonts w:ascii="Times New Roman" w:cs="Times New Roman" w:eastAsia="Times New Roman" w:hAnsi="Times New Roman"/>
          <w:sz w:val="14"/>
          <w:szCs w:val="14"/>
          <w:color w:val="auto"/>
        </w:rPr>
      </w:pPr>
      <w:r>
        <w:rPr>
          <w:rFonts w:ascii="Calibri" w:cs="Calibri" w:eastAsia="Calibri" w:hAnsi="Calibri"/>
          <w:sz w:val="14"/>
          <w:szCs w:val="14"/>
          <w:color w:val="auto"/>
        </w:rPr>
        <w:t>purchasing call optons or selling put optons.</w:t>
      </w:r>
    </w:p>
    <w:p>
      <w:pPr>
        <w:spacing w:after="0" w:line="113" w:lineRule="exact"/>
        <w:rPr>
          <w:rFonts w:ascii="Times New Roman" w:cs="Times New Roman" w:eastAsia="Times New Roman" w:hAnsi="Times New Roman"/>
          <w:sz w:val="14"/>
          <w:szCs w:val="14"/>
          <w:color w:val="auto"/>
        </w:rPr>
      </w:pPr>
    </w:p>
    <w:p>
      <w:pPr>
        <w:ind w:left="1140" w:hanging="380"/>
        <w:spacing w:after="0" w:line="245" w:lineRule="auto"/>
        <w:tabs>
          <w:tab w:leader="none" w:pos="1140" w:val="left"/>
        </w:tabs>
        <w:numPr>
          <w:ilvl w:val="0"/>
          <w:numId w:val="151"/>
        </w:numPr>
        <w:rPr>
          <w:rFonts w:ascii="Times New Roman" w:cs="Times New Roman" w:eastAsia="Times New Roman" w:hAnsi="Times New Roman"/>
          <w:sz w:val="14"/>
          <w:szCs w:val="14"/>
          <w:color w:val="auto"/>
        </w:rPr>
      </w:pPr>
      <w:r>
        <w:rPr>
          <w:rFonts w:ascii="Calibri" w:cs="Calibri" w:eastAsia="Calibri" w:hAnsi="Calibri"/>
          <w:sz w:val="14"/>
          <w:szCs w:val="14"/>
          <w:color w:val="auto"/>
        </w:rPr>
        <w:t>investng in any security, the value of which will vary or otherwise be dependent on any security issued directly by MicroStrategy, such as MicroStrategy common stock.</w:t>
      </w:r>
    </w:p>
    <w:p>
      <w:pPr>
        <w:spacing w:after="0" w:line="110" w:lineRule="exact"/>
        <w:rPr>
          <w:rFonts w:ascii="Times New Roman" w:cs="Times New Roman" w:eastAsia="Times New Roman" w:hAnsi="Times New Roman"/>
          <w:sz w:val="14"/>
          <w:szCs w:val="14"/>
          <w:color w:val="auto"/>
        </w:rPr>
      </w:pPr>
    </w:p>
    <w:p>
      <w:pPr>
        <w:ind w:left="1140" w:hanging="380"/>
        <w:spacing w:after="0" w:line="245" w:lineRule="auto"/>
        <w:tabs>
          <w:tab w:leader="none" w:pos="1140" w:val="left"/>
        </w:tabs>
        <w:numPr>
          <w:ilvl w:val="0"/>
          <w:numId w:val="151"/>
        </w:numPr>
        <w:rPr>
          <w:rFonts w:ascii="Times New Roman" w:cs="Times New Roman" w:eastAsia="Times New Roman" w:hAnsi="Times New Roman"/>
          <w:sz w:val="14"/>
          <w:szCs w:val="14"/>
          <w:color w:val="auto"/>
        </w:rPr>
      </w:pPr>
      <w:r>
        <w:rPr>
          <w:rFonts w:ascii="Calibri" w:cs="Calibri" w:eastAsia="Calibri" w:hAnsi="Calibri"/>
          <w:sz w:val="14"/>
          <w:szCs w:val="14"/>
          <w:color w:val="auto"/>
        </w:rPr>
        <w:t>purchasing fnancial instruments (including prepaid variable forward contracts, equity swaps, collars and exchange funds), or otherwise engaging in transactons, that hedge or ofset, or are designed to hedge or ofset, any decrease in the market value of MicroStrategy securites.</w:t>
      </w:r>
    </w:p>
    <w:p>
      <w:pPr>
        <w:spacing w:after="0" w:line="177" w:lineRule="exact"/>
        <w:rPr>
          <w:sz w:val="20"/>
          <w:szCs w:val="20"/>
          <w:color w:val="auto"/>
        </w:rPr>
      </w:pPr>
    </w:p>
    <w:p>
      <w:pPr>
        <w:ind w:left="380"/>
        <w:spacing w:after="0"/>
        <w:rPr>
          <w:sz w:val="20"/>
          <w:szCs w:val="20"/>
          <w:color w:val="auto"/>
        </w:rPr>
      </w:pPr>
      <w:r>
        <w:rPr>
          <w:rFonts w:ascii="Calibri" w:cs="Calibri" w:eastAsia="Calibri" w:hAnsi="Calibri"/>
          <w:sz w:val="14"/>
          <w:szCs w:val="14"/>
          <w:color w:val="auto"/>
        </w:rPr>
        <w:t>Subject to compliance with this Policy, Insiders may engage in transactons in derivatve securites issued directly by MicroStrategy.</w:t>
      </w:r>
    </w:p>
    <w:p>
      <w:pPr>
        <w:spacing w:after="0" w:line="221" w:lineRule="exact"/>
        <w:rPr>
          <w:sz w:val="20"/>
          <w:szCs w:val="20"/>
          <w:color w:val="auto"/>
        </w:rPr>
      </w:pPr>
    </w:p>
    <w:p>
      <w:pPr>
        <w:ind w:left="4460"/>
        <w:spacing w:after="0"/>
        <w:rPr>
          <w:sz w:val="20"/>
          <w:szCs w:val="20"/>
          <w:color w:val="auto"/>
        </w:rPr>
      </w:pPr>
      <w:r>
        <w:rPr>
          <w:rFonts w:ascii="Calibri" w:cs="Calibri" w:eastAsia="Calibri" w:hAnsi="Calibri"/>
          <w:sz w:val="14"/>
          <w:szCs w:val="14"/>
          <w:color w:val="auto"/>
        </w:rPr>
        <w:t>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-718185</wp:posOffset>
            </wp:positionH>
            <wp:positionV relativeFrom="paragraph">
              <wp:posOffset>788670</wp:posOffset>
            </wp:positionV>
            <wp:extent cx="7157720" cy="42545"/>
            <wp:wrapNone/>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74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120"/>
          </w:cols>
          <w:pgMar w:left="1440" w:top="1165" w:right="339" w:bottom="1440" w:gutter="0" w:footer="0" w:header="0"/>
        </w:sectPr>
      </w:pPr>
    </w:p>
    <w:bookmarkStart w:id="185" w:name="page186"/>
    <w:bookmarkEnd w:id="185"/>
    <w:p>
      <w:pPr>
        <w:ind w:left="743" w:hanging="369"/>
        <w:spacing w:after="0"/>
        <w:tabs>
          <w:tab w:leader="none" w:pos="743" w:val="left"/>
        </w:tabs>
        <w:numPr>
          <w:ilvl w:val="1"/>
          <w:numId w:val="152"/>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Broad-Based Index and Other Funds</w:t>
      </w:r>
    </w:p>
    <w:p>
      <w:pPr>
        <w:spacing w:after="0" w:line="181" w:lineRule="exact"/>
        <w:rPr>
          <w:rFonts w:ascii="Calibri" w:cs="Calibri" w:eastAsia="Calibri" w:hAnsi="Calibri"/>
          <w:sz w:val="14"/>
          <w:szCs w:val="14"/>
          <w:b w:val="1"/>
          <w:bCs w:val="1"/>
          <w:color w:val="auto"/>
        </w:rPr>
      </w:pPr>
    </w:p>
    <w:p>
      <w:pPr>
        <w:jc w:val="both"/>
        <w:ind w:left="743"/>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All Insiders are permited to invest in broad-based index funds or publicly-ofered funds, which are actvely managed by an independent fund manager. However, Insiders are prohibited from buying or selling interests in non-broad-based funds that have substantal holdings of MicroStrategy securites on the basis of Material Nonpublic Informaton about MicroStrategy except as specifcally permited by this Policy.</w:t>
      </w:r>
    </w:p>
    <w:p>
      <w:pPr>
        <w:spacing w:after="0" w:line="177" w:lineRule="exact"/>
        <w:rPr>
          <w:rFonts w:ascii="Calibri" w:cs="Calibri" w:eastAsia="Calibri" w:hAnsi="Calibri"/>
          <w:sz w:val="14"/>
          <w:szCs w:val="14"/>
          <w:b w:val="1"/>
          <w:bCs w:val="1"/>
          <w:color w:val="auto"/>
        </w:rPr>
      </w:pPr>
    </w:p>
    <w:p>
      <w:pPr>
        <w:ind w:left="383" w:hanging="383"/>
        <w:spacing w:after="0"/>
        <w:tabs>
          <w:tab w:leader="none" w:pos="383" w:val="left"/>
        </w:tabs>
        <w:numPr>
          <w:ilvl w:val="0"/>
          <w:numId w:val="153"/>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Mandatory Guidelines</w:t>
      </w:r>
    </w:p>
    <w:p>
      <w:pPr>
        <w:spacing w:after="0" w:line="180" w:lineRule="exact"/>
        <w:rPr>
          <w:rFonts w:ascii="Calibri" w:cs="Calibri" w:eastAsia="Calibri" w:hAnsi="Calibri"/>
          <w:sz w:val="14"/>
          <w:szCs w:val="14"/>
          <w:b w:val="1"/>
          <w:bCs w:val="1"/>
          <w:color w:val="auto"/>
        </w:rPr>
      </w:pPr>
    </w:p>
    <w:p>
      <w:pPr>
        <w:ind w:left="743" w:hanging="369"/>
        <w:spacing w:after="0"/>
        <w:tabs>
          <w:tab w:leader="none" w:pos="743" w:val="left"/>
        </w:tabs>
        <w:numPr>
          <w:ilvl w:val="1"/>
          <w:numId w:val="153"/>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Trading Windows and Non-Trading Windows</w:t>
      </w:r>
    </w:p>
    <w:p>
      <w:pPr>
        <w:spacing w:after="0" w:line="180" w:lineRule="exact"/>
        <w:rPr>
          <w:rFonts w:ascii="Calibri" w:cs="Calibri" w:eastAsia="Calibri" w:hAnsi="Calibri"/>
          <w:sz w:val="14"/>
          <w:szCs w:val="14"/>
          <w:b w:val="1"/>
          <w:bCs w:val="1"/>
          <w:color w:val="auto"/>
        </w:rPr>
      </w:pPr>
    </w:p>
    <w:p>
      <w:pPr>
        <w:ind w:left="743"/>
        <w:spacing w:after="0"/>
        <w:rPr>
          <w:rFonts w:ascii="Calibri" w:cs="Calibri" w:eastAsia="Calibri" w:hAnsi="Calibri"/>
          <w:sz w:val="14"/>
          <w:szCs w:val="14"/>
          <w:b w:val="1"/>
          <w:bCs w:val="1"/>
          <w:color w:val="auto"/>
        </w:rPr>
      </w:pPr>
      <w:r>
        <w:rPr>
          <w:rFonts w:ascii="Calibri" w:cs="Calibri" w:eastAsia="Calibri" w:hAnsi="Calibri"/>
          <w:sz w:val="14"/>
          <w:szCs w:val="14"/>
          <w:color w:val="auto"/>
        </w:rPr>
        <w:t>The purpose of the Trading Windows and Non-Trading Windows described below is to avoid any improper MicroStrategy securites transacton.</w:t>
      </w:r>
    </w:p>
    <w:p>
      <w:pPr>
        <w:spacing w:after="0" w:line="180" w:lineRule="exact"/>
        <w:rPr>
          <w:rFonts w:ascii="Calibri" w:cs="Calibri" w:eastAsia="Calibri" w:hAnsi="Calibri"/>
          <w:sz w:val="14"/>
          <w:szCs w:val="14"/>
          <w:b w:val="1"/>
          <w:bCs w:val="1"/>
          <w:color w:val="auto"/>
        </w:rPr>
      </w:pPr>
    </w:p>
    <w:p>
      <w:pPr>
        <w:ind w:left="1123" w:hanging="375"/>
        <w:spacing w:after="0"/>
        <w:tabs>
          <w:tab w:leader="none" w:pos="1123" w:val="left"/>
        </w:tabs>
        <w:numPr>
          <w:ilvl w:val="2"/>
          <w:numId w:val="153"/>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Regular Non-Trading Window</w:t>
      </w:r>
    </w:p>
    <w:p>
      <w:pPr>
        <w:spacing w:after="0" w:line="181" w:lineRule="exact"/>
        <w:rPr>
          <w:rFonts w:ascii="Calibri" w:cs="Calibri" w:eastAsia="Calibri" w:hAnsi="Calibri"/>
          <w:sz w:val="14"/>
          <w:szCs w:val="14"/>
          <w:b w:val="1"/>
          <w:bCs w:val="1"/>
          <w:color w:val="auto"/>
        </w:rPr>
      </w:pPr>
    </w:p>
    <w:p>
      <w:pPr>
        <w:jc w:val="both"/>
        <w:ind w:left="1123"/>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A “</w:t>
      </w:r>
      <w:r>
        <w:rPr>
          <w:rFonts w:ascii="Calibri" w:cs="Calibri" w:eastAsia="Calibri" w:hAnsi="Calibri"/>
          <w:sz w:val="14"/>
          <w:szCs w:val="14"/>
          <w:b w:val="1"/>
          <w:bCs w:val="1"/>
          <w:color w:val="auto"/>
        </w:rPr>
        <w:t>Regular Non-Trading Window</w:t>
      </w:r>
      <w:r>
        <w:rPr>
          <w:rFonts w:ascii="Calibri" w:cs="Calibri" w:eastAsia="Calibri" w:hAnsi="Calibri"/>
          <w:sz w:val="14"/>
          <w:szCs w:val="14"/>
          <w:color w:val="auto"/>
        </w:rPr>
        <w:t>” is the period beginning immediately following the close of trading on Nasdaq on the last Trading Day of a fscal quarter and ending at the Clearance Time related to the fling of a Current Report on Form 8-K containing certain informaton relatng to the Company’s bitcoin holdings, fnancial statement impacts of its bitcoin holdings and changes in capital structure as of the end of the prior fscal quarter.</w:t>
      </w:r>
    </w:p>
    <w:p>
      <w:pPr>
        <w:spacing w:after="0" w:line="177" w:lineRule="exact"/>
        <w:rPr>
          <w:rFonts w:ascii="Calibri" w:cs="Calibri" w:eastAsia="Calibri" w:hAnsi="Calibri"/>
          <w:sz w:val="14"/>
          <w:szCs w:val="14"/>
          <w:b w:val="1"/>
          <w:bCs w:val="1"/>
          <w:color w:val="auto"/>
        </w:rPr>
      </w:pPr>
    </w:p>
    <w:p>
      <w:pPr>
        <w:ind w:left="1123"/>
        <w:spacing w:after="0"/>
        <w:rPr>
          <w:rFonts w:ascii="Calibri" w:cs="Calibri" w:eastAsia="Calibri" w:hAnsi="Calibri"/>
          <w:sz w:val="14"/>
          <w:szCs w:val="14"/>
          <w:b w:val="1"/>
          <w:bCs w:val="1"/>
          <w:color w:val="auto"/>
        </w:rPr>
      </w:pPr>
      <w:r>
        <w:rPr>
          <w:rFonts w:ascii="Calibri" w:cs="Calibri" w:eastAsia="Calibri" w:hAnsi="Calibri"/>
          <w:sz w:val="14"/>
          <w:szCs w:val="14"/>
          <w:color w:val="auto"/>
        </w:rPr>
        <w:t>During a Regular Non-Trading Window, Insiders may not engage in any Securites Transactons other than transactons specifcally permited by this Policy.</w:t>
      </w:r>
    </w:p>
    <w:p>
      <w:pPr>
        <w:spacing w:after="0" w:line="181" w:lineRule="exact"/>
        <w:rPr>
          <w:rFonts w:ascii="Calibri" w:cs="Calibri" w:eastAsia="Calibri" w:hAnsi="Calibri"/>
          <w:sz w:val="14"/>
          <w:szCs w:val="14"/>
          <w:b w:val="1"/>
          <w:bCs w:val="1"/>
          <w:color w:val="auto"/>
        </w:rPr>
      </w:pPr>
    </w:p>
    <w:p>
      <w:pPr>
        <w:jc w:val="both"/>
        <w:ind w:left="1123"/>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Insider Trading Compliance Ofcers may also establish other periods of tme when conductng Securites Transactons is prohibited. These are known as “</w:t>
      </w:r>
      <w:r>
        <w:rPr>
          <w:rFonts w:ascii="Calibri" w:cs="Calibri" w:eastAsia="Calibri" w:hAnsi="Calibri"/>
          <w:sz w:val="14"/>
          <w:szCs w:val="14"/>
          <w:b w:val="1"/>
          <w:bCs w:val="1"/>
          <w:color w:val="auto"/>
        </w:rPr>
        <w:t>Special Non-Trading Windows</w:t>
      </w:r>
      <w:r>
        <w:rPr>
          <w:rFonts w:ascii="Calibri" w:cs="Calibri" w:eastAsia="Calibri" w:hAnsi="Calibri"/>
          <w:sz w:val="14"/>
          <w:szCs w:val="14"/>
          <w:color w:val="auto"/>
        </w:rPr>
        <w:t>,” and are discussed further below. Regular Non-Trading Windows and Special Non-Trading Windows are together referred to as “</w:t>
      </w:r>
      <w:r>
        <w:rPr>
          <w:rFonts w:ascii="Calibri" w:cs="Calibri" w:eastAsia="Calibri" w:hAnsi="Calibri"/>
          <w:sz w:val="14"/>
          <w:szCs w:val="14"/>
          <w:b w:val="1"/>
          <w:bCs w:val="1"/>
          <w:color w:val="auto"/>
        </w:rPr>
        <w:t>Non-Trading Windows</w:t>
      </w:r>
      <w:r>
        <w:rPr>
          <w:rFonts w:ascii="Calibri" w:cs="Calibri" w:eastAsia="Calibri" w:hAnsi="Calibri"/>
          <w:sz w:val="14"/>
          <w:szCs w:val="14"/>
          <w:color w:val="auto"/>
        </w:rPr>
        <w:t>.”</w:t>
      </w:r>
    </w:p>
    <w:p>
      <w:pPr>
        <w:spacing w:after="0" w:line="177" w:lineRule="exact"/>
        <w:rPr>
          <w:rFonts w:ascii="Calibri" w:cs="Calibri" w:eastAsia="Calibri" w:hAnsi="Calibri"/>
          <w:sz w:val="14"/>
          <w:szCs w:val="14"/>
          <w:b w:val="1"/>
          <w:bCs w:val="1"/>
          <w:color w:val="auto"/>
        </w:rPr>
      </w:pPr>
    </w:p>
    <w:p>
      <w:pPr>
        <w:ind w:left="1123" w:hanging="375"/>
        <w:spacing w:after="0"/>
        <w:tabs>
          <w:tab w:leader="none" w:pos="1123" w:val="left"/>
        </w:tabs>
        <w:numPr>
          <w:ilvl w:val="2"/>
          <w:numId w:val="153"/>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Trading Window</w:t>
      </w:r>
    </w:p>
    <w:p>
      <w:pPr>
        <w:spacing w:after="0" w:line="181" w:lineRule="exact"/>
        <w:rPr>
          <w:rFonts w:ascii="Calibri" w:cs="Calibri" w:eastAsia="Calibri" w:hAnsi="Calibri"/>
          <w:sz w:val="14"/>
          <w:szCs w:val="14"/>
          <w:b w:val="1"/>
          <w:bCs w:val="1"/>
          <w:color w:val="auto"/>
        </w:rPr>
      </w:pPr>
    </w:p>
    <w:p>
      <w:pPr>
        <w:jc w:val="both"/>
        <w:ind w:left="1123"/>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Other than as specifcally permited by this Policy, Insiders may only engage in Securites Transactons during a “</w:t>
      </w:r>
      <w:r>
        <w:rPr>
          <w:rFonts w:ascii="Calibri" w:cs="Calibri" w:eastAsia="Calibri" w:hAnsi="Calibri"/>
          <w:sz w:val="14"/>
          <w:szCs w:val="14"/>
          <w:b w:val="1"/>
          <w:bCs w:val="1"/>
          <w:color w:val="auto"/>
        </w:rPr>
        <w:t>Trading Window</w:t>
      </w:r>
      <w:r>
        <w:rPr>
          <w:rFonts w:ascii="Calibri" w:cs="Calibri" w:eastAsia="Calibri" w:hAnsi="Calibri"/>
          <w:sz w:val="14"/>
          <w:szCs w:val="14"/>
          <w:color w:val="auto"/>
        </w:rPr>
        <w:t>,” which is the period commencing at the Clearance Time (see “</w:t>
      </w:r>
      <w:r>
        <w:rPr>
          <w:rFonts w:ascii="Calibri" w:cs="Calibri" w:eastAsia="Calibri" w:hAnsi="Calibri"/>
          <w:sz w:val="14"/>
          <w:szCs w:val="14"/>
          <w:i w:val="1"/>
          <w:iCs w:val="1"/>
          <w:color w:val="auto"/>
        </w:rPr>
        <w:t>III.c. When Informaton is Considered Public</w:t>
      </w:r>
      <w:r>
        <w:rPr>
          <w:rFonts w:ascii="Calibri" w:cs="Calibri" w:eastAsia="Calibri" w:hAnsi="Calibri"/>
          <w:sz w:val="14"/>
          <w:szCs w:val="14"/>
          <w:color w:val="auto"/>
        </w:rPr>
        <w:t>”) related to the fling of the Form 8-K described in Secton IV.C.1.a and contnuing untl immediately following the close of trading on Nasdaq on the last Trading Day of that fscal quarter. All such transactons by Pre-Clearance Persons are subject to the pre-clearance requirements set forth below under “—</w:t>
      </w:r>
      <w:r>
        <w:rPr>
          <w:rFonts w:ascii="Calibri" w:cs="Calibri" w:eastAsia="Calibri" w:hAnsi="Calibri"/>
          <w:sz w:val="14"/>
          <w:szCs w:val="14"/>
          <w:i w:val="1"/>
          <w:iCs w:val="1"/>
          <w:color w:val="auto"/>
        </w:rPr>
        <w:t>Pre-Clearance of Transactons</w:t>
      </w:r>
      <w:r>
        <w:rPr>
          <w:rFonts w:ascii="Calibri" w:cs="Calibri" w:eastAsia="Calibri" w:hAnsi="Calibri"/>
          <w:sz w:val="14"/>
          <w:szCs w:val="14"/>
          <w:color w:val="auto"/>
        </w:rPr>
        <w:t>.”</w:t>
      </w:r>
    </w:p>
    <w:p>
      <w:pPr>
        <w:spacing w:after="0" w:line="175" w:lineRule="exact"/>
        <w:rPr>
          <w:rFonts w:ascii="Calibri" w:cs="Calibri" w:eastAsia="Calibri" w:hAnsi="Calibri"/>
          <w:sz w:val="14"/>
          <w:szCs w:val="14"/>
          <w:b w:val="1"/>
          <w:bCs w:val="1"/>
          <w:color w:val="auto"/>
        </w:rPr>
      </w:pPr>
    </w:p>
    <w:p>
      <w:pPr>
        <w:ind w:left="1123" w:hanging="375"/>
        <w:spacing w:after="0"/>
        <w:tabs>
          <w:tab w:leader="none" w:pos="1123" w:val="left"/>
        </w:tabs>
        <w:numPr>
          <w:ilvl w:val="2"/>
          <w:numId w:val="153"/>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Special Non-Trading Windows</w:t>
      </w:r>
    </w:p>
    <w:p>
      <w:pPr>
        <w:spacing w:after="0" w:line="181" w:lineRule="exact"/>
        <w:rPr>
          <w:rFonts w:ascii="Calibri" w:cs="Calibri" w:eastAsia="Calibri" w:hAnsi="Calibri"/>
          <w:sz w:val="14"/>
          <w:szCs w:val="14"/>
          <w:b w:val="1"/>
          <w:bCs w:val="1"/>
          <w:color w:val="auto"/>
        </w:rPr>
      </w:pPr>
    </w:p>
    <w:p>
      <w:pPr>
        <w:jc w:val="both"/>
        <w:ind w:left="1123"/>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From tme to tme, Insider Trading Compliance Ofcers may also require that certain or all Insiders suspend transactons in MicroStrategy’s securites during what would otherwise be Trading Windows. Such closure periods are referred to as “</w:t>
      </w:r>
      <w:r>
        <w:rPr>
          <w:rFonts w:ascii="Calibri" w:cs="Calibri" w:eastAsia="Calibri" w:hAnsi="Calibri"/>
          <w:sz w:val="14"/>
          <w:szCs w:val="14"/>
          <w:b w:val="1"/>
          <w:bCs w:val="1"/>
          <w:color w:val="auto"/>
        </w:rPr>
        <w:t>Special Non-Trading Windows</w:t>
      </w:r>
      <w:r>
        <w:rPr>
          <w:rFonts w:ascii="Calibri" w:cs="Calibri" w:eastAsia="Calibri" w:hAnsi="Calibri"/>
          <w:sz w:val="14"/>
          <w:szCs w:val="14"/>
          <w:color w:val="auto"/>
        </w:rPr>
        <w:t>.” The Insider Trading Compliance Ofcers will notfy any persons subject to such Special Non-Trading Windows and will advise such persons not to engage in any Securites Transactons during such Special Non-Trading Windows, except for transactons specifcally permited by this Policy to be conducted during Non-Trading Windows. Any persons so advised of the existence of a Special Non-Trading Window may not disclose to others the fact of such Special Non-Trading Window.</w:t>
      </w:r>
    </w:p>
    <w:p>
      <w:pPr>
        <w:spacing w:after="0" w:line="177" w:lineRule="exact"/>
        <w:rPr>
          <w:rFonts w:ascii="Calibri" w:cs="Calibri" w:eastAsia="Calibri" w:hAnsi="Calibri"/>
          <w:sz w:val="14"/>
          <w:szCs w:val="14"/>
          <w:b w:val="1"/>
          <w:bCs w:val="1"/>
          <w:color w:val="auto"/>
        </w:rPr>
      </w:pPr>
    </w:p>
    <w:p>
      <w:pPr>
        <w:jc w:val="both"/>
        <w:ind w:left="1123"/>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Even during a Trading Window, any Insider possessing Material Nonpublic Informaton concerning MicroStrategy may not engage in any Securites Transacton (other than as specifcally permited by this Policy) untl the Clearance Time related to public disclosure of such informaton, whether or not MicroStrategy has recommended a suspension of trading to that person. Engaging in Securites Transactons during a Trading Window should not be considered a “safe harbor,” even if such a transacton is pre-cleared by the Insider Trading Compliance Ofcers, and all Insiders should use good judgment at all tmes. A suggested simple guideline is: “Don’t Buy on Good News and Don’t Sell on Bad News.”</w:t>
      </w:r>
    </w:p>
    <w:p>
      <w:pPr>
        <w:spacing w:after="0" w:line="176" w:lineRule="exact"/>
        <w:rPr>
          <w:rFonts w:ascii="Calibri" w:cs="Calibri" w:eastAsia="Calibri" w:hAnsi="Calibri"/>
          <w:sz w:val="14"/>
          <w:szCs w:val="14"/>
          <w:b w:val="1"/>
          <w:bCs w:val="1"/>
          <w:color w:val="auto"/>
        </w:rPr>
      </w:pPr>
    </w:p>
    <w:p>
      <w:pPr>
        <w:ind w:left="743" w:hanging="369"/>
        <w:spacing w:after="0"/>
        <w:tabs>
          <w:tab w:leader="none" w:pos="743" w:val="left"/>
        </w:tabs>
        <w:numPr>
          <w:ilvl w:val="1"/>
          <w:numId w:val="153"/>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Pre-Clearance of Transactons</w:t>
      </w:r>
    </w:p>
    <w:p>
      <w:pPr>
        <w:spacing w:after="0" w:line="180" w:lineRule="exact"/>
        <w:rPr>
          <w:rFonts w:ascii="Calibri" w:cs="Calibri" w:eastAsia="Calibri" w:hAnsi="Calibri"/>
          <w:sz w:val="14"/>
          <w:szCs w:val="14"/>
          <w:b w:val="1"/>
          <w:bCs w:val="1"/>
          <w:color w:val="auto"/>
        </w:rPr>
      </w:pPr>
    </w:p>
    <w:p>
      <w:pPr>
        <w:ind w:left="743"/>
        <w:spacing w:after="0"/>
        <w:rPr>
          <w:rFonts w:ascii="Calibri" w:cs="Calibri" w:eastAsia="Calibri" w:hAnsi="Calibri"/>
          <w:sz w:val="14"/>
          <w:szCs w:val="14"/>
          <w:b w:val="1"/>
          <w:bCs w:val="1"/>
          <w:color w:val="auto"/>
        </w:rPr>
      </w:pPr>
      <w:r>
        <w:rPr>
          <w:rFonts w:ascii="Calibri" w:cs="Calibri" w:eastAsia="Calibri" w:hAnsi="Calibri"/>
          <w:sz w:val="14"/>
          <w:szCs w:val="14"/>
          <w:color w:val="auto"/>
        </w:rPr>
        <w:t>The following persons are subject to pre-clearance:</w:t>
      </w:r>
    </w:p>
    <w:p>
      <w:pPr>
        <w:spacing w:after="0" w:line="180" w:lineRule="exact"/>
        <w:rPr>
          <w:rFonts w:ascii="Calibri" w:cs="Calibri" w:eastAsia="Calibri" w:hAnsi="Calibri"/>
          <w:sz w:val="14"/>
          <w:szCs w:val="14"/>
          <w:b w:val="1"/>
          <w:bCs w:val="1"/>
          <w:color w:val="auto"/>
        </w:rPr>
      </w:pPr>
    </w:p>
    <w:p>
      <w:pPr>
        <w:ind w:left="1503" w:hanging="380"/>
        <w:spacing w:after="0"/>
        <w:tabs>
          <w:tab w:leader="none" w:pos="1503" w:val="left"/>
        </w:tabs>
        <w:numPr>
          <w:ilvl w:val="3"/>
          <w:numId w:val="153"/>
        </w:numPr>
        <w:rPr>
          <w:rFonts w:ascii="Calibri" w:cs="Calibri" w:eastAsia="Calibri" w:hAnsi="Calibri"/>
          <w:sz w:val="14"/>
          <w:szCs w:val="14"/>
          <w:color w:val="auto"/>
        </w:rPr>
      </w:pPr>
      <w:r>
        <w:rPr>
          <w:rFonts w:ascii="Calibri" w:cs="Calibri" w:eastAsia="Calibri" w:hAnsi="Calibri"/>
          <w:sz w:val="14"/>
          <w:szCs w:val="14"/>
          <w:color w:val="auto"/>
        </w:rPr>
        <w:t>all directors of MicroStrategy Incorporated;</w:t>
      </w:r>
    </w:p>
    <w:p>
      <w:pPr>
        <w:spacing w:after="0" w:line="113" w:lineRule="exact"/>
        <w:rPr>
          <w:rFonts w:ascii="Calibri" w:cs="Calibri" w:eastAsia="Calibri" w:hAnsi="Calibri"/>
          <w:sz w:val="14"/>
          <w:szCs w:val="14"/>
          <w:color w:val="auto"/>
        </w:rPr>
      </w:pPr>
    </w:p>
    <w:p>
      <w:pPr>
        <w:ind w:left="1503" w:hanging="380"/>
        <w:spacing w:after="0" w:line="245" w:lineRule="auto"/>
        <w:tabs>
          <w:tab w:leader="none" w:pos="1503" w:val="left"/>
        </w:tabs>
        <w:numPr>
          <w:ilvl w:val="3"/>
          <w:numId w:val="153"/>
        </w:numPr>
        <w:rPr>
          <w:rFonts w:ascii="Calibri" w:cs="Calibri" w:eastAsia="Calibri" w:hAnsi="Calibri"/>
          <w:sz w:val="14"/>
          <w:szCs w:val="14"/>
          <w:color w:val="auto"/>
        </w:rPr>
      </w:pPr>
      <w:r>
        <w:rPr>
          <w:rFonts w:ascii="Calibri" w:cs="Calibri" w:eastAsia="Calibri" w:hAnsi="Calibri"/>
          <w:sz w:val="14"/>
          <w:szCs w:val="14"/>
          <w:color w:val="auto"/>
        </w:rPr>
        <w:t>all “ofcers” of MicroStrategy Incorporated (as defned under Rule 16a-1(f) under the Securites Exchange Act of 1934) (such directors and ofcers, collectvely, “</w:t>
      </w:r>
      <w:r>
        <w:rPr>
          <w:rFonts w:ascii="Calibri" w:cs="Calibri" w:eastAsia="Calibri" w:hAnsi="Calibri"/>
          <w:sz w:val="14"/>
          <w:szCs w:val="14"/>
          <w:b w:val="1"/>
          <w:bCs w:val="1"/>
          <w:color w:val="auto"/>
        </w:rPr>
        <w:t>Secton 16 Insiders</w:t>
      </w:r>
      <w:r>
        <w:rPr>
          <w:rFonts w:ascii="Calibri" w:cs="Calibri" w:eastAsia="Calibri" w:hAnsi="Calibri"/>
          <w:sz w:val="14"/>
          <w:szCs w:val="14"/>
          <w:color w:val="auto"/>
        </w:rPr>
        <w:t>”); and</w:t>
      </w:r>
    </w:p>
    <w:p>
      <w:pPr>
        <w:spacing w:after="0" w:line="110" w:lineRule="exact"/>
        <w:rPr>
          <w:rFonts w:ascii="Calibri" w:cs="Calibri" w:eastAsia="Calibri" w:hAnsi="Calibri"/>
          <w:sz w:val="14"/>
          <w:szCs w:val="14"/>
          <w:color w:val="auto"/>
        </w:rPr>
      </w:pPr>
    </w:p>
    <w:p>
      <w:pPr>
        <w:ind w:left="1503" w:right="20" w:hanging="380"/>
        <w:spacing w:after="0" w:line="245" w:lineRule="auto"/>
        <w:tabs>
          <w:tab w:leader="none" w:pos="1503" w:val="left"/>
        </w:tabs>
        <w:numPr>
          <w:ilvl w:val="3"/>
          <w:numId w:val="153"/>
        </w:numPr>
        <w:rPr>
          <w:rFonts w:ascii="Calibri" w:cs="Calibri" w:eastAsia="Calibri" w:hAnsi="Calibri"/>
          <w:sz w:val="14"/>
          <w:szCs w:val="14"/>
          <w:color w:val="auto"/>
        </w:rPr>
      </w:pPr>
      <w:r>
        <w:rPr>
          <w:rFonts w:ascii="Calibri" w:cs="Calibri" w:eastAsia="Calibri" w:hAnsi="Calibri"/>
          <w:sz w:val="14"/>
          <w:szCs w:val="14"/>
          <w:color w:val="auto"/>
        </w:rPr>
        <w:t>other Company Personnel as may be designated as Pre-Clearance Persons (as defned below) from tme-to-tme by one or more of the Insider Trading Compliance Ofcers (such other Company Personnel who have been designated as Pre-Clearance Persons will be notfed of such designaton).</w:t>
      </w:r>
    </w:p>
    <w:p>
      <w:pPr>
        <w:spacing w:after="0" w:line="177" w:lineRule="exact"/>
        <w:rPr>
          <w:sz w:val="20"/>
          <w:szCs w:val="20"/>
          <w:color w:val="auto"/>
        </w:rPr>
      </w:pPr>
    </w:p>
    <w:p>
      <w:pPr>
        <w:ind w:left="743"/>
        <w:spacing w:after="0"/>
        <w:rPr>
          <w:sz w:val="20"/>
          <w:szCs w:val="20"/>
          <w:color w:val="auto"/>
        </w:rPr>
      </w:pPr>
      <w:r>
        <w:rPr>
          <w:rFonts w:ascii="Calibri" w:cs="Calibri" w:eastAsia="Calibri" w:hAnsi="Calibri"/>
          <w:sz w:val="14"/>
          <w:szCs w:val="14"/>
          <w:color w:val="auto"/>
        </w:rPr>
        <w:t>These persons are collectvely referred to herein as “</w:t>
      </w:r>
      <w:r>
        <w:rPr>
          <w:rFonts w:ascii="Calibri" w:cs="Calibri" w:eastAsia="Calibri" w:hAnsi="Calibri"/>
          <w:sz w:val="14"/>
          <w:szCs w:val="14"/>
          <w:b w:val="1"/>
          <w:bCs w:val="1"/>
          <w:color w:val="auto"/>
        </w:rPr>
        <w:t>Pre-Clearance Persons</w:t>
      </w:r>
      <w:r>
        <w:rPr>
          <w:rFonts w:ascii="Calibri" w:cs="Calibri" w:eastAsia="Calibri" w:hAnsi="Calibri"/>
          <w:sz w:val="14"/>
          <w:szCs w:val="14"/>
          <w:color w:val="auto"/>
        </w:rPr>
        <w:t>.”</w:t>
      </w:r>
    </w:p>
    <w:p>
      <w:pPr>
        <w:spacing w:after="0" w:line="221" w:lineRule="exact"/>
        <w:rPr>
          <w:sz w:val="20"/>
          <w:szCs w:val="20"/>
          <w:color w:val="auto"/>
        </w:rPr>
      </w:pPr>
    </w:p>
    <w:p>
      <w:pPr>
        <w:ind w:left="4823"/>
        <w:spacing w:after="0"/>
        <w:rPr>
          <w:sz w:val="20"/>
          <w:szCs w:val="20"/>
          <w:color w:val="auto"/>
        </w:rPr>
      </w:pPr>
      <w:r>
        <w:rPr>
          <w:rFonts w:ascii="Calibri" w:cs="Calibri" w:eastAsia="Calibri" w:hAnsi="Calibri"/>
          <w:sz w:val="14"/>
          <w:szCs w:val="14"/>
          <w:color w:val="auto"/>
        </w:rPr>
        <w:t>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-487680</wp:posOffset>
            </wp:positionH>
            <wp:positionV relativeFrom="paragraph">
              <wp:posOffset>788670</wp:posOffset>
            </wp:positionV>
            <wp:extent cx="7157720" cy="42545"/>
            <wp:wrapNone/>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74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483"/>
          </w:cols>
          <w:pgMar w:left="1077" w:top="1164" w:right="339" w:bottom="1440" w:gutter="0" w:footer="0" w:header="0"/>
        </w:sectPr>
      </w:pPr>
    </w:p>
    <w:bookmarkStart w:id="186" w:name="page187"/>
    <w:bookmarkEnd w:id="186"/>
    <w:p>
      <w:pPr>
        <w:jc w:val="both"/>
        <w:ind w:left="380"/>
        <w:spacing w:after="0" w:line="245" w:lineRule="auto"/>
        <w:rPr>
          <w:sz w:val="20"/>
          <w:szCs w:val="20"/>
          <w:color w:val="auto"/>
        </w:rPr>
      </w:pPr>
      <w:r>
        <w:rPr>
          <w:rFonts w:ascii="Calibri" w:cs="Calibri" w:eastAsia="Calibri" w:hAnsi="Calibri"/>
          <w:sz w:val="14"/>
          <w:szCs w:val="14"/>
          <w:color w:val="auto"/>
        </w:rPr>
        <w:t>Prior to engaging in any Securites Transacton, Pre-Clearance Persons must frst obtain approval for the transacton from an Insider Trading Compliance Ofcer. Such approval can be obtained by completng the pre-clearance instructons specifed by the Insider Trading Compliance Ofcers from tme to tme, and such approval, if obtained, will be subject to any conditons or restrictons as determined by the Insider Trading Compliance Ofcers.</w:t>
      </w:r>
    </w:p>
    <w:p>
      <w:pPr>
        <w:spacing w:after="0" w:line="178" w:lineRule="exact"/>
        <w:rPr>
          <w:sz w:val="20"/>
          <w:szCs w:val="20"/>
          <w:color w:val="auto"/>
        </w:rPr>
      </w:pPr>
    </w:p>
    <w:p>
      <w:pPr>
        <w:ind w:left="380" w:hanging="369"/>
        <w:spacing w:after="0"/>
        <w:tabs>
          <w:tab w:leader="none" w:pos="380" w:val="left"/>
        </w:tabs>
        <w:numPr>
          <w:ilvl w:val="0"/>
          <w:numId w:val="154"/>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10b5-1 Trading Plans</w:t>
      </w:r>
    </w:p>
    <w:p>
      <w:pPr>
        <w:spacing w:after="0" w:line="181" w:lineRule="exact"/>
        <w:rPr>
          <w:rFonts w:ascii="Calibri" w:cs="Calibri" w:eastAsia="Calibri" w:hAnsi="Calibri"/>
          <w:sz w:val="14"/>
          <w:szCs w:val="14"/>
          <w:b w:val="1"/>
          <w:bCs w:val="1"/>
          <w:color w:val="auto"/>
        </w:rPr>
      </w:pPr>
    </w:p>
    <w:p>
      <w:pPr>
        <w:jc w:val="both"/>
        <w:ind w:left="380"/>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Notwithstanding the restrictons set forth above under “</w:t>
      </w:r>
      <w:r>
        <w:rPr>
          <w:rFonts w:ascii="Calibri" w:cs="Calibri" w:eastAsia="Calibri" w:hAnsi="Calibri"/>
          <w:sz w:val="14"/>
          <w:szCs w:val="14"/>
          <w:i w:val="1"/>
          <w:iCs w:val="1"/>
          <w:color w:val="auto"/>
        </w:rPr>
        <w:t>IV.B.1. No Trading on Material Nonpublic Informaton</w:t>
      </w:r>
      <w:r>
        <w:rPr>
          <w:rFonts w:ascii="Calibri" w:cs="Calibri" w:eastAsia="Calibri" w:hAnsi="Calibri"/>
          <w:sz w:val="14"/>
          <w:szCs w:val="14"/>
          <w:color w:val="auto"/>
        </w:rPr>
        <w:t>” and the other applicable sectons under “</w:t>
      </w:r>
      <w:r>
        <w:rPr>
          <w:rFonts w:ascii="Calibri" w:cs="Calibri" w:eastAsia="Calibri" w:hAnsi="Calibri"/>
          <w:sz w:val="14"/>
          <w:szCs w:val="14"/>
          <w:i w:val="1"/>
          <w:iCs w:val="1"/>
          <w:color w:val="auto"/>
        </w:rPr>
        <w:t>IV.C.</w:t>
      </w:r>
      <w:r>
        <w:rPr>
          <w:rFonts w:ascii="Calibri" w:cs="Calibri" w:eastAsia="Calibri" w:hAnsi="Calibri"/>
          <w:sz w:val="14"/>
          <w:szCs w:val="14"/>
          <w:color w:val="auto"/>
        </w:rPr>
        <w:t xml:space="preserve"> </w:t>
      </w:r>
      <w:r>
        <w:rPr>
          <w:rFonts w:ascii="Calibri" w:cs="Calibri" w:eastAsia="Calibri" w:hAnsi="Calibri"/>
          <w:sz w:val="14"/>
          <w:szCs w:val="14"/>
          <w:i w:val="1"/>
          <w:iCs w:val="1"/>
          <w:color w:val="auto"/>
        </w:rPr>
        <w:t>Mandatory Guidelines</w:t>
      </w:r>
      <w:r>
        <w:rPr>
          <w:rFonts w:ascii="Calibri" w:cs="Calibri" w:eastAsia="Calibri" w:hAnsi="Calibri"/>
          <w:sz w:val="14"/>
          <w:szCs w:val="14"/>
          <w:color w:val="auto"/>
        </w:rPr>
        <w:t>,” Insiders may engage in Securites Transactons made pursuant to a binding contract, writen plan, or specifc instructon (each a “</w:t>
      </w:r>
      <w:r>
        <w:rPr>
          <w:rFonts w:ascii="Calibri" w:cs="Calibri" w:eastAsia="Calibri" w:hAnsi="Calibri"/>
          <w:sz w:val="14"/>
          <w:szCs w:val="14"/>
          <w:b w:val="1"/>
          <w:bCs w:val="1"/>
          <w:color w:val="auto"/>
        </w:rPr>
        <w:t>trading</w:t>
      </w:r>
      <w:r>
        <w:rPr>
          <w:rFonts w:ascii="Calibri" w:cs="Calibri" w:eastAsia="Calibri" w:hAnsi="Calibri"/>
          <w:sz w:val="14"/>
          <w:szCs w:val="14"/>
          <w:i w:val="1"/>
          <w:iCs w:val="1"/>
          <w:color w:val="auto"/>
        </w:rPr>
        <w:t xml:space="preserve"> </w:t>
      </w:r>
      <w:r>
        <w:rPr>
          <w:rFonts w:ascii="Calibri" w:cs="Calibri" w:eastAsia="Calibri" w:hAnsi="Calibri"/>
          <w:sz w:val="14"/>
          <w:szCs w:val="14"/>
          <w:b w:val="1"/>
          <w:bCs w:val="1"/>
          <w:color w:val="auto"/>
        </w:rPr>
        <w:t>plan</w:t>
      </w:r>
      <w:r>
        <w:rPr>
          <w:rFonts w:ascii="Calibri" w:cs="Calibri" w:eastAsia="Calibri" w:hAnsi="Calibri"/>
          <w:sz w:val="14"/>
          <w:szCs w:val="14"/>
          <w:color w:val="auto"/>
        </w:rPr>
        <w:t>”), but only if such trading plan:</w:t>
      </w:r>
    </w:p>
    <w:p>
      <w:pPr>
        <w:spacing w:after="0" w:line="178" w:lineRule="exact"/>
        <w:rPr>
          <w:rFonts w:ascii="Calibri" w:cs="Calibri" w:eastAsia="Calibri" w:hAnsi="Calibri"/>
          <w:sz w:val="14"/>
          <w:szCs w:val="14"/>
          <w:b w:val="1"/>
          <w:bCs w:val="1"/>
          <w:color w:val="auto"/>
        </w:rPr>
      </w:pPr>
    </w:p>
    <w:p>
      <w:pPr>
        <w:jc w:val="both"/>
        <w:ind w:left="1140" w:hanging="380"/>
        <w:spacing w:after="0" w:line="246" w:lineRule="auto"/>
        <w:tabs>
          <w:tab w:leader="none" w:pos="1140" w:val="left"/>
        </w:tabs>
        <w:numPr>
          <w:ilvl w:val="1"/>
          <w:numId w:val="154"/>
        </w:numPr>
        <w:rPr>
          <w:rFonts w:ascii="Calibri" w:cs="Calibri" w:eastAsia="Calibri" w:hAnsi="Calibri"/>
          <w:sz w:val="14"/>
          <w:szCs w:val="14"/>
          <w:color w:val="auto"/>
        </w:rPr>
      </w:pPr>
      <w:r>
        <w:rPr>
          <w:rFonts w:ascii="Calibri" w:cs="Calibri" w:eastAsia="Calibri" w:hAnsi="Calibri"/>
          <w:sz w:val="14"/>
          <w:szCs w:val="14"/>
          <w:color w:val="auto"/>
        </w:rPr>
        <w:t>satsfes the applicable afrmatve defense conditons of Rule 10b5-1(c), including as applicable the requirements applicable to an eligible sell-to-cover transacton as set forth in Rule 10b5-1(c)(1)(ii)(D)(3), or for which the afrmatve defense is available under Rule 10b5-1(c) because such trading plan was adopted prior to February 27, 2023, met the afrmatve defense conditons in efect at the tme of adopton, and was not modifed or changed on or afer February 27, 2023; and</w:t>
      </w:r>
    </w:p>
    <w:p>
      <w:pPr>
        <w:spacing w:after="0" w:line="108" w:lineRule="exact"/>
        <w:rPr>
          <w:rFonts w:ascii="Calibri" w:cs="Calibri" w:eastAsia="Calibri" w:hAnsi="Calibri"/>
          <w:sz w:val="14"/>
          <w:szCs w:val="14"/>
          <w:color w:val="auto"/>
        </w:rPr>
      </w:pPr>
    </w:p>
    <w:p>
      <w:pPr>
        <w:ind w:left="1140" w:hanging="380"/>
        <w:spacing w:after="0"/>
        <w:tabs>
          <w:tab w:leader="none" w:pos="1140" w:val="left"/>
        </w:tabs>
        <w:numPr>
          <w:ilvl w:val="1"/>
          <w:numId w:val="154"/>
        </w:numPr>
        <w:rPr>
          <w:rFonts w:ascii="Calibri" w:cs="Calibri" w:eastAsia="Calibri" w:hAnsi="Calibri"/>
          <w:sz w:val="14"/>
          <w:szCs w:val="14"/>
          <w:color w:val="auto"/>
        </w:rPr>
      </w:pPr>
      <w:r>
        <w:rPr>
          <w:rFonts w:ascii="Calibri" w:cs="Calibri" w:eastAsia="Calibri" w:hAnsi="Calibri"/>
          <w:sz w:val="14"/>
          <w:szCs w:val="14"/>
          <w:color w:val="auto"/>
        </w:rPr>
        <w:t>such trading plan is in writng (a “</w:t>
      </w:r>
      <w:r>
        <w:rPr>
          <w:rFonts w:ascii="Calibri" w:cs="Calibri" w:eastAsia="Calibri" w:hAnsi="Calibri"/>
          <w:sz w:val="14"/>
          <w:szCs w:val="14"/>
          <w:b w:val="1"/>
          <w:bCs w:val="1"/>
          <w:color w:val="auto"/>
        </w:rPr>
        <w:t>Compliant Trading Plan</w:t>
      </w:r>
      <w:r>
        <w:rPr>
          <w:rFonts w:ascii="Calibri" w:cs="Calibri" w:eastAsia="Calibri" w:hAnsi="Calibri"/>
          <w:sz w:val="14"/>
          <w:szCs w:val="14"/>
          <w:color w:val="auto"/>
        </w:rPr>
        <w:t>”).</w:t>
      </w:r>
    </w:p>
    <w:p>
      <w:pPr>
        <w:spacing w:after="0" w:line="181" w:lineRule="exact"/>
        <w:rPr>
          <w:sz w:val="20"/>
          <w:szCs w:val="20"/>
          <w:color w:val="auto"/>
        </w:rPr>
      </w:pPr>
    </w:p>
    <w:p>
      <w:pPr>
        <w:jc w:val="both"/>
        <w:ind w:left="380"/>
        <w:spacing w:after="0" w:line="246" w:lineRule="auto"/>
        <w:rPr>
          <w:sz w:val="20"/>
          <w:szCs w:val="20"/>
          <w:color w:val="auto"/>
        </w:rPr>
      </w:pPr>
      <w:r>
        <w:rPr>
          <w:rFonts w:ascii="Calibri" w:cs="Calibri" w:eastAsia="Calibri" w:hAnsi="Calibri"/>
          <w:sz w:val="14"/>
          <w:szCs w:val="14"/>
          <w:color w:val="auto"/>
        </w:rPr>
        <w:t>Pre-Clearance Persons must additonally obtain approval in writng (which may be satsfed by email or other electronic transmission) from an Insider Trading Compliance Ofcer (or in the case of a trading plan covering transactons by the General Counsel, approval in writng (which may be satsfed by email or other electronic transmission) from an Insider Trading Compliance Ofcer other than the General Counsel) prior to entering into, modifying, or terminatng a Compliant Trading Plan (any Compliant Trading Plan so approved by an Insider Trading Compliance Ofcer, an “</w:t>
      </w:r>
      <w:r>
        <w:rPr>
          <w:rFonts w:ascii="Calibri" w:cs="Calibri" w:eastAsia="Calibri" w:hAnsi="Calibri"/>
          <w:sz w:val="14"/>
          <w:szCs w:val="14"/>
          <w:b w:val="1"/>
          <w:bCs w:val="1"/>
          <w:color w:val="auto"/>
        </w:rPr>
        <w:t>Approved Trading Plan</w:t>
      </w:r>
      <w:r>
        <w:rPr>
          <w:rFonts w:ascii="Calibri" w:cs="Calibri" w:eastAsia="Calibri" w:hAnsi="Calibri"/>
          <w:sz w:val="14"/>
          <w:szCs w:val="14"/>
          <w:color w:val="auto"/>
        </w:rPr>
        <w:t>”).</w:t>
      </w:r>
    </w:p>
    <w:p>
      <w:pPr>
        <w:spacing w:after="0" w:line="176" w:lineRule="exact"/>
        <w:rPr>
          <w:sz w:val="20"/>
          <w:szCs w:val="20"/>
          <w:color w:val="auto"/>
        </w:rPr>
      </w:pPr>
    </w:p>
    <w:p>
      <w:pPr>
        <w:ind w:left="380" w:hanging="369"/>
        <w:spacing w:after="0"/>
        <w:tabs>
          <w:tab w:leader="none" w:pos="380" w:val="left"/>
        </w:tabs>
        <w:numPr>
          <w:ilvl w:val="0"/>
          <w:numId w:val="155"/>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Cashless Exercise Program Suspension</w:t>
      </w:r>
    </w:p>
    <w:p>
      <w:pPr>
        <w:spacing w:after="0" w:line="181" w:lineRule="exact"/>
        <w:rPr>
          <w:rFonts w:ascii="Calibri" w:cs="Calibri" w:eastAsia="Calibri" w:hAnsi="Calibri"/>
          <w:sz w:val="14"/>
          <w:szCs w:val="14"/>
          <w:b w:val="1"/>
          <w:bCs w:val="1"/>
          <w:color w:val="auto"/>
        </w:rPr>
      </w:pPr>
    </w:p>
    <w:p>
      <w:pPr>
        <w:jc w:val="both"/>
        <w:ind w:left="380"/>
        <w:spacing w:after="0" w:line="247" w:lineRule="auto"/>
        <w:rPr>
          <w:rFonts w:ascii="Calibri" w:cs="Calibri" w:eastAsia="Calibri" w:hAnsi="Calibri"/>
          <w:sz w:val="14"/>
          <w:szCs w:val="14"/>
          <w:b w:val="1"/>
          <w:bCs w:val="1"/>
          <w:color w:val="auto"/>
        </w:rPr>
      </w:pPr>
      <w:r>
        <w:rPr>
          <w:rFonts w:ascii="Calibri" w:cs="Calibri" w:eastAsia="Calibri" w:hAnsi="Calibri"/>
          <w:sz w:val="14"/>
          <w:szCs w:val="14"/>
          <w:color w:val="auto"/>
        </w:rPr>
        <w:t>MicroStrategy’s cashless opton exercise program will be suspended during all Regular Non-Trading Windows for all Company Personnel and during Special Non-Trading Windows for persons subject to such Special Non-Trading Windows. MicroStrategy’s cashless opton exercise program may not involve any prohibited loan of securites.</w:t>
      </w:r>
    </w:p>
    <w:p>
      <w:pPr>
        <w:spacing w:after="0" w:line="349" w:lineRule="exact"/>
        <w:rPr>
          <w:rFonts w:ascii="Calibri" w:cs="Calibri" w:eastAsia="Calibri" w:hAnsi="Calibri"/>
          <w:sz w:val="14"/>
          <w:szCs w:val="14"/>
          <w:b w:val="1"/>
          <w:bCs w:val="1"/>
          <w:color w:val="auto"/>
        </w:rPr>
      </w:pPr>
    </w:p>
    <w:p>
      <w:pPr>
        <w:ind w:left="380" w:hanging="369"/>
        <w:spacing w:after="0"/>
        <w:tabs>
          <w:tab w:leader="none" w:pos="380" w:val="left"/>
        </w:tabs>
        <w:numPr>
          <w:ilvl w:val="0"/>
          <w:numId w:val="155"/>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Individual Responsibility</w:t>
      </w:r>
    </w:p>
    <w:p>
      <w:pPr>
        <w:spacing w:after="0" w:line="181" w:lineRule="exact"/>
        <w:rPr>
          <w:rFonts w:ascii="Calibri" w:cs="Calibri" w:eastAsia="Calibri" w:hAnsi="Calibri"/>
          <w:sz w:val="14"/>
          <w:szCs w:val="14"/>
          <w:b w:val="1"/>
          <w:bCs w:val="1"/>
          <w:color w:val="auto"/>
        </w:rPr>
      </w:pPr>
    </w:p>
    <w:p>
      <w:pPr>
        <w:jc w:val="both"/>
        <w:ind w:left="380"/>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Every Insider has an individual responsibility to comply with this Policy and applicable laws against insider trading, regardless of whether they are subject to a Non-Trading Window or have received pre-clearance for a Securites Transacton or with respect to a trading plan. Appropriate judgment should always be exercised in connecton with any Securites Transacton. From tme to tme, an Insider may have to forego a proposed Securites Transacton even if he or she planned to make the transacton before learning of the Material Nonpublic Informaton and even though the Insider believes he or she may sufer an economic loss or forego antcipated proft by waitng untl the applicable trading window is opened. All stop-loss orders and other open or limit orders in MicroStrategy securites (except for any such orders made by a Pre-Clearance Person pursuant to an Approved Trading Plan or by any other Insider pursuant to a Compliant Trading Plan) must be canceled during Non-Trading Window periods to avoid the possibility of trades that may violate securites laws or this Policy.</w:t>
      </w:r>
    </w:p>
    <w:p>
      <w:pPr>
        <w:spacing w:after="0" w:line="176" w:lineRule="exact"/>
        <w:rPr>
          <w:rFonts w:ascii="Calibri" w:cs="Calibri" w:eastAsia="Calibri" w:hAnsi="Calibri"/>
          <w:sz w:val="14"/>
          <w:szCs w:val="14"/>
          <w:b w:val="1"/>
          <w:bCs w:val="1"/>
          <w:color w:val="auto"/>
        </w:rPr>
      </w:pPr>
    </w:p>
    <w:p>
      <w:pPr>
        <w:ind w:left="380" w:hanging="369"/>
        <w:spacing w:after="0"/>
        <w:tabs>
          <w:tab w:leader="none" w:pos="380" w:val="left"/>
        </w:tabs>
        <w:numPr>
          <w:ilvl w:val="0"/>
          <w:numId w:val="155"/>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Applicaton of Policy to Business Partner Securites</w:t>
      </w:r>
    </w:p>
    <w:p>
      <w:pPr>
        <w:spacing w:after="0" w:line="181" w:lineRule="exact"/>
        <w:rPr>
          <w:rFonts w:ascii="Calibri" w:cs="Calibri" w:eastAsia="Calibri" w:hAnsi="Calibri"/>
          <w:sz w:val="14"/>
          <w:szCs w:val="14"/>
          <w:b w:val="1"/>
          <w:bCs w:val="1"/>
          <w:color w:val="auto"/>
        </w:rPr>
      </w:pPr>
    </w:p>
    <w:p>
      <w:pPr>
        <w:jc w:val="both"/>
        <w:ind w:left="380"/>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This Policy and the guidelines described herein also apply to Material Nonpublic Informaton relatng to MicroStrategy’s Business Partners, when that informaton is obtained in the course of business, employment with, or services performed on behalf of or for MicroStrategy. Civil and criminal penaltes, and terminaton of employment, may result from trading on inside informaton regarding MicroStrategy’s Business Partners. All Insiders should treat Material Nonpublic Informaton about MicroStrategy’s Business Partners with the same care required with respect to MicroStrategy Material Nonpublic Informaton.</w:t>
      </w:r>
    </w:p>
    <w:p>
      <w:pPr>
        <w:spacing w:after="0" w:line="175" w:lineRule="exact"/>
        <w:rPr>
          <w:rFonts w:ascii="Calibri" w:cs="Calibri" w:eastAsia="Calibri" w:hAnsi="Calibri"/>
          <w:sz w:val="14"/>
          <w:szCs w:val="14"/>
          <w:b w:val="1"/>
          <w:bCs w:val="1"/>
          <w:color w:val="auto"/>
        </w:rPr>
      </w:pPr>
    </w:p>
    <w:p>
      <w:pPr>
        <w:ind w:left="380" w:hanging="369"/>
        <w:spacing w:after="0"/>
        <w:tabs>
          <w:tab w:leader="none" w:pos="380" w:val="left"/>
        </w:tabs>
        <w:numPr>
          <w:ilvl w:val="0"/>
          <w:numId w:val="155"/>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Certain Exceptons</w:t>
      </w:r>
    </w:p>
    <w:p>
      <w:pPr>
        <w:spacing w:after="0" w:line="180" w:lineRule="exact"/>
        <w:rPr>
          <w:rFonts w:ascii="Calibri" w:cs="Calibri" w:eastAsia="Calibri" w:hAnsi="Calibri"/>
          <w:sz w:val="14"/>
          <w:szCs w:val="14"/>
          <w:b w:val="1"/>
          <w:bCs w:val="1"/>
          <w:color w:val="auto"/>
        </w:rPr>
      </w:pPr>
    </w:p>
    <w:p>
      <w:pPr>
        <w:ind w:left="380"/>
        <w:spacing w:after="0"/>
        <w:rPr>
          <w:rFonts w:ascii="Calibri" w:cs="Calibri" w:eastAsia="Calibri" w:hAnsi="Calibri"/>
          <w:sz w:val="14"/>
          <w:szCs w:val="14"/>
          <w:b w:val="1"/>
          <w:bCs w:val="1"/>
          <w:color w:val="auto"/>
        </w:rPr>
      </w:pPr>
      <w:r>
        <w:rPr>
          <w:rFonts w:ascii="Calibri" w:cs="Calibri" w:eastAsia="Calibri" w:hAnsi="Calibri"/>
          <w:sz w:val="14"/>
          <w:szCs w:val="14"/>
          <w:color w:val="auto"/>
        </w:rPr>
        <w:t>For purposes of this Policy, MicroStrategy considers the following transactons exempt from this Policy:</w:t>
      </w:r>
    </w:p>
    <w:p>
      <w:pPr>
        <w:spacing w:after="0" w:line="180" w:lineRule="exact"/>
        <w:rPr>
          <w:rFonts w:ascii="Calibri" w:cs="Calibri" w:eastAsia="Calibri" w:hAnsi="Calibri"/>
          <w:sz w:val="14"/>
          <w:szCs w:val="14"/>
          <w:b w:val="1"/>
          <w:bCs w:val="1"/>
          <w:color w:val="auto"/>
        </w:rPr>
      </w:pPr>
    </w:p>
    <w:p>
      <w:pPr>
        <w:ind w:left="1140" w:hanging="380"/>
        <w:spacing w:after="0"/>
        <w:tabs>
          <w:tab w:leader="none" w:pos="1140" w:val="left"/>
        </w:tabs>
        <w:numPr>
          <w:ilvl w:val="1"/>
          <w:numId w:val="155"/>
        </w:numPr>
        <w:rPr>
          <w:rFonts w:ascii="Calibri" w:cs="Calibri" w:eastAsia="Calibri" w:hAnsi="Calibri"/>
          <w:sz w:val="14"/>
          <w:szCs w:val="14"/>
          <w:color w:val="auto"/>
        </w:rPr>
      </w:pPr>
      <w:r>
        <w:rPr>
          <w:rFonts w:ascii="Calibri" w:cs="Calibri" w:eastAsia="Calibri" w:hAnsi="Calibri"/>
          <w:sz w:val="14"/>
          <w:szCs w:val="14"/>
          <w:color w:val="auto"/>
        </w:rPr>
        <w:t>the exercise of stock optons for cash under MicroStrategy’s equity compensaton plans; and</w:t>
      </w:r>
    </w:p>
    <w:p>
      <w:pPr>
        <w:spacing w:after="0" w:line="112" w:lineRule="exact"/>
        <w:rPr>
          <w:rFonts w:ascii="Calibri" w:cs="Calibri" w:eastAsia="Calibri" w:hAnsi="Calibri"/>
          <w:sz w:val="14"/>
          <w:szCs w:val="14"/>
          <w:color w:val="auto"/>
        </w:rPr>
      </w:pPr>
    </w:p>
    <w:p>
      <w:pPr>
        <w:ind w:left="1140" w:hanging="380"/>
        <w:spacing w:after="0"/>
        <w:tabs>
          <w:tab w:leader="none" w:pos="1140" w:val="left"/>
        </w:tabs>
        <w:numPr>
          <w:ilvl w:val="1"/>
          <w:numId w:val="155"/>
        </w:numPr>
        <w:rPr>
          <w:rFonts w:ascii="Calibri" w:cs="Calibri" w:eastAsia="Calibri" w:hAnsi="Calibri"/>
          <w:sz w:val="14"/>
          <w:szCs w:val="14"/>
          <w:color w:val="auto"/>
        </w:rPr>
      </w:pPr>
      <w:r>
        <w:rPr>
          <w:rFonts w:ascii="Calibri" w:cs="Calibri" w:eastAsia="Calibri" w:hAnsi="Calibri"/>
          <w:sz w:val="14"/>
          <w:szCs w:val="14"/>
          <w:color w:val="auto"/>
        </w:rPr>
        <w:t>the acquisiton of shares under MicroStrategy’s employee stock purchase plans (but not the sale of any such shares).</w:t>
      </w:r>
    </w:p>
    <w:p>
      <w:pPr>
        <w:spacing w:after="0" w:line="181" w:lineRule="exact"/>
        <w:rPr>
          <w:sz w:val="20"/>
          <w:szCs w:val="20"/>
          <w:color w:val="auto"/>
        </w:rPr>
      </w:pPr>
    </w:p>
    <w:p>
      <w:pPr>
        <w:ind w:left="380" w:right="20"/>
        <w:spacing w:after="0" w:line="245" w:lineRule="auto"/>
        <w:rPr>
          <w:sz w:val="20"/>
          <w:szCs w:val="20"/>
          <w:color w:val="auto"/>
        </w:rPr>
      </w:pPr>
      <w:r>
        <w:rPr>
          <w:rFonts w:ascii="Calibri" w:cs="Calibri" w:eastAsia="Calibri" w:hAnsi="Calibri"/>
          <w:sz w:val="14"/>
          <w:szCs w:val="14"/>
          <w:color w:val="auto"/>
        </w:rPr>
        <w:t>In each case, the other party to the transacton is MicroStrategy itself and the price does not vary with the market but is fxed by the terms of the opton agreement or the plan. Please also see “—</w:t>
      </w:r>
      <w:r>
        <w:rPr>
          <w:rFonts w:ascii="Calibri" w:cs="Calibri" w:eastAsia="Calibri" w:hAnsi="Calibri"/>
          <w:sz w:val="14"/>
          <w:szCs w:val="14"/>
          <w:i w:val="1"/>
          <w:iCs w:val="1"/>
          <w:color w:val="auto"/>
        </w:rPr>
        <w:t>10b5-1 Trading Plans</w:t>
      </w:r>
      <w:r>
        <w:rPr>
          <w:rFonts w:ascii="Calibri" w:cs="Calibri" w:eastAsia="Calibri" w:hAnsi="Calibri"/>
          <w:sz w:val="14"/>
          <w:szCs w:val="14"/>
          <w:color w:val="auto"/>
        </w:rPr>
        <w:t>” above and “—</w:t>
      </w:r>
      <w:r>
        <w:rPr>
          <w:rFonts w:ascii="Calibri" w:cs="Calibri" w:eastAsia="Calibri" w:hAnsi="Calibri"/>
          <w:sz w:val="14"/>
          <w:szCs w:val="14"/>
          <w:i w:val="1"/>
          <w:iCs w:val="1"/>
          <w:color w:val="auto"/>
        </w:rPr>
        <w:t>Employee Stock Purchase Plan Electons</w:t>
      </w:r>
      <w:r>
        <w:rPr>
          <w:rFonts w:ascii="Calibri" w:cs="Calibri" w:eastAsia="Calibri" w:hAnsi="Calibri"/>
          <w:sz w:val="14"/>
          <w:szCs w:val="14"/>
          <w:color w:val="auto"/>
        </w:rPr>
        <w:t>” below.</w:t>
      </w:r>
    </w:p>
    <w:p>
      <w:pPr>
        <w:spacing w:after="0" w:line="177" w:lineRule="exact"/>
        <w:rPr>
          <w:sz w:val="20"/>
          <w:szCs w:val="20"/>
          <w:color w:val="auto"/>
        </w:rPr>
      </w:pPr>
    </w:p>
    <w:p>
      <w:pPr>
        <w:ind w:left="380" w:hanging="369"/>
        <w:spacing w:after="0"/>
        <w:tabs>
          <w:tab w:leader="none" w:pos="380" w:val="left"/>
        </w:tabs>
        <w:numPr>
          <w:ilvl w:val="0"/>
          <w:numId w:val="156"/>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Employee Stock Purchase Plan Electons</w:t>
      </w:r>
    </w:p>
    <w:p>
      <w:pPr>
        <w:spacing w:after="0" w:line="181" w:lineRule="exact"/>
        <w:rPr>
          <w:sz w:val="20"/>
          <w:szCs w:val="20"/>
          <w:color w:val="auto"/>
        </w:rPr>
      </w:pPr>
    </w:p>
    <w:p>
      <w:pPr>
        <w:jc w:val="both"/>
        <w:ind w:left="380"/>
        <w:spacing w:after="0" w:line="245" w:lineRule="auto"/>
        <w:rPr>
          <w:sz w:val="20"/>
          <w:szCs w:val="20"/>
          <w:color w:val="auto"/>
        </w:rPr>
      </w:pPr>
      <w:r>
        <w:rPr>
          <w:rFonts w:ascii="Calibri" w:cs="Calibri" w:eastAsia="Calibri" w:hAnsi="Calibri"/>
          <w:sz w:val="14"/>
          <w:szCs w:val="14"/>
          <w:color w:val="auto"/>
        </w:rPr>
        <w:t>Electons to partcipate or not to partcipate in MicroStrategy employee stock purchase plans may only be made during a Trading Window and when Company Personnel are otherwise not in possession of Material Non-Public Informaton. No pre-clearance is required for electons under MicroStrategy employee stock purchase plans, but all Company Personnel are reminded of their</w:t>
      </w:r>
    </w:p>
    <w:p>
      <w:pPr>
        <w:spacing w:after="0" w:line="2" w:lineRule="exact"/>
        <w:rPr>
          <w:sz w:val="20"/>
          <w:szCs w:val="20"/>
          <w:color w:val="auto"/>
        </w:rPr>
      </w:pPr>
    </w:p>
    <w:p>
      <w:pPr>
        <w:ind w:left="4460"/>
        <w:spacing w:after="0"/>
        <w:rPr>
          <w:sz w:val="20"/>
          <w:szCs w:val="20"/>
          <w:color w:val="auto"/>
        </w:rPr>
      </w:pPr>
      <w:r>
        <w:rPr>
          <w:rFonts w:ascii="Calibri" w:cs="Calibri" w:eastAsia="Calibri" w:hAnsi="Calibri"/>
          <w:sz w:val="14"/>
          <w:szCs w:val="14"/>
          <w:color w:val="auto"/>
        </w:rPr>
        <w:t>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-718185</wp:posOffset>
            </wp:positionH>
            <wp:positionV relativeFrom="paragraph">
              <wp:posOffset>788670</wp:posOffset>
            </wp:positionV>
            <wp:extent cx="7157720" cy="42545"/>
            <wp:wrapNone/>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74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120"/>
          </w:cols>
          <w:pgMar w:left="1440" w:top="1165" w:right="339" w:bottom="1440" w:gutter="0" w:footer="0" w:header="0"/>
        </w:sectPr>
      </w:pPr>
    </w:p>
    <w:bookmarkStart w:id="187" w:name="page188"/>
    <w:bookmarkEnd w:id="187"/>
    <w:p>
      <w:pPr>
        <w:jc w:val="both"/>
        <w:ind w:left="1492"/>
        <w:spacing w:after="0" w:line="246" w:lineRule="auto"/>
        <w:rPr>
          <w:sz w:val="20"/>
          <w:szCs w:val="20"/>
          <w:color w:val="auto"/>
        </w:rPr>
      </w:pPr>
      <w:r>
        <w:rPr>
          <w:rFonts w:ascii="Calibri" w:cs="Calibri" w:eastAsia="Calibri" w:hAnsi="Calibri"/>
          <w:sz w:val="14"/>
          <w:szCs w:val="14"/>
          <w:color w:val="auto"/>
        </w:rPr>
        <w:t>individual responsibility to comply with this Policy and applicable laws against insider trading. Company Personnel may not make electons under employee stock purchase plans during a Regular Non-Trading Window or a Special Non-Trading Window applicable to them, and any such electons are subject to reversal. As a reminder, sales of MicroStrategy securites acquired through partcipaton in a MicroStrategy employee stock purchase plan may only be made in compliance with this Policy.</w:t>
      </w:r>
    </w:p>
    <w:p>
      <w:pPr>
        <w:spacing w:after="0" w:line="351" w:lineRule="exact"/>
        <w:rPr>
          <w:sz w:val="20"/>
          <w:szCs w:val="20"/>
          <w:color w:val="auto"/>
        </w:rPr>
      </w:pPr>
    </w:p>
    <w:p>
      <w:pPr>
        <w:ind w:left="1492" w:hanging="369"/>
        <w:spacing w:after="0"/>
        <w:tabs>
          <w:tab w:leader="none" w:pos="1492" w:val="left"/>
        </w:tabs>
        <w:numPr>
          <w:ilvl w:val="1"/>
          <w:numId w:val="157"/>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Additonal Informaton for Secton 16 Insiders</w:t>
      </w:r>
    </w:p>
    <w:p>
      <w:pPr>
        <w:spacing w:after="0" w:line="181" w:lineRule="exact"/>
        <w:rPr>
          <w:rFonts w:ascii="Calibri" w:cs="Calibri" w:eastAsia="Calibri" w:hAnsi="Calibri"/>
          <w:sz w:val="14"/>
          <w:szCs w:val="14"/>
          <w:b w:val="1"/>
          <w:bCs w:val="1"/>
          <w:color w:val="auto"/>
        </w:rPr>
      </w:pPr>
    </w:p>
    <w:p>
      <w:pPr>
        <w:jc w:val="both"/>
        <w:ind w:left="1492"/>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Secton 16 Insiders must also comply with the reportng obligatons and limitatons on short-swing transactons set forth in Secton 16. The practcal efect of these provisions is that Secton 16 Insiders who both acquire and sell (or sell and then acquire) MicroStrategy’s securites within a six (6) month period must disgorge all profts to MicroStrategy whether or not they had knowledge of any Material Nonpublic Informaton. Under this provision, and so long as certain other criteria are met, neither the receipt of an opton under MicroStrategy’s equity compensaton plans, nor the exercise of such optons, nor the vestng of restricted stock units, nor the receipt of stock under MicroStrategy’s employee stock purchase plans is deemed to be an acquisiton under Secton 16; however, the sale of any such shares is a sale under Secton 16. Secton 16 Insiders are also cautoned that purchases and sales of MicroStrategy securites made pursuant to Approved Trading Plans, including sales of vested equity for the purpose of satsfying tax withholding obligatons, are subject to the provisions of Secton 16, including the prohibiton on short-swing profts.</w:t>
      </w:r>
    </w:p>
    <w:p>
      <w:pPr>
        <w:spacing w:after="0" w:line="352" w:lineRule="exact"/>
        <w:rPr>
          <w:rFonts w:ascii="Calibri" w:cs="Calibri" w:eastAsia="Calibri" w:hAnsi="Calibri"/>
          <w:sz w:val="14"/>
          <w:szCs w:val="14"/>
          <w:b w:val="1"/>
          <w:bCs w:val="1"/>
          <w:color w:val="auto"/>
        </w:rPr>
      </w:pPr>
    </w:p>
    <w:p>
      <w:pPr>
        <w:ind w:left="1492" w:hanging="369"/>
        <w:spacing w:after="0"/>
        <w:tabs>
          <w:tab w:leader="none" w:pos="1492" w:val="left"/>
        </w:tabs>
        <w:numPr>
          <w:ilvl w:val="1"/>
          <w:numId w:val="157"/>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Other Restrictons</w:t>
      </w:r>
    </w:p>
    <w:p>
      <w:pPr>
        <w:spacing w:after="0" w:line="180" w:lineRule="exact"/>
        <w:rPr>
          <w:rFonts w:ascii="Calibri" w:cs="Calibri" w:eastAsia="Calibri" w:hAnsi="Calibri"/>
          <w:sz w:val="14"/>
          <w:szCs w:val="14"/>
          <w:b w:val="1"/>
          <w:bCs w:val="1"/>
          <w:color w:val="auto"/>
        </w:rPr>
      </w:pPr>
    </w:p>
    <w:p>
      <w:pPr>
        <w:ind w:left="1492"/>
        <w:spacing w:after="0"/>
        <w:rPr>
          <w:rFonts w:ascii="Calibri" w:cs="Calibri" w:eastAsia="Calibri" w:hAnsi="Calibri"/>
          <w:sz w:val="14"/>
          <w:szCs w:val="14"/>
          <w:b w:val="1"/>
          <w:bCs w:val="1"/>
          <w:color w:val="auto"/>
        </w:rPr>
      </w:pPr>
      <w:r>
        <w:rPr>
          <w:rFonts w:ascii="Calibri" w:cs="Calibri" w:eastAsia="Calibri" w:hAnsi="Calibri"/>
          <w:sz w:val="14"/>
          <w:szCs w:val="14"/>
          <w:color w:val="auto"/>
        </w:rPr>
        <w:t>Shares acquired pursuant to employee equity awards or MicroStrategy’s employee stock purchase plan may be subject to certain restrictons.</w:t>
      </w:r>
    </w:p>
    <w:p>
      <w:pPr>
        <w:spacing w:after="0" w:line="180" w:lineRule="exact"/>
        <w:rPr>
          <w:rFonts w:ascii="Calibri" w:cs="Calibri" w:eastAsia="Calibri" w:hAnsi="Calibri"/>
          <w:sz w:val="14"/>
          <w:szCs w:val="14"/>
          <w:b w:val="1"/>
          <w:bCs w:val="1"/>
          <w:color w:val="auto"/>
        </w:rPr>
      </w:pPr>
    </w:p>
    <w:p>
      <w:pPr>
        <w:ind w:left="1492" w:hanging="369"/>
        <w:spacing w:after="0"/>
        <w:tabs>
          <w:tab w:leader="none" w:pos="1492" w:val="left"/>
        </w:tabs>
        <w:numPr>
          <w:ilvl w:val="1"/>
          <w:numId w:val="157"/>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Post-Terminaton Transactons</w:t>
      </w:r>
    </w:p>
    <w:p>
      <w:pPr>
        <w:spacing w:after="0" w:line="181" w:lineRule="exact"/>
        <w:rPr>
          <w:rFonts w:ascii="Calibri" w:cs="Calibri" w:eastAsia="Calibri" w:hAnsi="Calibri"/>
          <w:sz w:val="14"/>
          <w:szCs w:val="14"/>
          <w:b w:val="1"/>
          <w:bCs w:val="1"/>
          <w:color w:val="auto"/>
        </w:rPr>
      </w:pPr>
    </w:p>
    <w:p>
      <w:pPr>
        <w:jc w:val="both"/>
        <w:ind w:left="1492"/>
        <w:spacing w:after="0" w:line="246" w:lineRule="auto"/>
        <w:rPr>
          <w:rFonts w:ascii="Calibri" w:cs="Calibri" w:eastAsia="Calibri" w:hAnsi="Calibri"/>
          <w:sz w:val="14"/>
          <w:szCs w:val="14"/>
          <w:b w:val="1"/>
          <w:bCs w:val="1"/>
          <w:color w:val="auto"/>
        </w:rPr>
      </w:pPr>
      <w:r>
        <w:rPr>
          <w:rFonts w:ascii="Calibri" w:cs="Calibri" w:eastAsia="Calibri" w:hAnsi="Calibri"/>
          <w:sz w:val="14"/>
          <w:szCs w:val="14"/>
          <w:color w:val="auto"/>
        </w:rPr>
        <w:t>This Policy contnues to apply to transactons in MicroStrategy securites even afer terminaton of service to MicroStrategy. If an individual is in possession of Material Nonpublic Informaton when his or her service terminates, that individual may not trade in MicroStrategy securites untl that informaton has become public or is no longer material. MicroStrategy may impose Non-Trading Windows and other restrictons on securites held by such individuals, including on shares acquired pursuant to employee equity awards and employee stock purchase plans.</w:t>
      </w:r>
    </w:p>
    <w:p>
      <w:pPr>
        <w:spacing w:after="0" w:line="175" w:lineRule="exact"/>
        <w:rPr>
          <w:rFonts w:ascii="Calibri" w:cs="Calibri" w:eastAsia="Calibri" w:hAnsi="Calibri"/>
          <w:sz w:val="14"/>
          <w:szCs w:val="14"/>
          <w:b w:val="1"/>
          <w:bCs w:val="1"/>
          <w:color w:val="auto"/>
        </w:rPr>
      </w:pPr>
    </w:p>
    <w:p>
      <w:pPr>
        <w:ind w:left="1492" w:hanging="369"/>
        <w:spacing w:after="0"/>
        <w:tabs>
          <w:tab w:leader="none" w:pos="1492" w:val="left"/>
        </w:tabs>
        <w:numPr>
          <w:ilvl w:val="1"/>
          <w:numId w:val="157"/>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Inquiries</w:t>
      </w:r>
    </w:p>
    <w:p>
      <w:pPr>
        <w:spacing w:after="0" w:line="181" w:lineRule="exact"/>
        <w:rPr>
          <w:rFonts w:ascii="Calibri" w:cs="Calibri" w:eastAsia="Calibri" w:hAnsi="Calibri"/>
          <w:sz w:val="14"/>
          <w:szCs w:val="14"/>
          <w:b w:val="1"/>
          <w:bCs w:val="1"/>
          <w:color w:val="auto"/>
        </w:rPr>
      </w:pPr>
    </w:p>
    <w:p>
      <w:pPr>
        <w:jc w:val="both"/>
        <w:ind w:left="1492"/>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Insiders may not be aware of a partcular development at the tme they wish to engage in a transacton in MicroStrategy’s securites. Afer the fact, however, it may be hard to prove that they were not aware. In additon, the judgment as to what informaton is, or is not, material is sometmes difcult. Therefore, the Company encourages Insiders with any questons to contact an Insider Trading Compliance Ofcer before engaging in any transactons.</w:t>
      </w:r>
    </w:p>
    <w:p>
      <w:pPr>
        <w:spacing w:after="0" w:line="177" w:lineRule="exact"/>
        <w:rPr>
          <w:rFonts w:ascii="Calibri" w:cs="Calibri" w:eastAsia="Calibri" w:hAnsi="Calibri"/>
          <w:sz w:val="14"/>
          <w:szCs w:val="14"/>
          <w:b w:val="1"/>
          <w:bCs w:val="1"/>
          <w:color w:val="auto"/>
        </w:rPr>
      </w:pPr>
    </w:p>
    <w:p>
      <w:pPr>
        <w:ind w:left="512" w:hanging="512"/>
        <w:spacing w:after="0"/>
        <w:tabs>
          <w:tab w:leader="none" w:pos="512" w:val="left"/>
        </w:tabs>
        <w:numPr>
          <w:ilvl w:val="0"/>
          <w:numId w:val="158"/>
        </w:numPr>
        <w:rPr>
          <w:rFonts w:ascii="Calibri" w:cs="Calibri" w:eastAsia="Calibri" w:hAnsi="Calibri"/>
          <w:sz w:val="14"/>
          <w:szCs w:val="14"/>
          <w:b w:val="1"/>
          <w:bCs w:val="1"/>
          <w:color w:val="auto"/>
        </w:rPr>
      </w:pPr>
      <w:r>
        <w:rPr>
          <w:rFonts w:ascii="Calibri" w:cs="Calibri" w:eastAsia="Calibri" w:hAnsi="Calibri"/>
          <w:sz w:val="14"/>
          <w:szCs w:val="14"/>
          <w:b w:val="1"/>
          <w:bCs w:val="1"/>
          <w:u w:val="single" w:color="auto"/>
          <w:color w:val="auto"/>
        </w:rPr>
        <w:t>Insider’s Potental Criminal and Civil Liability and/or Disciplinary Acton</w:t>
      </w:r>
    </w:p>
    <w:p>
      <w:pPr>
        <w:spacing w:after="0" w:line="181" w:lineRule="exact"/>
        <w:rPr>
          <w:sz w:val="20"/>
          <w:szCs w:val="20"/>
          <w:color w:val="auto"/>
        </w:rPr>
      </w:pPr>
    </w:p>
    <w:p>
      <w:pPr>
        <w:jc w:val="both"/>
        <w:ind w:left="752"/>
        <w:spacing w:after="0" w:line="245" w:lineRule="auto"/>
        <w:rPr>
          <w:sz w:val="20"/>
          <w:szCs w:val="20"/>
          <w:color w:val="auto"/>
        </w:rPr>
      </w:pPr>
      <w:r>
        <w:rPr>
          <w:rFonts w:ascii="Calibri" w:cs="Calibri" w:eastAsia="Calibri" w:hAnsi="Calibri"/>
          <w:sz w:val="14"/>
          <w:szCs w:val="14"/>
          <w:color w:val="auto"/>
        </w:rPr>
        <w:t>Insider trading violatons are pursued vigorously by the SEC and the United States Department of Justce and can lead to severe punishment. While the regulatory authorites concentrate their eforts on the individuals who engage in insider trading, or who tp inside informaton to others, the federal securites laws also impose potental liability on companies and other “controlling persons” if they fail to take reasonable steps to prevent insider trading by Company personnel.</w:t>
      </w:r>
    </w:p>
    <w:p>
      <w:pPr>
        <w:spacing w:after="0" w:line="178" w:lineRule="exact"/>
        <w:rPr>
          <w:sz w:val="20"/>
          <w:szCs w:val="20"/>
          <w:color w:val="auto"/>
        </w:rPr>
      </w:pPr>
    </w:p>
    <w:p>
      <w:pPr>
        <w:ind w:left="1132" w:hanging="383"/>
        <w:spacing w:after="0"/>
        <w:tabs>
          <w:tab w:leader="none" w:pos="1132" w:val="left"/>
        </w:tabs>
        <w:numPr>
          <w:ilvl w:val="0"/>
          <w:numId w:val="159"/>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Insider’s Liability for Insider Trading</w:t>
      </w:r>
    </w:p>
    <w:p>
      <w:pPr>
        <w:spacing w:after="0" w:line="181" w:lineRule="exact"/>
        <w:rPr>
          <w:rFonts w:ascii="Calibri" w:cs="Calibri" w:eastAsia="Calibri" w:hAnsi="Calibri"/>
          <w:sz w:val="14"/>
          <w:szCs w:val="14"/>
          <w:b w:val="1"/>
          <w:bCs w:val="1"/>
          <w:color w:val="auto"/>
        </w:rPr>
      </w:pPr>
    </w:p>
    <w:p>
      <w:pPr>
        <w:jc w:val="both"/>
        <w:ind w:left="1132"/>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Rule 10b-5 is fertle ground for litgaton and enforcement. Insiders may be subject to criminal penaltes of up to $5,000,000 and up to twenty (20) years in federal prison for insider trading violatons. Civil penaltes may include disgorgement of profts or avoided losses plus a civil penalty of up to three tmes that amount, as well as sanctons prohibitng future employment as an ofcer or director of a publicly traded company.</w:t>
      </w:r>
    </w:p>
    <w:p>
      <w:pPr>
        <w:spacing w:after="0" w:line="177" w:lineRule="exact"/>
        <w:rPr>
          <w:rFonts w:ascii="Calibri" w:cs="Calibri" w:eastAsia="Calibri" w:hAnsi="Calibri"/>
          <w:sz w:val="14"/>
          <w:szCs w:val="14"/>
          <w:b w:val="1"/>
          <w:bCs w:val="1"/>
          <w:color w:val="auto"/>
        </w:rPr>
      </w:pPr>
    </w:p>
    <w:p>
      <w:pPr>
        <w:ind w:left="1132" w:hanging="383"/>
        <w:spacing w:after="0"/>
        <w:tabs>
          <w:tab w:leader="none" w:pos="1132" w:val="left"/>
        </w:tabs>
        <w:numPr>
          <w:ilvl w:val="0"/>
          <w:numId w:val="159"/>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Insider’s Liability for Tipping</w:t>
      </w:r>
    </w:p>
    <w:p>
      <w:pPr>
        <w:spacing w:after="0" w:line="181" w:lineRule="exact"/>
        <w:rPr>
          <w:rFonts w:ascii="Calibri" w:cs="Calibri" w:eastAsia="Calibri" w:hAnsi="Calibri"/>
          <w:sz w:val="14"/>
          <w:szCs w:val="14"/>
          <w:b w:val="1"/>
          <w:bCs w:val="1"/>
          <w:color w:val="auto"/>
        </w:rPr>
      </w:pPr>
    </w:p>
    <w:p>
      <w:pPr>
        <w:jc w:val="both"/>
        <w:ind w:left="1132"/>
        <w:spacing w:after="0" w:line="245" w:lineRule="auto"/>
        <w:rPr>
          <w:rFonts w:ascii="Calibri" w:cs="Calibri" w:eastAsia="Calibri" w:hAnsi="Calibri"/>
          <w:sz w:val="14"/>
          <w:szCs w:val="14"/>
          <w:b w:val="1"/>
          <w:bCs w:val="1"/>
          <w:color w:val="auto"/>
        </w:rPr>
      </w:pPr>
      <w:r>
        <w:rPr>
          <w:rFonts w:ascii="Calibri" w:cs="Calibri" w:eastAsia="Calibri" w:hAnsi="Calibri"/>
          <w:sz w:val="14"/>
          <w:szCs w:val="14"/>
          <w:color w:val="auto"/>
        </w:rPr>
        <w:t>Insiders may also be liable for improper transactons undertaken by Tippees to whom the Insider has disclosed Material Nonpublic Informaton or to whom the Insider has expressed recommendatons or opinions on the basis of such Material Nonpublic Informaton. The SEC has imposed large penaltes even when the Insider did not proft from the trading. The SEC and Nasdaq use sophistcated electronic surveillance and market monitoring techniques to uncover insider trading.</w:t>
      </w:r>
    </w:p>
    <w:p>
      <w:pPr>
        <w:spacing w:after="0" w:line="177" w:lineRule="exact"/>
        <w:rPr>
          <w:rFonts w:ascii="Calibri" w:cs="Calibri" w:eastAsia="Calibri" w:hAnsi="Calibri"/>
          <w:sz w:val="14"/>
          <w:szCs w:val="14"/>
          <w:b w:val="1"/>
          <w:bCs w:val="1"/>
          <w:color w:val="auto"/>
        </w:rPr>
      </w:pPr>
    </w:p>
    <w:p>
      <w:pPr>
        <w:ind w:left="1132" w:hanging="383"/>
        <w:spacing w:after="0"/>
        <w:tabs>
          <w:tab w:leader="none" w:pos="1132" w:val="left"/>
        </w:tabs>
        <w:numPr>
          <w:ilvl w:val="0"/>
          <w:numId w:val="159"/>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Possible Disciplinary Actons</w:t>
      </w:r>
    </w:p>
    <w:p>
      <w:pPr>
        <w:spacing w:after="0" w:line="181" w:lineRule="exact"/>
        <w:rPr>
          <w:rFonts w:ascii="Calibri" w:cs="Calibri" w:eastAsia="Calibri" w:hAnsi="Calibri"/>
          <w:sz w:val="14"/>
          <w:szCs w:val="14"/>
          <w:b w:val="1"/>
          <w:bCs w:val="1"/>
          <w:color w:val="auto"/>
        </w:rPr>
      </w:pPr>
    </w:p>
    <w:p>
      <w:pPr>
        <w:jc w:val="both"/>
        <w:ind w:left="1132"/>
        <w:spacing w:after="0" w:line="247" w:lineRule="auto"/>
        <w:rPr>
          <w:rFonts w:ascii="Calibri" w:cs="Calibri" w:eastAsia="Calibri" w:hAnsi="Calibri"/>
          <w:sz w:val="14"/>
          <w:szCs w:val="14"/>
          <w:b w:val="1"/>
          <w:bCs w:val="1"/>
          <w:color w:val="auto"/>
        </w:rPr>
      </w:pPr>
      <w:r>
        <w:rPr>
          <w:rFonts w:ascii="Calibri" w:cs="Calibri" w:eastAsia="Calibri" w:hAnsi="Calibri"/>
          <w:sz w:val="14"/>
          <w:szCs w:val="14"/>
          <w:color w:val="auto"/>
        </w:rPr>
        <w:t>Employees of MicroStrategy who violate any porton of this Policy shall be subject to disciplinary acton by MicroStrategy, which may include forfeiture and/or ineligibility for future partcipaton in MicroStrategy’s equity incentve plans and/or terminaton of employment depending on the circumstances as determined by MicroStrategy in its discreton.</w:t>
      </w:r>
    </w:p>
    <w:p>
      <w:pPr>
        <w:spacing w:after="0" w:line="349" w:lineRule="exact"/>
        <w:rPr>
          <w:rFonts w:ascii="Calibri" w:cs="Calibri" w:eastAsia="Calibri" w:hAnsi="Calibri"/>
          <w:sz w:val="14"/>
          <w:szCs w:val="14"/>
          <w:b w:val="1"/>
          <w:bCs w:val="1"/>
          <w:color w:val="auto"/>
        </w:rPr>
      </w:pPr>
    </w:p>
    <w:p>
      <w:pPr>
        <w:ind w:left="1132" w:hanging="383"/>
        <w:spacing w:after="0"/>
        <w:tabs>
          <w:tab w:leader="none" w:pos="1132" w:val="left"/>
        </w:tabs>
        <w:numPr>
          <w:ilvl w:val="0"/>
          <w:numId w:val="159"/>
        </w:numPr>
        <w:rPr>
          <w:rFonts w:ascii="Calibri" w:cs="Calibri" w:eastAsia="Calibri" w:hAnsi="Calibri"/>
          <w:sz w:val="14"/>
          <w:szCs w:val="14"/>
          <w:b w:val="1"/>
          <w:bCs w:val="1"/>
          <w:color w:val="auto"/>
        </w:rPr>
      </w:pPr>
      <w:r>
        <w:rPr>
          <w:rFonts w:ascii="Calibri" w:cs="Calibri" w:eastAsia="Calibri" w:hAnsi="Calibri"/>
          <w:sz w:val="14"/>
          <w:szCs w:val="14"/>
          <w:b w:val="1"/>
          <w:bCs w:val="1"/>
          <w:color w:val="auto"/>
        </w:rPr>
        <w:t>No Test of Signifcance</w:t>
      </w:r>
    </w:p>
    <w:p>
      <w:pPr>
        <w:spacing w:after="0" w:line="180" w:lineRule="exact"/>
        <w:rPr>
          <w:sz w:val="20"/>
          <w:szCs w:val="20"/>
          <w:color w:val="auto"/>
        </w:rPr>
      </w:pPr>
    </w:p>
    <w:p>
      <w:pPr>
        <w:ind w:left="1132"/>
        <w:spacing w:after="0"/>
        <w:rPr>
          <w:sz w:val="20"/>
          <w:szCs w:val="20"/>
          <w:color w:val="auto"/>
        </w:rPr>
      </w:pPr>
      <w:r>
        <w:rPr>
          <w:rFonts w:ascii="Calibri" w:cs="Calibri" w:eastAsia="Calibri" w:hAnsi="Calibri"/>
          <w:sz w:val="14"/>
          <w:szCs w:val="14"/>
          <w:color w:val="auto"/>
        </w:rPr>
        <w:t>Any transacton, even a transacton involving very small amounts, is subject to SEC scrutny.</w:t>
      </w:r>
    </w:p>
    <w:p>
      <w:pPr>
        <w:spacing w:after="0" w:line="5" w:lineRule="exact"/>
        <w:rPr>
          <w:sz w:val="20"/>
          <w:szCs w:val="20"/>
          <w:color w:val="auto"/>
        </w:rPr>
      </w:pPr>
    </w:p>
    <w:p>
      <w:pPr>
        <w:ind w:left="5572"/>
        <w:spacing w:after="0"/>
        <w:rPr>
          <w:sz w:val="20"/>
          <w:szCs w:val="20"/>
          <w:color w:val="auto"/>
        </w:rPr>
      </w:pPr>
      <w:r>
        <w:rPr>
          <w:rFonts w:ascii="Calibri" w:cs="Calibri" w:eastAsia="Calibri" w:hAnsi="Calibri"/>
          <w:sz w:val="14"/>
          <w:szCs w:val="14"/>
          <w:color w:val="auto"/>
        </w:rPr>
        <w:t>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-12065</wp:posOffset>
            </wp:positionH>
            <wp:positionV relativeFrom="paragraph">
              <wp:posOffset>788670</wp:posOffset>
            </wp:positionV>
            <wp:extent cx="7157720" cy="42545"/>
            <wp:wrapNone/>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74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32"/>
          </w:cols>
          <w:pgMar w:left="328" w:top="1165" w:right="339" w:bottom="1440" w:gutter="0" w:footer="0" w:header="0"/>
        </w:sectPr>
      </w:pPr>
    </w:p>
    <w:bookmarkStart w:id="188" w:name="page189"/>
    <w:bookmarkEnd w:id="188"/>
    <w:p>
      <w:pPr>
        <w:spacing w:after="0" w:line="200" w:lineRule="exact"/>
        <w:rPr>
          <w:sz w:val="20"/>
          <w:szCs w:val="20"/>
          <w:color w:val="auto"/>
        </w:rPr>
      </w:pPr>
    </w:p>
    <w:p>
      <w:pPr>
        <w:spacing w:after="0" w:line="307" w:lineRule="exact"/>
        <w:rPr>
          <w:sz w:val="20"/>
          <w:szCs w:val="20"/>
          <w:color w:val="auto"/>
        </w:rPr>
      </w:pPr>
    </w:p>
    <w:p>
      <w:pPr>
        <w:jc w:val="right"/>
        <w:spacing w:after="0"/>
        <w:rPr>
          <w:sz w:val="20"/>
          <w:szCs w:val="20"/>
          <w:color w:val="auto"/>
        </w:rPr>
      </w:pPr>
      <w:r>
        <w:rPr>
          <w:rFonts w:ascii="Calibri" w:cs="Calibri" w:eastAsia="Calibri" w:hAnsi="Calibri"/>
          <w:sz w:val="14"/>
          <w:szCs w:val="14"/>
          <w:b w:val="1"/>
          <w:bCs w:val="1"/>
          <w:color w:val="auto"/>
        </w:rPr>
        <w:t>Adopted by the Board on December 20, 2024</w:t>
      </w:r>
    </w:p>
    <w:p>
      <w:pPr>
        <w:spacing w:after="0" w:line="113" w:lineRule="exact"/>
        <w:rPr>
          <w:sz w:val="20"/>
          <w:szCs w:val="20"/>
          <w:color w:val="auto"/>
        </w:rPr>
      </w:pPr>
    </w:p>
    <w:p>
      <w:pPr>
        <w:ind w:left="4460"/>
        <w:spacing w:after="0"/>
        <w:rPr>
          <w:sz w:val="20"/>
          <w:szCs w:val="20"/>
          <w:color w:val="auto"/>
        </w:rPr>
      </w:pPr>
      <w:r>
        <w:rPr>
          <w:rFonts w:ascii="Calibri" w:cs="Calibri" w:eastAsia="Calibri" w:hAnsi="Calibri"/>
          <w:sz w:val="14"/>
          <w:szCs w:val="14"/>
          <w:color w:val="auto"/>
        </w:rPr>
        <w:t>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-718185</wp:posOffset>
            </wp:positionH>
            <wp:positionV relativeFrom="paragraph">
              <wp:posOffset>788670</wp:posOffset>
            </wp:positionV>
            <wp:extent cx="7157720" cy="42545"/>
            <wp:wrapNone/>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74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120"/>
          </w:cols>
          <w:pgMar w:left="1440" w:top="1440" w:right="339" w:bottom="1440" w:gutter="0" w:footer="0" w:header="0"/>
        </w:sectPr>
      </w:pPr>
    </w:p>
    <w:bookmarkStart w:id="189" w:name="page190"/>
    <w:bookmarkEnd w:id="189"/>
    <w:p>
      <w:pPr>
        <w:spacing w:after="0" w:line="116" w:lineRule="exact"/>
        <w:rPr>
          <w:sz w:val="20"/>
          <w:szCs w:val="20"/>
          <w:color w:val="auto"/>
        </w:rPr>
      </w:pPr>
    </w:p>
    <w:p>
      <w:pPr>
        <w:jc w:val="center"/>
        <w:ind w:right="-19"/>
        <w:spacing w:after="0"/>
        <w:rPr>
          <w:sz w:val="20"/>
          <w:szCs w:val="20"/>
          <w:color w:val="auto"/>
        </w:rPr>
      </w:pPr>
      <w:r>
        <w:rPr>
          <w:rFonts w:ascii="Calibri" w:cs="Calibri" w:eastAsia="Calibri" w:hAnsi="Calibri"/>
          <w:sz w:val="14"/>
          <w:szCs w:val="14"/>
          <w:b w:val="1"/>
          <w:bCs w:val="1"/>
          <w:color w:val="auto"/>
        </w:rPr>
        <w:t>Exhibit A</w:t>
      </w:r>
    </w:p>
    <w:p>
      <w:pPr>
        <w:spacing w:after="0" w:line="113" w:lineRule="exact"/>
        <w:rPr>
          <w:sz w:val="20"/>
          <w:szCs w:val="20"/>
          <w:color w:val="auto"/>
        </w:rPr>
      </w:pPr>
    </w:p>
    <w:p>
      <w:pPr>
        <w:jc w:val="center"/>
        <w:ind w:right="-19"/>
        <w:spacing w:after="0"/>
        <w:rPr>
          <w:sz w:val="20"/>
          <w:szCs w:val="20"/>
          <w:color w:val="auto"/>
        </w:rPr>
      </w:pPr>
      <w:r>
        <w:rPr>
          <w:rFonts w:ascii="Calibri" w:cs="Calibri" w:eastAsia="Calibri" w:hAnsi="Calibri"/>
          <w:sz w:val="14"/>
          <w:szCs w:val="14"/>
          <w:b w:val="1"/>
          <w:bCs w:val="1"/>
          <w:color w:val="auto"/>
        </w:rPr>
        <w:t>MICROSTRATEGY INCORPORATED</w:t>
      </w:r>
    </w:p>
    <w:p>
      <w:pPr>
        <w:spacing w:after="0" w:line="113" w:lineRule="exact"/>
        <w:rPr>
          <w:sz w:val="20"/>
          <w:szCs w:val="20"/>
          <w:color w:val="auto"/>
        </w:rPr>
      </w:pPr>
    </w:p>
    <w:p>
      <w:pPr>
        <w:jc w:val="center"/>
        <w:ind w:right="-19"/>
        <w:spacing w:after="0"/>
        <w:rPr>
          <w:sz w:val="20"/>
          <w:szCs w:val="20"/>
          <w:color w:val="auto"/>
        </w:rPr>
      </w:pPr>
      <w:r>
        <w:rPr>
          <w:rFonts w:ascii="Calibri" w:cs="Calibri" w:eastAsia="Calibri" w:hAnsi="Calibri"/>
          <w:sz w:val="14"/>
          <w:szCs w:val="14"/>
          <w:b w:val="1"/>
          <w:bCs w:val="1"/>
          <w:color w:val="auto"/>
        </w:rPr>
        <w:t>INSIDER TRADING COMPLIANCE OFFICERS</w:t>
      </w:r>
    </w:p>
    <w:p>
      <w:pPr>
        <w:spacing w:after="0" w:line="396" w:lineRule="exact"/>
        <w:rPr>
          <w:sz w:val="20"/>
          <w:szCs w:val="20"/>
          <w:color w:val="auto"/>
        </w:rPr>
      </w:pPr>
    </w:p>
    <w:p>
      <w:pPr>
        <w:spacing w:after="0"/>
        <w:rPr>
          <w:sz w:val="20"/>
          <w:szCs w:val="20"/>
          <w:color w:val="auto"/>
        </w:rPr>
      </w:pPr>
      <w:r>
        <w:rPr>
          <w:rFonts w:ascii="Calibri" w:cs="Calibri" w:eastAsia="Calibri" w:hAnsi="Calibri"/>
          <w:sz w:val="14"/>
          <w:szCs w:val="14"/>
          <w:color w:val="auto"/>
        </w:rPr>
        <w:t>(Primary) General Counsel</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Chief Financial Ofcer</w:t>
      </w:r>
    </w:p>
    <w:p>
      <w:pPr>
        <w:spacing w:after="0" w:line="397" w:lineRule="exact"/>
        <w:rPr>
          <w:sz w:val="20"/>
          <w:szCs w:val="20"/>
          <w:color w:val="auto"/>
        </w:rPr>
      </w:pPr>
    </w:p>
    <w:p>
      <w:pPr>
        <w:jc w:val="both"/>
        <w:spacing w:after="0" w:line="245" w:lineRule="auto"/>
        <w:rPr>
          <w:sz w:val="20"/>
          <w:szCs w:val="20"/>
          <w:color w:val="auto"/>
        </w:rPr>
      </w:pPr>
      <w:r>
        <w:rPr>
          <w:rFonts w:ascii="Calibri" w:cs="Calibri" w:eastAsia="Calibri" w:hAnsi="Calibri"/>
          <w:sz w:val="14"/>
          <w:szCs w:val="14"/>
          <w:color w:val="auto"/>
        </w:rPr>
        <w:t>For the avoidance of doubt, any Insider Trading Compliance Ofcer may, from tme-to-tme, designate employees of MicroStrategy to administer this Policy and delegate to such persons some or all administratve responsibilites under this Policy. Such persons may send writen communicatons pursuant to this Policy and take other actons under this Policy on behalf of the Insider Trading Compliance Ofcers.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984250</wp:posOffset>
            </wp:positionV>
            <wp:extent cx="7157720" cy="42545"/>
            <wp:wrapNone/>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74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190" w:name="page191"/>
    <w:bookmarkEnd w:id="190"/>
    <w:p>
      <w:pPr>
        <w:jc w:val="center"/>
        <w:spacing w:after="0"/>
        <w:rPr>
          <w:sz w:val="20"/>
          <w:szCs w:val="20"/>
          <w:color w:val="auto"/>
        </w:rPr>
      </w:pPr>
      <w:r>
        <w:rPr>
          <w:rFonts w:ascii="Calibri" w:cs="Calibri" w:eastAsia="Calibri" w:hAnsi="Calibri"/>
          <w:sz w:val="14"/>
          <w:szCs w:val="14"/>
          <w:b w:val="1"/>
          <w:bCs w:val="1"/>
          <w:color w:val="auto"/>
        </w:rPr>
        <w:t>Addendum to Insider Trading Policy</w:t>
      </w:r>
    </w:p>
    <w:p>
      <w:pPr>
        <w:spacing w:after="0" w:line="180" w:lineRule="exact"/>
        <w:rPr>
          <w:sz w:val="20"/>
          <w:szCs w:val="20"/>
          <w:color w:val="auto"/>
        </w:rPr>
      </w:pPr>
    </w:p>
    <w:p>
      <w:pPr>
        <w:jc w:val="center"/>
        <w:spacing w:after="0"/>
        <w:rPr>
          <w:sz w:val="20"/>
          <w:szCs w:val="20"/>
          <w:color w:val="auto"/>
        </w:rPr>
      </w:pPr>
      <w:r>
        <w:rPr>
          <w:rFonts w:ascii="Calibri" w:cs="Calibri" w:eastAsia="Calibri" w:hAnsi="Calibri"/>
          <w:sz w:val="14"/>
          <w:szCs w:val="14"/>
          <w:b w:val="1"/>
          <w:bCs w:val="1"/>
          <w:u w:val="single" w:color="auto"/>
          <w:color w:val="auto"/>
        </w:rPr>
        <w:t>Additonal Compliance Procedures Relatng to Secton 16 Insiders</w:t>
      </w:r>
    </w:p>
    <w:p>
      <w:pPr>
        <w:spacing w:after="0" w:line="181" w:lineRule="exact"/>
        <w:rPr>
          <w:sz w:val="20"/>
          <w:szCs w:val="20"/>
          <w:color w:val="auto"/>
        </w:rPr>
      </w:pPr>
    </w:p>
    <w:p>
      <w:pPr>
        <w:jc w:val="both"/>
        <w:spacing w:after="0" w:line="245" w:lineRule="auto"/>
        <w:rPr>
          <w:sz w:val="20"/>
          <w:szCs w:val="20"/>
          <w:color w:val="auto"/>
        </w:rPr>
      </w:pPr>
      <w:r>
        <w:rPr>
          <w:rFonts w:ascii="Calibri" w:cs="Calibri" w:eastAsia="Calibri" w:hAnsi="Calibri"/>
          <w:sz w:val="14"/>
          <w:szCs w:val="14"/>
          <w:color w:val="auto"/>
        </w:rPr>
        <w:t xml:space="preserve">SEC rules require Secton 16 Insiders to fle Form 4 reports on many transactons within two business days of the transactons. The Company has implemented certain procedures in order to assist the Company’s Secton 16 Insiders in complying with these rules. The procedures are set forth below. The Company asks each Secton 16 Insider to sign and return the Certfcaton atached hereto as </w:t>
      </w:r>
      <w:r>
        <w:rPr>
          <w:rFonts w:ascii="Calibri" w:cs="Calibri" w:eastAsia="Calibri" w:hAnsi="Calibri"/>
          <w:sz w:val="14"/>
          <w:szCs w:val="14"/>
          <w:u w:val="single" w:color="auto"/>
          <w:color w:val="auto"/>
        </w:rPr>
        <w:t>Appendix A</w:t>
      </w:r>
      <w:r>
        <w:rPr>
          <w:rFonts w:ascii="Calibri" w:cs="Calibri" w:eastAsia="Calibri" w:hAnsi="Calibri"/>
          <w:sz w:val="14"/>
          <w:szCs w:val="14"/>
          <w:color w:val="auto"/>
        </w:rPr>
        <w:t xml:space="preserve"> (acknowledging your receipt of, understanding of and agreement to comply with these procedures).</w:t>
      </w:r>
    </w:p>
    <w:p>
      <w:pPr>
        <w:spacing w:after="0" w:line="178" w:lineRule="exact"/>
        <w:rPr>
          <w:sz w:val="20"/>
          <w:szCs w:val="20"/>
          <w:color w:val="auto"/>
        </w:rPr>
      </w:pPr>
    </w:p>
    <w:p>
      <w:pPr>
        <w:spacing w:after="0"/>
        <w:rPr>
          <w:sz w:val="20"/>
          <w:szCs w:val="20"/>
          <w:color w:val="auto"/>
        </w:rPr>
      </w:pPr>
      <w:r>
        <w:rPr>
          <w:rFonts w:ascii="Calibri" w:cs="Calibri" w:eastAsia="Calibri" w:hAnsi="Calibri"/>
          <w:sz w:val="14"/>
          <w:szCs w:val="14"/>
          <w:color w:val="auto"/>
        </w:rPr>
        <w:t>References to “we,” “our” and “the Company” relate to MicroStrategy Incorporated. References to “you” and “your” relate to each Secton 16 Insider of the Company.</w:t>
      </w:r>
    </w:p>
    <w:p>
      <w:pPr>
        <w:spacing w:after="0" w:line="181" w:lineRule="exact"/>
        <w:rPr>
          <w:sz w:val="20"/>
          <w:szCs w:val="20"/>
          <w:color w:val="auto"/>
        </w:rPr>
      </w:pPr>
    </w:p>
    <w:p>
      <w:pPr>
        <w:ind w:left="380" w:hanging="372"/>
        <w:spacing w:after="0" w:line="245" w:lineRule="auto"/>
        <w:tabs>
          <w:tab w:leader="none" w:pos="380" w:val="left"/>
        </w:tabs>
        <w:numPr>
          <w:ilvl w:val="0"/>
          <w:numId w:val="160"/>
        </w:numPr>
        <w:rPr>
          <w:rFonts w:ascii="Calibri" w:cs="Calibri" w:eastAsia="Calibri" w:hAnsi="Calibri"/>
          <w:sz w:val="14"/>
          <w:szCs w:val="14"/>
          <w:color w:val="auto"/>
        </w:rPr>
      </w:pPr>
      <w:r>
        <w:rPr>
          <w:rFonts w:ascii="Calibri" w:cs="Calibri" w:eastAsia="Calibri" w:hAnsi="Calibri"/>
          <w:sz w:val="14"/>
          <w:szCs w:val="14"/>
          <w:b w:val="1"/>
          <w:bCs w:val="1"/>
          <w:i w:val="1"/>
          <w:iCs w:val="1"/>
          <w:color w:val="auto"/>
        </w:rPr>
        <w:t xml:space="preserve">Mandatory Pre-Clearance </w:t>
      </w:r>
      <w:r>
        <w:rPr>
          <w:rFonts w:ascii="Calibri" w:cs="Calibri" w:eastAsia="Calibri" w:hAnsi="Calibri"/>
          <w:sz w:val="14"/>
          <w:szCs w:val="14"/>
          <w:color w:val="auto"/>
        </w:rPr>
        <w:t>– Secton 16 Insiders may not engage in any transacton involving the Company’s securites (including a purchase, sale, opton exercise, donaton, loan or</w:t>
      </w:r>
      <w:r>
        <w:rPr>
          <w:rFonts w:ascii="Calibri" w:cs="Calibri" w:eastAsia="Calibri" w:hAnsi="Calibri"/>
          <w:sz w:val="14"/>
          <w:szCs w:val="14"/>
          <w:b w:val="1"/>
          <w:bCs w:val="1"/>
          <w:i w:val="1"/>
          <w:iCs w:val="1"/>
          <w:color w:val="auto"/>
        </w:rPr>
        <w:t xml:space="preserve"> </w:t>
      </w:r>
      <w:r>
        <w:rPr>
          <w:rFonts w:ascii="Calibri" w:cs="Calibri" w:eastAsia="Calibri" w:hAnsi="Calibri"/>
          <w:sz w:val="14"/>
          <w:szCs w:val="14"/>
          <w:color w:val="auto"/>
        </w:rPr>
        <w:t>pledge, contributon to a trust, or any other securites transacton) without frst obtaining pre-clearance as set forth in the Policy.</w:t>
      </w:r>
    </w:p>
    <w:p>
      <w:pPr>
        <w:spacing w:after="0" w:line="177" w:lineRule="exact"/>
        <w:rPr>
          <w:rFonts w:ascii="Calibri" w:cs="Calibri" w:eastAsia="Calibri" w:hAnsi="Calibri"/>
          <w:sz w:val="14"/>
          <w:szCs w:val="14"/>
          <w:color w:val="auto"/>
        </w:rPr>
      </w:pPr>
    </w:p>
    <w:p>
      <w:pPr>
        <w:jc w:val="both"/>
        <w:ind w:left="380" w:hanging="372"/>
        <w:spacing w:after="0" w:line="246" w:lineRule="auto"/>
        <w:tabs>
          <w:tab w:leader="none" w:pos="380" w:val="left"/>
        </w:tabs>
        <w:numPr>
          <w:ilvl w:val="0"/>
          <w:numId w:val="160"/>
        </w:numPr>
        <w:rPr>
          <w:rFonts w:ascii="Calibri" w:cs="Calibri" w:eastAsia="Calibri" w:hAnsi="Calibri"/>
          <w:sz w:val="14"/>
          <w:szCs w:val="14"/>
          <w:color w:val="auto"/>
        </w:rPr>
      </w:pPr>
      <w:r>
        <w:rPr>
          <w:rFonts w:ascii="Calibri" w:cs="Calibri" w:eastAsia="Calibri" w:hAnsi="Calibri"/>
          <w:sz w:val="14"/>
          <w:szCs w:val="14"/>
          <w:b w:val="1"/>
          <w:bCs w:val="1"/>
          <w:i w:val="1"/>
          <w:iCs w:val="1"/>
          <w:color w:val="auto"/>
        </w:rPr>
        <w:t xml:space="preserve">Procedures Related to Third Partes </w:t>
      </w:r>
      <w:r>
        <w:rPr>
          <w:rFonts w:ascii="Calibri" w:cs="Calibri" w:eastAsia="Calibri" w:hAnsi="Calibri"/>
          <w:sz w:val="14"/>
          <w:szCs w:val="14"/>
          <w:color w:val="auto"/>
        </w:rPr>
        <w:t>– Securites held by immediate family members living in your household, or securites held by your Controlled Enttes and other enttes in which you</w:t>
      </w:r>
      <w:r>
        <w:rPr>
          <w:rFonts w:ascii="Calibri" w:cs="Calibri" w:eastAsia="Calibri" w:hAnsi="Calibri"/>
          <w:sz w:val="14"/>
          <w:szCs w:val="14"/>
          <w:b w:val="1"/>
          <w:bCs w:val="1"/>
          <w:i w:val="1"/>
          <w:iCs w:val="1"/>
          <w:color w:val="auto"/>
        </w:rPr>
        <w:t xml:space="preserve"> </w:t>
      </w:r>
      <w:r>
        <w:rPr>
          <w:rFonts w:ascii="Calibri" w:cs="Calibri" w:eastAsia="Calibri" w:hAnsi="Calibri"/>
          <w:sz w:val="14"/>
          <w:szCs w:val="14"/>
          <w:color w:val="auto"/>
        </w:rPr>
        <w:t xml:space="preserve">have a pecuniary interest may be atributable to you for reportng. Accordingly, the Company asks that you identfy each relevant immediate family member, Controlled Entty and other entty in which you have a pecuniary interest that holds Company securites, and that you and each such party sign the Third Party Leter atached hereto as </w:t>
      </w:r>
      <w:r>
        <w:rPr>
          <w:rFonts w:ascii="Calibri" w:cs="Calibri" w:eastAsia="Calibri" w:hAnsi="Calibri"/>
          <w:sz w:val="14"/>
          <w:szCs w:val="14"/>
          <w:u w:val="single" w:color="auto"/>
          <w:color w:val="auto"/>
        </w:rPr>
        <w:t>Appendix B</w:t>
      </w:r>
      <w:r>
        <w:rPr>
          <w:rFonts w:ascii="Calibri" w:cs="Calibri" w:eastAsia="Calibri" w:hAnsi="Calibri"/>
          <w:sz w:val="14"/>
          <w:szCs w:val="14"/>
          <w:color w:val="auto"/>
        </w:rPr>
        <w:t>. The leter indicates that the signing partes agree to seek pre-clearance of their transactons in Company securites at least three days before their occurrence. The primary Insider Trading Compliance Ofcer or his designated representatve will then determine whether the transacton may proceed and, if so, assist in complying with the reportng requirements. The Company also asks that you identfy any brokers (other than Company-designated brokers) through whom you engage in transactons involving Company securites, and that you and each such broker execute a broker instructon leter, under which your broker agrees to verify pre-clearance with the Company (other than with respect to transactons made pursuant to a Rule 10b5-1 pre-approved plan) and promptly provide informaton to the Company regarding each transacton (including pursuant to a Rule 10b5-1 pre-approved plan) completed by the broker on your behalf.</w:t>
      </w:r>
    </w:p>
    <w:p>
      <w:pPr>
        <w:spacing w:after="0" w:line="353" w:lineRule="exact"/>
        <w:rPr>
          <w:rFonts w:ascii="Calibri" w:cs="Calibri" w:eastAsia="Calibri" w:hAnsi="Calibri"/>
          <w:sz w:val="14"/>
          <w:szCs w:val="14"/>
          <w:color w:val="auto"/>
        </w:rPr>
      </w:pPr>
    </w:p>
    <w:p>
      <w:pPr>
        <w:jc w:val="both"/>
        <w:ind w:left="380" w:hanging="372"/>
        <w:spacing w:after="0" w:line="245" w:lineRule="auto"/>
        <w:tabs>
          <w:tab w:leader="none" w:pos="380" w:val="left"/>
        </w:tabs>
        <w:numPr>
          <w:ilvl w:val="0"/>
          <w:numId w:val="160"/>
        </w:numPr>
        <w:rPr>
          <w:rFonts w:ascii="Calibri" w:cs="Calibri" w:eastAsia="Calibri" w:hAnsi="Calibri"/>
          <w:sz w:val="14"/>
          <w:szCs w:val="14"/>
          <w:color w:val="auto"/>
        </w:rPr>
      </w:pPr>
      <w:r>
        <w:rPr>
          <w:rFonts w:ascii="Calibri" w:cs="Calibri" w:eastAsia="Calibri" w:hAnsi="Calibri"/>
          <w:sz w:val="14"/>
          <w:szCs w:val="14"/>
          <w:b w:val="1"/>
          <w:bCs w:val="1"/>
          <w:i w:val="1"/>
          <w:iCs w:val="1"/>
          <w:color w:val="auto"/>
        </w:rPr>
        <w:t xml:space="preserve">Preparaton, Review and Filing of Reports </w:t>
      </w:r>
      <w:r>
        <w:rPr>
          <w:rFonts w:ascii="Calibri" w:cs="Calibri" w:eastAsia="Calibri" w:hAnsi="Calibri"/>
          <w:sz w:val="14"/>
          <w:szCs w:val="14"/>
          <w:color w:val="auto"/>
        </w:rPr>
        <w:t>– As in the past, the Company intends to assist in preparing and fling all required Secton 16 reports (Forms 3, 4, and 5) on your behalf, based</w:t>
      </w:r>
      <w:r>
        <w:rPr>
          <w:rFonts w:ascii="Calibri" w:cs="Calibri" w:eastAsia="Calibri" w:hAnsi="Calibri"/>
          <w:sz w:val="14"/>
          <w:szCs w:val="14"/>
          <w:b w:val="1"/>
          <w:bCs w:val="1"/>
          <w:i w:val="1"/>
          <w:iCs w:val="1"/>
          <w:color w:val="auto"/>
        </w:rPr>
        <w:t xml:space="preserve"> </w:t>
      </w:r>
      <w:r>
        <w:rPr>
          <w:rFonts w:ascii="Calibri" w:cs="Calibri" w:eastAsia="Calibri" w:hAnsi="Calibri"/>
          <w:sz w:val="14"/>
          <w:szCs w:val="14"/>
          <w:color w:val="auto"/>
        </w:rPr>
        <w:t>on the informaton provided to us by you, your broker, and other relevant third partes. The Company asks that you promptly review and/or sign each report prepared on your behalf if you are available to do so.</w:t>
      </w:r>
    </w:p>
    <w:p>
      <w:pPr>
        <w:spacing w:after="0" w:line="178" w:lineRule="exact"/>
        <w:rPr>
          <w:rFonts w:ascii="Calibri" w:cs="Calibri" w:eastAsia="Calibri" w:hAnsi="Calibri"/>
          <w:sz w:val="14"/>
          <w:szCs w:val="14"/>
          <w:color w:val="auto"/>
        </w:rPr>
      </w:pPr>
    </w:p>
    <w:p>
      <w:pPr>
        <w:ind w:left="380" w:hanging="372"/>
        <w:spacing w:after="0" w:line="245" w:lineRule="auto"/>
        <w:tabs>
          <w:tab w:leader="none" w:pos="380" w:val="left"/>
        </w:tabs>
        <w:numPr>
          <w:ilvl w:val="0"/>
          <w:numId w:val="160"/>
        </w:numPr>
        <w:rPr>
          <w:rFonts w:ascii="Calibri" w:cs="Calibri" w:eastAsia="Calibri" w:hAnsi="Calibri"/>
          <w:sz w:val="14"/>
          <w:szCs w:val="14"/>
          <w:color w:val="auto"/>
        </w:rPr>
      </w:pPr>
      <w:r>
        <w:rPr>
          <w:rFonts w:ascii="Calibri" w:cs="Calibri" w:eastAsia="Calibri" w:hAnsi="Calibri"/>
          <w:sz w:val="14"/>
          <w:szCs w:val="14"/>
          <w:b w:val="1"/>
          <w:bCs w:val="1"/>
          <w:i w:val="1"/>
          <w:iCs w:val="1"/>
          <w:color w:val="auto"/>
        </w:rPr>
        <w:t xml:space="preserve">Power of Atorney </w:t>
      </w:r>
      <w:r>
        <w:rPr>
          <w:rFonts w:ascii="Calibri" w:cs="Calibri" w:eastAsia="Calibri" w:hAnsi="Calibri"/>
          <w:sz w:val="14"/>
          <w:szCs w:val="14"/>
          <w:color w:val="auto"/>
        </w:rPr>
        <w:t>– Because of the two business day fling deadline, the Company asks that you sign and return promptly a Power of Atorney, a form of which will be provided to you.</w:t>
      </w:r>
      <w:r>
        <w:rPr>
          <w:rFonts w:ascii="Calibri" w:cs="Calibri" w:eastAsia="Calibri" w:hAnsi="Calibri"/>
          <w:sz w:val="14"/>
          <w:szCs w:val="14"/>
          <w:b w:val="1"/>
          <w:bCs w:val="1"/>
          <w:i w:val="1"/>
          <w:iCs w:val="1"/>
          <w:color w:val="auto"/>
        </w:rPr>
        <w:t xml:space="preserve"> </w:t>
      </w:r>
      <w:r>
        <w:rPr>
          <w:rFonts w:ascii="Calibri" w:cs="Calibri" w:eastAsia="Calibri" w:hAnsi="Calibri"/>
          <w:sz w:val="14"/>
          <w:szCs w:val="14"/>
          <w:color w:val="auto"/>
        </w:rPr>
        <w:t>The Power of Atorney will permit designated Company ofcers to sign reports on your behalf in the event you are not available for tmely signature.</w:t>
      </w:r>
    </w:p>
    <w:p>
      <w:pPr>
        <w:spacing w:after="0" w:line="177" w:lineRule="exact"/>
        <w:rPr>
          <w:rFonts w:ascii="Calibri" w:cs="Calibri" w:eastAsia="Calibri" w:hAnsi="Calibri"/>
          <w:sz w:val="14"/>
          <w:szCs w:val="14"/>
          <w:color w:val="auto"/>
        </w:rPr>
      </w:pPr>
    </w:p>
    <w:p>
      <w:pPr>
        <w:jc w:val="both"/>
        <w:ind w:left="380" w:hanging="372"/>
        <w:spacing w:after="0" w:line="246" w:lineRule="auto"/>
        <w:tabs>
          <w:tab w:leader="none" w:pos="380" w:val="left"/>
        </w:tabs>
        <w:numPr>
          <w:ilvl w:val="0"/>
          <w:numId w:val="160"/>
        </w:numPr>
        <w:rPr>
          <w:rFonts w:ascii="Calibri" w:cs="Calibri" w:eastAsia="Calibri" w:hAnsi="Calibri"/>
          <w:sz w:val="14"/>
          <w:szCs w:val="14"/>
          <w:color w:val="auto"/>
        </w:rPr>
      </w:pPr>
      <w:r>
        <w:rPr>
          <w:rFonts w:ascii="Calibri" w:cs="Calibri" w:eastAsia="Calibri" w:hAnsi="Calibri"/>
          <w:sz w:val="14"/>
          <w:szCs w:val="14"/>
          <w:b w:val="1"/>
          <w:bCs w:val="1"/>
          <w:i w:val="1"/>
          <w:iCs w:val="1"/>
          <w:color w:val="auto"/>
        </w:rPr>
        <w:t xml:space="preserve">Electronic Filing </w:t>
      </w:r>
      <w:r>
        <w:rPr>
          <w:rFonts w:ascii="Calibri" w:cs="Calibri" w:eastAsia="Calibri" w:hAnsi="Calibri"/>
          <w:sz w:val="14"/>
          <w:szCs w:val="14"/>
          <w:color w:val="auto"/>
        </w:rPr>
        <w:t>– The rules require mandatory electronic fling of all Secton 16 reportable transactons on EDGAR, the SEC’s electronic fling system. To fle a report on EDGAR, you will</w:t>
      </w:r>
      <w:r>
        <w:rPr>
          <w:rFonts w:ascii="Calibri" w:cs="Calibri" w:eastAsia="Calibri" w:hAnsi="Calibri"/>
          <w:sz w:val="14"/>
          <w:szCs w:val="14"/>
          <w:b w:val="1"/>
          <w:bCs w:val="1"/>
          <w:i w:val="1"/>
          <w:iCs w:val="1"/>
          <w:color w:val="auto"/>
        </w:rPr>
        <w:t xml:space="preserve"> </w:t>
      </w:r>
      <w:r>
        <w:rPr>
          <w:rFonts w:ascii="Calibri" w:cs="Calibri" w:eastAsia="Calibri" w:hAnsi="Calibri"/>
          <w:sz w:val="14"/>
          <w:szCs w:val="14"/>
          <w:color w:val="auto"/>
        </w:rPr>
        <w:t>need an EDGAR fling number and password from the SEC. We will obtain these access codes on your behalf, upon your signature and return of an SEC Form ID, a form of which will be provided to you. (Important: Please advise the General Counsel immediately if you already possess EDGAR codes for fling with another issuer, and supply the General Counsel with those codes. Otherwise, the fling of a new Form ID will cause your pre-existng codes to be nullifed by the EDGAR system, resultng in potental delays for your electronic flings.)</w:t>
      </w:r>
    </w:p>
    <w:p>
      <w:pPr>
        <w:spacing w:after="0" w:line="177" w:lineRule="exact"/>
        <w:rPr>
          <w:sz w:val="20"/>
          <w:szCs w:val="20"/>
          <w:color w:val="auto"/>
        </w:rPr>
      </w:pPr>
    </w:p>
    <w:p>
      <w:pPr>
        <w:spacing w:after="0" w:line="245" w:lineRule="auto"/>
        <w:rPr>
          <w:sz w:val="20"/>
          <w:szCs w:val="20"/>
          <w:color w:val="auto"/>
        </w:rPr>
      </w:pPr>
      <w:r>
        <w:rPr>
          <w:rFonts w:ascii="Calibri" w:cs="Calibri" w:eastAsia="Calibri" w:hAnsi="Calibri"/>
          <w:sz w:val="14"/>
          <w:szCs w:val="14"/>
          <w:b w:val="1"/>
          <w:bCs w:val="1"/>
          <w:color w:val="auto"/>
        </w:rPr>
        <w:t xml:space="preserve">Other Steps To Ensure Compliance </w:t>
      </w:r>
      <w:r>
        <w:rPr>
          <w:rFonts w:ascii="Calibri" w:cs="Calibri" w:eastAsia="Calibri" w:hAnsi="Calibri"/>
          <w:sz w:val="14"/>
          <w:szCs w:val="14"/>
          <w:color w:val="auto"/>
        </w:rPr>
        <w:t>– In order to help ensure tmely fling of reports, we will provide to our stock plan and employee beneft plan administrators, and our transfer agent, a</w:t>
      </w:r>
      <w:r>
        <w:rPr>
          <w:rFonts w:ascii="Calibri" w:cs="Calibri" w:eastAsia="Calibri" w:hAnsi="Calibri"/>
          <w:sz w:val="14"/>
          <w:szCs w:val="14"/>
          <w:b w:val="1"/>
          <w:bCs w:val="1"/>
          <w:color w:val="auto"/>
        </w:rPr>
        <w:t xml:space="preserve"> </w:t>
      </w:r>
      <w:r>
        <w:rPr>
          <w:rFonts w:ascii="Calibri" w:cs="Calibri" w:eastAsia="Calibri" w:hAnsi="Calibri"/>
          <w:sz w:val="14"/>
          <w:szCs w:val="14"/>
          <w:color w:val="auto"/>
        </w:rPr>
        <w:t>current list of our Secton 16 Insiders, and an instructon that they promptly notfy the Company of proposed or completed transactons by persons on the list.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915035</wp:posOffset>
            </wp:positionV>
            <wp:extent cx="7157720" cy="42545"/>
            <wp:wrapNone/>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74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64" w:right="339" w:bottom="1440" w:gutter="0" w:footer="0" w:header="0"/>
        </w:sectPr>
      </w:pPr>
    </w:p>
    <w:bookmarkStart w:id="191" w:name="page192"/>
    <w:bookmarkEnd w:id="191"/>
    <w:p>
      <w:pPr>
        <w:jc w:val="center"/>
        <w:ind w:right="-19"/>
        <w:spacing w:after="0"/>
        <w:rPr>
          <w:sz w:val="20"/>
          <w:szCs w:val="20"/>
          <w:color w:val="auto"/>
        </w:rPr>
      </w:pPr>
      <w:r>
        <w:rPr>
          <w:rFonts w:ascii="Calibri" w:cs="Calibri" w:eastAsia="Calibri" w:hAnsi="Calibri"/>
          <w:sz w:val="14"/>
          <w:szCs w:val="14"/>
          <w:b w:val="1"/>
          <w:bCs w:val="1"/>
          <w:color w:val="auto"/>
        </w:rPr>
        <w:t>Appendix A</w:t>
      </w:r>
    </w:p>
    <w:p>
      <w:pPr>
        <w:spacing w:after="0" w:line="113" w:lineRule="exact"/>
        <w:rPr>
          <w:sz w:val="20"/>
          <w:szCs w:val="20"/>
          <w:color w:val="auto"/>
        </w:rPr>
      </w:pPr>
    </w:p>
    <w:p>
      <w:pPr>
        <w:jc w:val="center"/>
        <w:ind w:right="-19"/>
        <w:spacing w:after="0"/>
        <w:rPr>
          <w:sz w:val="20"/>
          <w:szCs w:val="20"/>
          <w:color w:val="auto"/>
        </w:rPr>
      </w:pPr>
      <w:r>
        <w:rPr>
          <w:rFonts w:ascii="Calibri" w:cs="Calibri" w:eastAsia="Calibri" w:hAnsi="Calibri"/>
          <w:sz w:val="14"/>
          <w:szCs w:val="14"/>
          <w:b w:val="1"/>
          <w:bCs w:val="1"/>
          <w:u w:val="single" w:color="auto"/>
          <w:color w:val="auto"/>
        </w:rPr>
        <w:t>Certfcaton</w:t>
      </w:r>
    </w:p>
    <w:p>
      <w:pPr>
        <w:spacing w:after="0" w:line="113" w:lineRule="exact"/>
        <w:rPr>
          <w:sz w:val="20"/>
          <w:szCs w:val="20"/>
          <w:color w:val="auto"/>
        </w:rPr>
      </w:pPr>
    </w:p>
    <w:p>
      <w:pPr>
        <w:jc w:val="center"/>
        <w:ind w:right="-19"/>
        <w:spacing w:after="0"/>
        <w:rPr>
          <w:sz w:val="20"/>
          <w:szCs w:val="20"/>
          <w:color w:val="auto"/>
        </w:rPr>
      </w:pPr>
      <w:r>
        <w:rPr>
          <w:rFonts w:ascii="Calibri" w:cs="Calibri" w:eastAsia="Calibri" w:hAnsi="Calibri"/>
          <w:sz w:val="14"/>
          <w:szCs w:val="14"/>
          <w:color w:val="auto"/>
        </w:rPr>
        <w:t>(Sign and return to the Company.)</w:t>
      </w:r>
    </w:p>
    <w:p>
      <w:pPr>
        <w:spacing w:after="0" w:line="113" w:lineRule="exact"/>
        <w:rPr>
          <w:sz w:val="20"/>
          <w:szCs w:val="20"/>
          <w:color w:val="auto"/>
        </w:rPr>
      </w:pPr>
    </w:p>
    <w:p>
      <w:pPr>
        <w:jc w:val="center"/>
        <w:ind w:right="-19"/>
        <w:spacing w:after="0"/>
        <w:rPr>
          <w:sz w:val="20"/>
          <w:szCs w:val="20"/>
          <w:color w:val="auto"/>
        </w:rPr>
      </w:pPr>
      <w:r>
        <w:rPr>
          <w:rFonts w:ascii="Calibri" w:cs="Calibri" w:eastAsia="Calibri" w:hAnsi="Calibri"/>
          <w:sz w:val="14"/>
          <w:szCs w:val="14"/>
          <w:color w:val="auto"/>
        </w:rPr>
        <w:t>CERTIFICATION</w:t>
      </w:r>
    </w:p>
    <w:p>
      <w:pPr>
        <w:spacing w:after="0" w:line="396" w:lineRule="exact"/>
        <w:rPr>
          <w:sz w:val="20"/>
          <w:szCs w:val="20"/>
          <w:color w:val="auto"/>
        </w:rPr>
      </w:pPr>
    </w:p>
    <w:p>
      <w:pPr>
        <w:spacing w:after="0"/>
        <w:rPr>
          <w:sz w:val="20"/>
          <w:szCs w:val="20"/>
          <w:color w:val="auto"/>
        </w:rPr>
      </w:pPr>
      <w:r>
        <w:rPr>
          <w:rFonts w:ascii="Calibri" w:cs="Calibri" w:eastAsia="Calibri" w:hAnsi="Calibri"/>
          <w:sz w:val="14"/>
          <w:szCs w:val="14"/>
          <w:color w:val="auto"/>
        </w:rPr>
        <w:t>I certfy that:</w:t>
      </w:r>
    </w:p>
    <w:p>
      <w:pPr>
        <w:spacing w:after="0" w:line="181" w:lineRule="exact"/>
        <w:rPr>
          <w:sz w:val="20"/>
          <w:szCs w:val="20"/>
          <w:color w:val="auto"/>
        </w:rPr>
      </w:pPr>
    </w:p>
    <w:p>
      <w:pPr>
        <w:ind w:left="760" w:hanging="378"/>
        <w:spacing w:after="0" w:line="245" w:lineRule="auto"/>
        <w:tabs>
          <w:tab w:leader="none" w:pos="760" w:val="left"/>
        </w:tabs>
        <w:numPr>
          <w:ilvl w:val="0"/>
          <w:numId w:val="161"/>
        </w:numPr>
        <w:rPr>
          <w:rFonts w:ascii="Calibri" w:cs="Calibri" w:eastAsia="Calibri" w:hAnsi="Calibri"/>
          <w:sz w:val="14"/>
          <w:szCs w:val="14"/>
          <w:color w:val="auto"/>
        </w:rPr>
      </w:pPr>
      <w:r>
        <w:rPr>
          <w:rFonts w:ascii="Calibri" w:cs="Calibri" w:eastAsia="Calibri" w:hAnsi="Calibri"/>
          <w:sz w:val="14"/>
          <w:szCs w:val="14"/>
          <w:color w:val="auto"/>
        </w:rPr>
        <w:t>I have read and understand the compliance procedures of MicroStrategy Incorporated (the “Company”) covering pre-clearance and third party and broker interface procedures. I understand that the Company’s Ofce of the General Counsel is available to answer any questons I may have regarding the procedures.</w:t>
      </w:r>
    </w:p>
    <w:p>
      <w:pPr>
        <w:spacing w:after="0" w:line="110" w:lineRule="exact"/>
        <w:rPr>
          <w:rFonts w:ascii="Calibri" w:cs="Calibri" w:eastAsia="Calibri" w:hAnsi="Calibri"/>
          <w:sz w:val="14"/>
          <w:szCs w:val="14"/>
          <w:color w:val="auto"/>
        </w:rPr>
      </w:pPr>
    </w:p>
    <w:p>
      <w:pPr>
        <w:ind w:left="760" w:hanging="378"/>
        <w:spacing w:after="0" w:line="245" w:lineRule="auto"/>
        <w:tabs>
          <w:tab w:leader="none" w:pos="760" w:val="left"/>
        </w:tabs>
        <w:numPr>
          <w:ilvl w:val="0"/>
          <w:numId w:val="161"/>
        </w:numPr>
        <w:rPr>
          <w:rFonts w:ascii="Calibri" w:cs="Calibri" w:eastAsia="Calibri" w:hAnsi="Calibri"/>
          <w:sz w:val="14"/>
          <w:szCs w:val="14"/>
          <w:color w:val="auto"/>
        </w:rPr>
      </w:pPr>
      <w:r>
        <w:rPr>
          <w:rFonts w:ascii="Calibri" w:cs="Calibri" w:eastAsia="Calibri" w:hAnsi="Calibri"/>
          <w:sz w:val="14"/>
          <w:szCs w:val="14"/>
          <w:color w:val="auto"/>
        </w:rPr>
        <w:t>I will contnue to comply with the procedures (subject to change from tme to tme as indicated by the Company) for as long as I am subject to the Secton 16 Insider reportng requirements.</w:t>
      </w:r>
    </w:p>
    <w:p>
      <w:pPr>
        <w:spacing w:after="0" w:line="110" w:lineRule="exact"/>
        <w:rPr>
          <w:rFonts w:ascii="Calibri" w:cs="Calibri" w:eastAsia="Calibri" w:hAnsi="Calibri"/>
          <w:sz w:val="14"/>
          <w:szCs w:val="14"/>
          <w:color w:val="auto"/>
        </w:rPr>
      </w:pPr>
    </w:p>
    <w:p>
      <w:pPr>
        <w:ind w:left="760" w:hanging="378"/>
        <w:spacing w:after="0" w:line="245" w:lineRule="auto"/>
        <w:tabs>
          <w:tab w:leader="none" w:pos="760" w:val="left"/>
        </w:tabs>
        <w:numPr>
          <w:ilvl w:val="0"/>
          <w:numId w:val="161"/>
        </w:numPr>
        <w:rPr>
          <w:rFonts w:ascii="Calibri" w:cs="Calibri" w:eastAsia="Calibri" w:hAnsi="Calibri"/>
          <w:sz w:val="14"/>
          <w:szCs w:val="14"/>
          <w:color w:val="auto"/>
        </w:rPr>
      </w:pPr>
      <w:r>
        <w:rPr>
          <w:rFonts w:ascii="Calibri" w:cs="Calibri" w:eastAsia="Calibri" w:hAnsi="Calibri"/>
          <w:sz w:val="14"/>
          <w:szCs w:val="14"/>
          <w:color w:val="auto"/>
        </w:rPr>
        <w:t>I have delivered to the Company fully executed Third Party Leters in the form atached as Appendix B to the Addendum to Insider Trading Policy and a broker instructon leter providing for the maters required by the Addendum to Insider Trading Policy, in each case, to the extent applicable.</w:t>
      </w:r>
    </w:p>
    <w:p>
      <w:pPr>
        <w:spacing w:after="0" w:line="109" w:lineRule="exact"/>
        <w:rPr>
          <w:rFonts w:ascii="Calibri" w:cs="Calibri" w:eastAsia="Calibri" w:hAnsi="Calibri"/>
          <w:sz w:val="14"/>
          <w:szCs w:val="14"/>
          <w:color w:val="auto"/>
        </w:rPr>
      </w:pPr>
    </w:p>
    <w:p>
      <w:pPr>
        <w:ind w:left="760" w:hanging="378"/>
        <w:spacing w:after="0"/>
        <w:tabs>
          <w:tab w:leader="none" w:pos="760" w:val="left"/>
        </w:tabs>
        <w:numPr>
          <w:ilvl w:val="0"/>
          <w:numId w:val="161"/>
        </w:numPr>
        <w:rPr>
          <w:rFonts w:ascii="Calibri" w:cs="Calibri" w:eastAsia="Calibri" w:hAnsi="Calibri"/>
          <w:sz w:val="14"/>
          <w:szCs w:val="14"/>
          <w:color w:val="auto"/>
        </w:rPr>
      </w:pPr>
      <w:r>
        <w:rPr>
          <w:rFonts w:ascii="Calibri" w:cs="Calibri" w:eastAsia="Calibri" w:hAnsi="Calibri"/>
          <w:sz w:val="14"/>
          <w:szCs w:val="14"/>
          <w:color w:val="auto"/>
        </w:rPr>
        <w:t>I have notfed the Insider Trading Compliance Ofcers in writng of any outstanding trading plans.</w:t>
      </w:r>
    </w:p>
    <w:p>
      <w:pPr>
        <w:spacing w:after="0" w:line="396" w:lineRule="exact"/>
        <w:rPr>
          <w:sz w:val="20"/>
          <w:szCs w:val="20"/>
          <w:color w:val="auto"/>
        </w:rPr>
      </w:pPr>
    </w:p>
    <w:p>
      <w:pPr>
        <w:spacing w:after="0"/>
        <w:rPr>
          <w:sz w:val="20"/>
          <w:szCs w:val="20"/>
          <w:color w:val="auto"/>
        </w:rPr>
      </w:pPr>
      <w:r>
        <w:rPr>
          <w:rFonts w:ascii="Calibri" w:cs="Calibri" w:eastAsia="Calibri" w:hAnsi="Calibri"/>
          <w:sz w:val="14"/>
          <w:szCs w:val="14"/>
          <w:color w:val="auto"/>
        </w:rPr>
        <w:t>Signature:</w:t>
      </w:r>
    </w:p>
    <w:p>
      <w:pPr>
        <w:spacing w:after="0" w:line="396" w:lineRule="exact"/>
        <w:rPr>
          <w:sz w:val="20"/>
          <w:szCs w:val="20"/>
          <w:color w:val="auto"/>
        </w:rPr>
      </w:pPr>
    </w:p>
    <w:p>
      <w:pPr>
        <w:spacing w:after="0"/>
        <w:rPr>
          <w:sz w:val="20"/>
          <w:szCs w:val="20"/>
          <w:color w:val="auto"/>
        </w:rPr>
      </w:pPr>
      <w:r>
        <w:rPr>
          <w:rFonts w:ascii="Calibri" w:cs="Calibri" w:eastAsia="Calibri" w:hAnsi="Calibri"/>
          <w:sz w:val="14"/>
          <w:szCs w:val="14"/>
          <w:color w:val="auto"/>
        </w:rPr>
        <w:t>Print Name:</w:t>
      </w:r>
    </w:p>
    <w:p>
      <w:pPr>
        <w:spacing w:after="0" w:line="396" w:lineRule="exact"/>
        <w:rPr>
          <w:sz w:val="20"/>
          <w:szCs w:val="20"/>
          <w:color w:val="auto"/>
        </w:rPr>
      </w:pPr>
    </w:p>
    <w:p>
      <w:pPr>
        <w:spacing w:after="0"/>
        <w:rPr>
          <w:sz w:val="20"/>
          <w:szCs w:val="20"/>
          <w:color w:val="auto"/>
        </w:rPr>
      </w:pPr>
      <w:r>
        <w:rPr>
          <w:rFonts w:ascii="Calibri" w:cs="Calibri" w:eastAsia="Calibri" w:hAnsi="Calibri"/>
          <w:sz w:val="14"/>
          <w:szCs w:val="14"/>
          <w:color w:val="auto"/>
        </w:rPr>
        <w:t>Print Date: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986155</wp:posOffset>
            </wp:positionV>
            <wp:extent cx="7157720" cy="42545"/>
            <wp:wrapNone/>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74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72" w:right="339" w:bottom="1440" w:gutter="0" w:footer="0" w:header="0"/>
        </w:sectPr>
      </w:pPr>
    </w:p>
    <w:bookmarkStart w:id="192" w:name="page193"/>
    <w:bookmarkEnd w:id="192"/>
    <w:p>
      <w:pPr>
        <w:jc w:val="center"/>
        <w:spacing w:after="0"/>
        <w:rPr>
          <w:sz w:val="20"/>
          <w:szCs w:val="20"/>
          <w:color w:val="auto"/>
        </w:rPr>
      </w:pPr>
      <w:r>
        <w:rPr>
          <w:rFonts w:ascii="Calibri" w:cs="Calibri" w:eastAsia="Calibri" w:hAnsi="Calibri"/>
          <w:sz w:val="14"/>
          <w:szCs w:val="14"/>
          <w:b w:val="1"/>
          <w:bCs w:val="1"/>
          <w:color w:val="auto"/>
        </w:rPr>
        <w:t>Appendix B</w:t>
      </w:r>
    </w:p>
    <w:p>
      <w:pPr>
        <w:spacing w:after="0" w:line="113" w:lineRule="exact"/>
        <w:rPr>
          <w:sz w:val="20"/>
          <w:szCs w:val="20"/>
          <w:color w:val="auto"/>
        </w:rPr>
      </w:pPr>
    </w:p>
    <w:p>
      <w:pPr>
        <w:jc w:val="center"/>
        <w:spacing w:after="0"/>
        <w:rPr>
          <w:sz w:val="20"/>
          <w:szCs w:val="20"/>
          <w:color w:val="auto"/>
        </w:rPr>
      </w:pPr>
      <w:r>
        <w:rPr>
          <w:rFonts w:ascii="Calibri" w:cs="Calibri" w:eastAsia="Calibri" w:hAnsi="Calibri"/>
          <w:sz w:val="14"/>
          <w:szCs w:val="14"/>
          <w:b w:val="1"/>
          <w:bCs w:val="1"/>
          <w:u w:val="single" w:color="auto"/>
          <w:color w:val="auto"/>
        </w:rPr>
        <w:t>Third Party Leter</w:t>
      </w:r>
    </w:p>
    <w:p>
      <w:pPr>
        <w:spacing w:after="0" w:line="113" w:lineRule="exact"/>
        <w:rPr>
          <w:sz w:val="20"/>
          <w:szCs w:val="20"/>
          <w:color w:val="auto"/>
        </w:rPr>
      </w:pPr>
    </w:p>
    <w:p>
      <w:pPr>
        <w:jc w:val="center"/>
        <w:spacing w:after="0"/>
        <w:rPr>
          <w:sz w:val="20"/>
          <w:szCs w:val="20"/>
          <w:color w:val="auto"/>
        </w:rPr>
      </w:pPr>
      <w:r>
        <w:rPr>
          <w:rFonts w:ascii="Calibri" w:cs="Calibri" w:eastAsia="Calibri" w:hAnsi="Calibri"/>
          <w:sz w:val="14"/>
          <w:szCs w:val="14"/>
          <w:color w:val="auto"/>
        </w:rPr>
        <w:t>(Sign and forward directly to all relevant third partes.)</w:t>
      </w:r>
    </w:p>
    <w:p>
      <w:pPr>
        <w:spacing w:after="0" w:line="113" w:lineRule="exact"/>
        <w:rPr>
          <w:sz w:val="20"/>
          <w:szCs w:val="20"/>
          <w:color w:val="auto"/>
        </w:rPr>
      </w:pPr>
    </w:p>
    <w:p>
      <w:pPr>
        <w:jc w:val="center"/>
        <w:spacing w:after="0"/>
        <w:rPr>
          <w:sz w:val="20"/>
          <w:szCs w:val="20"/>
          <w:color w:val="auto"/>
        </w:rPr>
      </w:pPr>
      <w:r>
        <w:rPr>
          <w:rFonts w:ascii="Calibri" w:cs="Calibri" w:eastAsia="Calibri" w:hAnsi="Calibri"/>
          <w:sz w:val="14"/>
          <w:szCs w:val="14"/>
          <w:color w:val="auto"/>
        </w:rPr>
        <w:t>THIRD PARTY LETTER – IMMEDIATE ATTENTION REQUIRED</w:t>
      </w:r>
    </w:p>
    <w:p>
      <w:pPr>
        <w:spacing w:after="0" w:line="396" w:lineRule="exact"/>
        <w:rPr>
          <w:sz w:val="20"/>
          <w:szCs w:val="20"/>
          <w:color w:val="auto"/>
        </w:rPr>
      </w:pPr>
    </w:p>
    <w:p>
      <w:pPr>
        <w:spacing w:after="0"/>
        <w:rPr>
          <w:sz w:val="20"/>
          <w:szCs w:val="20"/>
          <w:color w:val="auto"/>
        </w:rPr>
      </w:pPr>
      <w:r>
        <w:rPr>
          <w:rFonts w:ascii="Calibri" w:cs="Calibri" w:eastAsia="Calibri" w:hAnsi="Calibri"/>
          <w:sz w:val="14"/>
          <w:szCs w:val="14"/>
          <w:b w:val="1"/>
          <w:bCs w:val="1"/>
          <w:color w:val="auto"/>
        </w:rPr>
        <w:t xml:space="preserve">TO: </w:t>
      </w:r>
      <w:r>
        <w:rPr>
          <w:rFonts w:ascii="Calibri" w:cs="Calibri" w:eastAsia="Calibri" w:hAnsi="Calibri"/>
          <w:sz w:val="14"/>
          <w:szCs w:val="14"/>
          <w:color w:val="auto"/>
        </w:rPr>
        <w:t>______________________________</w:t>
      </w:r>
      <w:r>
        <w:rPr>
          <w:rFonts w:ascii="Calibri" w:cs="Calibri" w:eastAsia="Calibri" w:hAnsi="Calibri"/>
          <w:sz w:val="14"/>
          <w:szCs w:val="14"/>
          <w:b w:val="1"/>
          <w:bCs w:val="1"/>
          <w:i w:val="1"/>
          <w:iCs w:val="1"/>
          <w:color w:val="auto"/>
        </w:rPr>
        <w:t>[Name of Third Party]</w:t>
      </w:r>
    </w:p>
    <w:p>
      <w:pPr>
        <w:spacing w:after="0" w:line="113" w:lineRule="exact"/>
        <w:rPr>
          <w:sz w:val="20"/>
          <w:szCs w:val="20"/>
          <w:color w:val="auto"/>
        </w:rPr>
      </w:pPr>
    </w:p>
    <w:p>
      <w:pPr>
        <w:spacing w:after="0"/>
        <w:tabs>
          <w:tab w:leader="none" w:pos="500" w:val="left"/>
        </w:tabs>
        <w:rPr>
          <w:sz w:val="20"/>
          <w:szCs w:val="20"/>
          <w:color w:val="auto"/>
        </w:rPr>
      </w:pPr>
      <w:r>
        <w:rPr>
          <w:rFonts w:ascii="Calibri" w:cs="Calibri" w:eastAsia="Calibri" w:hAnsi="Calibri"/>
          <w:sz w:val="14"/>
          <w:szCs w:val="14"/>
          <w:b w:val="1"/>
          <w:bCs w:val="1"/>
          <w:color w:val="auto"/>
        </w:rPr>
        <w:t>FROM:</w:t>
      </w:r>
      <w:r>
        <w:rPr>
          <w:sz w:val="20"/>
          <w:szCs w:val="20"/>
          <w:color w:val="auto"/>
        </w:rPr>
        <w:tab/>
      </w:r>
      <w:r>
        <w:rPr>
          <w:rFonts w:ascii="Calibri" w:cs="Calibri" w:eastAsia="Calibri" w:hAnsi="Calibri"/>
          <w:sz w:val="14"/>
          <w:szCs w:val="14"/>
          <w:color w:val="auto"/>
        </w:rPr>
        <w:t>______________________________</w:t>
      </w:r>
      <w:r>
        <w:rPr>
          <w:rFonts w:ascii="Calibri" w:cs="Calibri" w:eastAsia="Calibri" w:hAnsi="Calibri"/>
          <w:sz w:val="14"/>
          <w:szCs w:val="14"/>
          <w:b w:val="1"/>
          <w:bCs w:val="1"/>
          <w:i w:val="1"/>
          <w:iCs w:val="1"/>
          <w:color w:val="auto"/>
        </w:rPr>
        <w:t>[Name of Secton 16 Insider]</w:t>
      </w:r>
    </w:p>
    <w:p>
      <w:pPr>
        <w:spacing w:after="0" w:line="113" w:lineRule="exact"/>
        <w:rPr>
          <w:sz w:val="20"/>
          <w:szCs w:val="20"/>
          <w:color w:val="auto"/>
        </w:rPr>
      </w:pPr>
    </w:p>
    <w:p>
      <w:pPr>
        <w:spacing w:after="0"/>
        <w:tabs>
          <w:tab w:leader="none" w:pos="1020" w:val="left"/>
        </w:tabs>
        <w:rPr>
          <w:sz w:val="20"/>
          <w:szCs w:val="20"/>
          <w:color w:val="auto"/>
        </w:rPr>
      </w:pPr>
      <w:r>
        <w:rPr>
          <w:rFonts w:ascii="Calibri" w:cs="Calibri" w:eastAsia="Calibri" w:hAnsi="Calibri"/>
          <w:sz w:val="14"/>
          <w:szCs w:val="14"/>
          <w:b w:val="1"/>
          <w:bCs w:val="1"/>
          <w:color w:val="auto"/>
        </w:rPr>
        <w:t>RE:</w:t>
      </w:r>
      <w:r>
        <w:rPr>
          <w:sz w:val="20"/>
          <w:szCs w:val="20"/>
          <w:color w:val="auto"/>
        </w:rPr>
        <w:tab/>
      </w:r>
      <w:r>
        <w:rPr>
          <w:rFonts w:ascii="Calibri" w:cs="Calibri" w:eastAsia="Calibri" w:hAnsi="Calibri"/>
          <w:sz w:val="14"/>
          <w:szCs w:val="14"/>
          <w:b w:val="1"/>
          <w:bCs w:val="1"/>
          <w:color w:val="auto"/>
        </w:rPr>
        <w:t>Procedures for Transactons by Secton 16 Insiders Involving Securites of MicroStrategy Incorporated (the “Company”)</w:t>
      </w:r>
    </w:p>
    <w:p>
      <w:pPr>
        <w:spacing w:after="0" w:line="114" w:lineRule="exact"/>
        <w:rPr>
          <w:sz w:val="20"/>
          <w:szCs w:val="20"/>
          <w:color w:val="auto"/>
        </w:rPr>
      </w:pPr>
    </w:p>
    <w:p>
      <w:pPr>
        <w:jc w:val="both"/>
        <w:spacing w:after="0" w:line="245" w:lineRule="auto"/>
        <w:rPr>
          <w:sz w:val="20"/>
          <w:szCs w:val="20"/>
          <w:color w:val="auto"/>
        </w:rPr>
      </w:pPr>
      <w:r>
        <w:rPr>
          <w:rFonts w:ascii="Calibri" w:cs="Calibri" w:eastAsia="Calibri" w:hAnsi="Calibri"/>
          <w:sz w:val="14"/>
          <w:szCs w:val="14"/>
          <w:color w:val="auto"/>
        </w:rPr>
        <w:t>In order to comply with the fling requirements applicable to persons subject to Secton 16 of the Securites Exchange Act of 1934, as amended, the Company has insttuted compliance procedures, which require you to sign this form and immediately return it to the Company. You are being asked to complete this form because you are one of the following persons or enttes and you hold Company securites:</w:t>
      </w:r>
    </w:p>
    <w:p>
      <w:pPr>
        <w:spacing w:after="0" w:line="115" w:lineRule="exact"/>
        <w:rPr>
          <w:sz w:val="20"/>
          <w:szCs w:val="20"/>
          <w:color w:val="auto"/>
        </w:rPr>
      </w:pPr>
    </w:p>
    <w:p>
      <w:pPr>
        <w:ind w:left="760" w:hanging="378"/>
        <w:spacing w:after="0"/>
        <w:tabs>
          <w:tab w:leader="none" w:pos="760" w:val="left"/>
        </w:tabs>
        <w:numPr>
          <w:ilvl w:val="0"/>
          <w:numId w:val="162"/>
        </w:numPr>
        <w:rPr>
          <w:rFonts w:ascii="Times New Roman" w:cs="Times New Roman" w:eastAsia="Times New Roman" w:hAnsi="Times New Roman"/>
          <w:sz w:val="18"/>
          <w:szCs w:val="18"/>
          <w:color w:val="auto"/>
        </w:rPr>
      </w:pPr>
      <w:r>
        <w:rPr>
          <w:rFonts w:ascii="Calibri" w:cs="Calibri" w:eastAsia="Calibri" w:hAnsi="Calibri"/>
          <w:sz w:val="14"/>
          <w:szCs w:val="14"/>
          <w:color w:val="auto"/>
        </w:rPr>
        <w:t>An immediate member of my family and living in my household.</w:t>
      </w:r>
    </w:p>
    <w:p>
      <w:pPr>
        <w:spacing w:after="0" w:line="154" w:lineRule="exact"/>
        <w:rPr>
          <w:rFonts w:ascii="Times New Roman" w:cs="Times New Roman" w:eastAsia="Times New Roman" w:hAnsi="Times New Roman"/>
          <w:sz w:val="18"/>
          <w:szCs w:val="18"/>
          <w:color w:val="auto"/>
        </w:rPr>
      </w:pPr>
    </w:p>
    <w:p>
      <w:pPr>
        <w:ind w:right="860" w:firstLine="382"/>
        <w:spacing w:after="0" w:line="359" w:lineRule="auto"/>
        <w:tabs>
          <w:tab w:leader="none" w:pos="748" w:val="left"/>
        </w:tabs>
        <w:numPr>
          <w:ilvl w:val="0"/>
          <w:numId w:val="162"/>
        </w:numPr>
        <w:rPr>
          <w:rFonts w:ascii="Times New Roman" w:cs="Times New Roman" w:eastAsia="Times New Roman" w:hAnsi="Times New Roman"/>
          <w:sz w:val="18"/>
          <w:szCs w:val="18"/>
          <w:color w:val="auto"/>
        </w:rPr>
      </w:pPr>
      <w:r>
        <w:rPr>
          <w:rFonts w:ascii="Calibri" w:cs="Calibri" w:eastAsia="Calibri" w:hAnsi="Calibri"/>
          <w:sz w:val="14"/>
          <w:szCs w:val="14"/>
          <w:color w:val="auto"/>
        </w:rPr>
        <w:t>A Controlled Entty (as defned in the Company’s Insider Trading Policy) or other entty in which I have a reportable pecuniary interest that owns Company securites. You have advised me that the following informaton with respect to you is accurate, and you agree to promptly notfy the Company in writng of any change in such informaton. Full Legal Name: _____________________________________________________</w:t>
      </w:r>
    </w:p>
    <w:p>
      <w:pPr>
        <w:spacing w:after="0" w:line="28"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Calibri" w:cs="Calibri" w:eastAsia="Calibri" w:hAnsi="Calibri"/>
          <w:sz w:val="14"/>
          <w:szCs w:val="14"/>
          <w:color w:val="auto"/>
        </w:rPr>
        <w:t>Address:_____________________________________________________</w:t>
      </w:r>
    </w:p>
    <w:p>
      <w:pPr>
        <w:spacing w:after="0" w:line="113" w:lineRule="exact"/>
        <w:rPr>
          <w:sz w:val="20"/>
          <w:szCs w:val="20"/>
          <w:color w:val="auto"/>
        </w:rPr>
      </w:pPr>
    </w:p>
    <w:p>
      <w:pPr>
        <w:ind w:left="1300"/>
        <w:spacing w:after="0"/>
        <w:rPr>
          <w:sz w:val="20"/>
          <w:szCs w:val="20"/>
          <w:color w:val="auto"/>
        </w:rPr>
      </w:pPr>
      <w:r>
        <w:rPr>
          <w:rFonts w:ascii="Calibri" w:cs="Calibri" w:eastAsia="Calibri" w:hAnsi="Calibri"/>
          <w:sz w:val="14"/>
          <w:szCs w:val="14"/>
          <w:color w:val="auto"/>
        </w:rPr>
        <w:t>_____________________________________________________</w:t>
      </w:r>
    </w:p>
    <w:p>
      <w:pPr>
        <w:sectPr>
          <w:pgSz w:w="11900" w:h="16838" w:orient="portrait"/>
          <w:cols w:equalWidth="0" w:num="1">
            <w:col w:w="11240"/>
          </w:cols>
          <w:pgMar w:left="320" w:top="1272" w:right="339" w:bottom="1440" w:gutter="0" w:footer="0" w:header="0"/>
        </w:sectPr>
      </w:pP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Phone Number:</w:t>
      </w:r>
    </w:p>
    <w:p>
      <w:pPr>
        <w:spacing w:after="0" w:line="20" w:lineRule="exact"/>
        <w:rPr>
          <w:sz w:val="20"/>
          <w:szCs w:val="20"/>
          <w:color w:val="auto"/>
        </w:rPr>
      </w:pPr>
      <w:r>
        <w:rPr>
          <w:sz w:val="20"/>
          <w:szCs w:val="20"/>
          <w:color w:val="auto"/>
        </w:rPr>
        <w:br w:type="column"/>
      </w:r>
    </w:p>
    <w:p>
      <w:pPr>
        <w:spacing w:after="0" w:line="93" w:lineRule="exact"/>
        <w:rPr>
          <w:sz w:val="20"/>
          <w:szCs w:val="20"/>
          <w:color w:val="auto"/>
        </w:rPr>
      </w:pPr>
    </w:p>
    <w:p>
      <w:pPr>
        <w:spacing w:after="0"/>
        <w:rPr>
          <w:sz w:val="20"/>
          <w:szCs w:val="20"/>
          <w:color w:val="auto"/>
        </w:rPr>
      </w:pPr>
      <w:r>
        <w:rPr>
          <w:rFonts w:ascii="Calibri" w:cs="Calibri" w:eastAsia="Calibri" w:hAnsi="Calibri"/>
          <w:sz w:val="14"/>
          <w:szCs w:val="14"/>
          <w:color w:val="auto"/>
        </w:rPr>
        <w:t>_____________________________________________________</w:t>
      </w:r>
    </w:p>
    <w:p>
      <w:pPr>
        <w:spacing w:after="0" w:line="113" w:lineRule="exact"/>
        <w:rPr>
          <w:sz w:val="20"/>
          <w:szCs w:val="20"/>
          <w:color w:val="auto"/>
        </w:rPr>
      </w:pPr>
    </w:p>
    <w:p>
      <w:pPr>
        <w:sectPr>
          <w:pgSz w:w="11900" w:h="16838" w:orient="portrait"/>
          <w:cols w:equalWidth="0" w:num="2">
            <w:col w:w="940" w:space="360"/>
            <w:col w:w="9940"/>
          </w:cols>
          <w:pgMar w:left="320" w:top="1272" w:right="339" w:bottom="1440" w:gutter="0" w:footer="0" w:header="0"/>
          <w:type w:val="continuous"/>
        </w:sectPr>
      </w:pPr>
    </w:p>
    <w:p>
      <w:pPr>
        <w:spacing w:after="0"/>
        <w:rPr>
          <w:sz w:val="20"/>
          <w:szCs w:val="20"/>
          <w:color w:val="auto"/>
        </w:rPr>
      </w:pPr>
      <w:r>
        <w:rPr>
          <w:rFonts w:ascii="Calibri" w:cs="Calibri" w:eastAsia="Calibri" w:hAnsi="Calibri"/>
          <w:sz w:val="14"/>
          <w:szCs w:val="14"/>
          <w:color w:val="auto"/>
        </w:rPr>
        <w:t>Fax Number:</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Calibri" w:cs="Calibri" w:eastAsia="Calibri" w:hAnsi="Calibri"/>
          <w:sz w:val="14"/>
          <w:szCs w:val="14"/>
          <w:color w:val="auto"/>
        </w:rPr>
        <w:t>_____________________________________________________</w:t>
      </w:r>
    </w:p>
    <w:p>
      <w:pPr>
        <w:spacing w:after="0" w:line="113" w:lineRule="exact"/>
        <w:rPr>
          <w:sz w:val="20"/>
          <w:szCs w:val="20"/>
          <w:color w:val="auto"/>
        </w:rPr>
      </w:pPr>
    </w:p>
    <w:p>
      <w:pPr>
        <w:sectPr>
          <w:pgSz w:w="11900" w:h="16838" w:orient="portrait"/>
          <w:cols w:equalWidth="0" w:num="2">
            <w:col w:w="760" w:space="280"/>
            <w:col w:w="10200"/>
          </w:cols>
          <w:pgMar w:left="320" w:top="1272" w:right="339" w:bottom="1440" w:gutter="0" w:footer="0" w:header="0"/>
          <w:type w:val="continuous"/>
        </w:sectPr>
      </w:pPr>
    </w:p>
    <w:p>
      <w:pPr>
        <w:spacing w:after="0"/>
        <w:rPr>
          <w:sz w:val="20"/>
          <w:szCs w:val="20"/>
          <w:color w:val="auto"/>
        </w:rPr>
      </w:pPr>
      <w:r>
        <w:rPr>
          <w:rFonts w:ascii="Calibri" w:cs="Calibri" w:eastAsia="Calibri" w:hAnsi="Calibri"/>
          <w:sz w:val="14"/>
          <w:szCs w:val="14"/>
          <w:color w:val="auto"/>
        </w:rPr>
        <w:t>Email Address:</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Calibri" w:cs="Calibri" w:eastAsia="Calibri" w:hAnsi="Calibri"/>
          <w:sz w:val="14"/>
          <w:szCs w:val="14"/>
          <w:color w:val="auto"/>
        </w:rPr>
        <w:t>_____________________________________________________</w:t>
      </w:r>
    </w:p>
    <w:p>
      <w:pPr>
        <w:spacing w:after="0" w:line="114" w:lineRule="exact"/>
        <w:rPr>
          <w:sz w:val="20"/>
          <w:szCs w:val="20"/>
          <w:color w:val="auto"/>
        </w:rPr>
      </w:pPr>
    </w:p>
    <w:p>
      <w:pPr>
        <w:sectPr>
          <w:pgSz w:w="11900" w:h="16838" w:orient="portrait"/>
          <w:cols w:equalWidth="0" w:num="2">
            <w:col w:w="860" w:space="440"/>
            <w:col w:w="9940"/>
          </w:cols>
          <w:pgMar w:left="320" w:top="1272" w:right="339" w:bottom="1440" w:gutter="0" w:footer="0" w:header="0"/>
          <w:type w:val="continuous"/>
        </w:sectPr>
      </w:pPr>
    </w:p>
    <w:p>
      <w:pPr>
        <w:ind w:right="20"/>
        <w:spacing w:after="0" w:line="245" w:lineRule="auto"/>
        <w:rPr>
          <w:sz w:val="20"/>
          <w:szCs w:val="20"/>
          <w:color w:val="auto"/>
        </w:rPr>
      </w:pPr>
      <w:r>
        <w:rPr>
          <w:rFonts w:ascii="Calibri" w:cs="Calibri" w:eastAsia="Calibri" w:hAnsi="Calibri"/>
          <w:sz w:val="14"/>
          <w:szCs w:val="14"/>
          <w:b w:val="1"/>
          <w:bCs w:val="1"/>
          <w:color w:val="auto"/>
        </w:rPr>
        <w:t>You agree that prior to entering into any transacton involving Company securites, you will notfy the Company’s Insider Trading Compliance Ofcers (as defned in the Company’s Insider Trading Policy) three days in advance so that they may determine whether the transacton may proceed and, if so, assist in complying with the Secton 16 reportng requirements.</w:t>
      </w:r>
    </w:p>
    <w:p>
      <w:pPr>
        <w:spacing w:after="0" w:line="109" w:lineRule="exact"/>
        <w:rPr>
          <w:sz w:val="20"/>
          <w:szCs w:val="20"/>
          <w:color w:val="auto"/>
        </w:rPr>
      </w:pPr>
    </w:p>
    <w:p>
      <w:pPr>
        <w:spacing w:after="0"/>
        <w:rPr>
          <w:sz w:val="20"/>
          <w:szCs w:val="20"/>
          <w:color w:val="auto"/>
        </w:rPr>
      </w:pPr>
      <w:r>
        <w:rPr>
          <w:rFonts w:ascii="Calibri" w:cs="Calibri" w:eastAsia="Calibri" w:hAnsi="Calibri"/>
          <w:sz w:val="14"/>
          <w:szCs w:val="14"/>
          <w:color w:val="auto"/>
        </w:rPr>
        <w:t>Thank you for your prompt atenton and cooperaton in this mater.</w:t>
      </w:r>
    </w:p>
    <w:p>
      <w:pPr>
        <w:spacing w:after="0" w:line="113" w:lineRule="exact"/>
        <w:rPr>
          <w:sz w:val="20"/>
          <w:szCs w:val="20"/>
          <w:color w:val="auto"/>
        </w:rPr>
      </w:pPr>
    </w:p>
    <w:p>
      <w:pPr>
        <w:ind w:left="3760"/>
        <w:spacing w:after="0"/>
        <w:rPr>
          <w:sz w:val="20"/>
          <w:szCs w:val="20"/>
          <w:color w:val="auto"/>
        </w:rPr>
      </w:pPr>
      <w:r>
        <w:rPr>
          <w:rFonts w:ascii="Calibri" w:cs="Calibri" w:eastAsia="Calibri" w:hAnsi="Calibri"/>
          <w:sz w:val="14"/>
          <w:szCs w:val="14"/>
          <w:color w:val="auto"/>
        </w:rPr>
        <w:t>Sincerely,</w:t>
      </w:r>
    </w:p>
    <w:p>
      <w:pPr>
        <w:spacing w:after="0" w:line="113" w:lineRule="exact"/>
        <w:rPr>
          <w:sz w:val="20"/>
          <w:szCs w:val="20"/>
          <w:color w:val="auto"/>
        </w:rPr>
      </w:pPr>
    </w:p>
    <w:p>
      <w:pPr>
        <w:ind w:left="3920"/>
        <w:spacing w:after="0"/>
        <w:rPr>
          <w:sz w:val="20"/>
          <w:szCs w:val="20"/>
          <w:color w:val="auto"/>
        </w:rPr>
      </w:pPr>
      <w:r>
        <w:rPr>
          <w:rFonts w:ascii="Calibri" w:cs="Calibri" w:eastAsia="Calibri" w:hAnsi="Calibri"/>
          <w:sz w:val="14"/>
          <w:szCs w:val="14"/>
          <w:i w:val="1"/>
          <w:iCs w:val="1"/>
          <w:color w:val="auto"/>
        </w:rPr>
        <w:t>[Signature of Secton 16 Insider]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1492250</wp:posOffset>
            </wp:positionH>
            <wp:positionV relativeFrom="paragraph">
              <wp:posOffset>-12065</wp:posOffset>
            </wp:positionV>
            <wp:extent cx="991235" cy="8255"/>
            <wp:wrapNone/>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748">
                      <a:extLst>
                        <a:ext uri="{28A0092B-C50C-407E-A947-70E740481C1C}"/>
                      </a:extLst>
                    </a:blip>
                    <a:srcRect/>
                    <a:stretch>
                      <a:fillRect/>
                    </a:stretch>
                  </pic:blipFill>
                  <pic:spPr bwMode="auto">
                    <a:xfrm>
                      <a:off x="0" y="0"/>
                      <a:ext cx="991235" cy="8255"/>
                    </a:xfrm>
                    <a:prstGeom prst="rect">
                      <a:avLst/>
                    </a:prstGeom>
                    <a:noFill/>
                  </pic:spPr>
                </pic:pic>
              </a:graphicData>
            </a:graphic>
          </wp:anchor>
        </w:drawing>
      </w:r>
    </w:p>
    <w:p>
      <w:pPr>
        <w:spacing w:after="0" w:line="93" w:lineRule="exact"/>
        <w:rPr>
          <w:sz w:val="20"/>
          <w:szCs w:val="20"/>
          <w:color w:val="auto"/>
        </w:rPr>
      </w:pPr>
    </w:p>
    <w:p>
      <w:pPr>
        <w:ind w:left="2600"/>
        <w:spacing w:after="0"/>
        <w:rPr>
          <w:sz w:val="20"/>
          <w:szCs w:val="20"/>
          <w:color w:val="auto"/>
        </w:rPr>
      </w:pPr>
      <w:r>
        <w:rPr>
          <w:rFonts w:ascii="Calibri" w:cs="Calibri" w:eastAsia="Calibri" w:hAnsi="Calibri"/>
          <w:sz w:val="14"/>
          <w:szCs w:val="14"/>
          <w:color w:val="auto"/>
        </w:rPr>
        <w:t>Print Name:</w:t>
      </w:r>
    </w:p>
    <w:p>
      <w:pPr>
        <w:spacing w:after="0" w:line="396" w:lineRule="exact"/>
        <w:rPr>
          <w:sz w:val="20"/>
          <w:szCs w:val="20"/>
          <w:color w:val="auto"/>
        </w:rPr>
      </w:pPr>
    </w:p>
    <w:p>
      <w:pPr>
        <w:spacing w:after="0"/>
        <w:rPr>
          <w:sz w:val="20"/>
          <w:szCs w:val="20"/>
          <w:color w:val="auto"/>
        </w:rPr>
      </w:pPr>
      <w:r>
        <w:rPr>
          <w:rFonts w:ascii="Calibri" w:cs="Calibri" w:eastAsia="Calibri" w:hAnsi="Calibri"/>
          <w:sz w:val="14"/>
          <w:szCs w:val="14"/>
          <w:b w:val="1"/>
          <w:bCs w:val="1"/>
          <w:color w:val="auto"/>
        </w:rPr>
        <w:t>If Third Party is an individual:</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 xml:space="preserve">I, _________________________ </w:t>
      </w:r>
      <w:r>
        <w:rPr>
          <w:rFonts w:ascii="Calibri" w:cs="Calibri" w:eastAsia="Calibri" w:hAnsi="Calibri"/>
          <w:sz w:val="14"/>
          <w:szCs w:val="14"/>
          <w:i w:val="1"/>
          <w:iCs w:val="1"/>
          <w:color w:val="auto"/>
        </w:rPr>
        <w:t>[Name of Third Party Individual],</w:t>
      </w:r>
      <w:r>
        <w:rPr>
          <w:rFonts w:ascii="Calibri" w:cs="Calibri" w:eastAsia="Calibri" w:hAnsi="Calibri"/>
          <w:sz w:val="14"/>
          <w:szCs w:val="14"/>
          <w:color w:val="auto"/>
        </w:rPr>
        <w:t xml:space="preserve"> agree that I will comply with the above procedures.</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Signature:</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Print Name:</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Print Date:</w:t>
      </w:r>
    </w:p>
    <w:p>
      <w:pPr>
        <w:spacing w:after="0" w:line="396" w:lineRule="exact"/>
        <w:rPr>
          <w:sz w:val="20"/>
          <w:szCs w:val="20"/>
          <w:color w:val="auto"/>
        </w:rPr>
      </w:pPr>
    </w:p>
    <w:p>
      <w:pPr>
        <w:spacing w:after="0"/>
        <w:rPr>
          <w:sz w:val="20"/>
          <w:szCs w:val="20"/>
          <w:color w:val="auto"/>
        </w:rPr>
      </w:pPr>
      <w:r>
        <w:rPr>
          <w:rFonts w:ascii="Calibri" w:cs="Calibri" w:eastAsia="Calibri" w:hAnsi="Calibri"/>
          <w:sz w:val="14"/>
          <w:szCs w:val="14"/>
          <w:b w:val="1"/>
          <w:bCs w:val="1"/>
          <w:color w:val="auto"/>
        </w:rPr>
        <w:t>If Third Party is a business entty:</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 xml:space="preserve">I, a representatve of __________________________________________________ </w:t>
      </w:r>
      <w:r>
        <w:rPr>
          <w:rFonts w:ascii="Calibri" w:cs="Calibri" w:eastAsia="Calibri" w:hAnsi="Calibri"/>
          <w:sz w:val="14"/>
          <w:szCs w:val="14"/>
          <w:i w:val="1"/>
          <w:iCs w:val="1"/>
          <w:color w:val="auto"/>
        </w:rPr>
        <w:t>[Third Party Entty Name</w:t>
      </w:r>
      <w:r>
        <w:rPr>
          <w:rFonts w:ascii="Calibri" w:cs="Calibri" w:eastAsia="Calibri" w:hAnsi="Calibri"/>
          <w:sz w:val="14"/>
          <w:szCs w:val="14"/>
          <w:color w:val="auto"/>
        </w:rPr>
        <w:t>], authorized to sign on behalf of such entty, agree that I and other agents of such</w:t>
      </w:r>
    </w:p>
    <w:p>
      <w:pPr>
        <w:spacing w:after="0" w:line="5" w:lineRule="exact"/>
        <w:rPr>
          <w:sz w:val="20"/>
          <w:szCs w:val="20"/>
          <w:color w:val="auto"/>
        </w:rPr>
      </w:pPr>
    </w:p>
    <w:p>
      <w:pPr>
        <w:spacing w:after="0"/>
        <w:rPr>
          <w:sz w:val="20"/>
          <w:szCs w:val="20"/>
          <w:color w:val="auto"/>
        </w:rPr>
      </w:pPr>
      <w:r>
        <w:rPr>
          <w:rFonts w:ascii="Calibri" w:cs="Calibri" w:eastAsia="Calibri" w:hAnsi="Calibri"/>
          <w:sz w:val="14"/>
          <w:szCs w:val="14"/>
          <w:color w:val="auto"/>
        </w:rPr>
        <w:t>entty will comply with the above procedures.</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By:</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Print Name:</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Print Title:</w:t>
      </w:r>
    </w:p>
    <w:p>
      <w:pPr>
        <w:spacing w:after="0" w:line="113" w:lineRule="exact"/>
        <w:rPr>
          <w:sz w:val="20"/>
          <w:szCs w:val="20"/>
          <w:color w:val="auto"/>
        </w:rPr>
      </w:pPr>
    </w:p>
    <w:p>
      <w:pPr>
        <w:spacing w:after="0"/>
        <w:rPr>
          <w:sz w:val="20"/>
          <w:szCs w:val="20"/>
          <w:color w:val="auto"/>
        </w:rPr>
      </w:pPr>
      <w:r>
        <w:rPr>
          <w:rFonts w:ascii="Calibri" w:cs="Calibri" w:eastAsia="Calibri" w:hAnsi="Calibri"/>
          <w:sz w:val="14"/>
          <w:szCs w:val="14"/>
          <w:color w:val="auto"/>
        </w:rPr>
        <w:t>Print Date:</w:t>
      </w:r>
    </w:p>
    <w:p>
      <w:pPr>
        <w:spacing w:after="0" w:line="114" w:lineRule="exact"/>
        <w:rPr>
          <w:sz w:val="20"/>
          <w:szCs w:val="20"/>
          <w:color w:val="auto"/>
        </w:rPr>
      </w:pPr>
    </w:p>
    <w:p>
      <w:pPr>
        <w:ind w:right="20"/>
        <w:spacing w:after="0" w:line="245" w:lineRule="auto"/>
        <w:rPr>
          <w:sz w:val="20"/>
          <w:szCs w:val="20"/>
          <w:color w:val="auto"/>
        </w:rPr>
      </w:pPr>
      <w:r>
        <w:rPr>
          <w:rFonts w:ascii="Calibri" w:cs="Calibri" w:eastAsia="Calibri" w:hAnsi="Calibri"/>
          <w:sz w:val="14"/>
          <w:szCs w:val="14"/>
          <w:color w:val="auto"/>
        </w:rPr>
        <w:t>Please immediately complete, sign, and return this form to the Company’s General Counsel by email and mail the original to MicroStrategy Incorporated, 1850 Towers Crescent Plaza, Tysons Corner, VA 22182, Atn: General Counsel.</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983615</wp:posOffset>
            </wp:positionV>
            <wp:extent cx="7157720" cy="42545"/>
            <wp:wrapNone/>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74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72" w:right="339" w:bottom="1440" w:gutter="0" w:footer="0" w:header="0"/>
          <w:type w:val="continuous"/>
        </w:sectPr>
      </w:pPr>
    </w:p>
    <w:bookmarkStart w:id="193" w:name="page194"/>
    <w:bookmarkEnd w:id="193"/>
    <w:p>
      <w:pPr>
        <w:jc w:val="right"/>
        <w:spacing w:after="0"/>
        <w:rPr>
          <w:sz w:val="20"/>
          <w:szCs w:val="20"/>
          <w:color w:val="auto"/>
        </w:rPr>
      </w:pPr>
      <w:r>
        <w:rPr>
          <w:rFonts w:ascii="Times New Roman" w:cs="Times New Roman" w:eastAsia="Times New Roman" w:hAnsi="Times New Roman"/>
          <w:sz w:val="18"/>
          <w:szCs w:val="18"/>
          <w:b w:val="1"/>
          <w:bCs w:val="1"/>
          <w:color w:val="auto"/>
        </w:rPr>
        <w:t>Exhibit 21.1</w:t>
      </w:r>
    </w:p>
    <w:p>
      <w:pPr>
        <w:spacing w:after="0" w:line="225" w:lineRule="exact"/>
        <w:rPr>
          <w:sz w:val="20"/>
          <w:szCs w:val="20"/>
          <w:color w:val="auto"/>
        </w:rPr>
      </w:pPr>
    </w:p>
    <w:tbl>
      <w:tblPr>
        <w:tblLayout w:type="fixed"/>
        <w:tblInd w:w="10" w:type="dxa"/>
        <w:tblCellMar>
          <w:top w:w="0" w:type="dxa"/>
          <w:left w:w="0" w:type="dxa"/>
          <w:bottom w:w="0" w:type="dxa"/>
          <w:right w:w="0" w:type="dxa"/>
        </w:tblCellMar>
      </w:tblPr>
      <w:tr>
        <w:trPr>
          <w:trHeight w:val="238"/>
        </w:trPr>
        <w:tc>
          <w:tcPr>
            <w:tcW w:w="3560" w:type="dxa"/>
            <w:vAlign w:val="bottom"/>
          </w:tcPr>
          <w:p>
            <w:pPr>
              <w:spacing w:after="0"/>
              <w:rPr>
                <w:sz w:val="20"/>
                <w:szCs w:val="20"/>
                <w:color w:val="auto"/>
              </w:rPr>
            </w:pPr>
          </w:p>
        </w:tc>
        <w:tc>
          <w:tcPr>
            <w:tcW w:w="7680" w:type="dxa"/>
            <w:vAlign w:val="bottom"/>
            <w:gridSpan w:val="2"/>
          </w:tcPr>
          <w:p>
            <w:pPr>
              <w:ind w:left="460"/>
              <w:spacing w:after="0"/>
              <w:rPr>
                <w:sz w:val="20"/>
                <w:szCs w:val="20"/>
                <w:color w:val="auto"/>
              </w:rPr>
            </w:pPr>
            <w:r>
              <w:rPr>
                <w:rFonts w:ascii="Times New Roman" w:cs="Times New Roman" w:eastAsia="Times New Roman" w:hAnsi="Times New Roman"/>
                <w:sz w:val="18"/>
                <w:szCs w:val="18"/>
                <w:b w:val="1"/>
                <w:bCs w:val="1"/>
                <w:color w:val="auto"/>
              </w:rPr>
              <w:t>SUBSIDIARIES OF THE REGISTRANT</w:t>
            </w:r>
          </w:p>
        </w:tc>
      </w:tr>
      <w:tr>
        <w:trPr>
          <w:trHeight w:val="432"/>
        </w:trPr>
        <w:tc>
          <w:tcPr>
            <w:tcW w:w="1124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MicroStrategy Incorporated’s subsidiaries as of February 18, 2025 are listed below.</w:t>
            </w:r>
          </w:p>
        </w:tc>
      </w:tr>
      <w:tr>
        <w:trPr>
          <w:trHeight w:val="253"/>
        </w:trPr>
        <w:tc>
          <w:tcPr>
            <w:tcW w:w="3560" w:type="dxa"/>
            <w:vAlign w:val="bottom"/>
            <w:tcBorders>
              <w:bottom w:val="single" w:sz="8" w:color="auto"/>
            </w:tcBorders>
          </w:tcPr>
          <w:p>
            <w:pPr>
              <w:spacing w:after="0"/>
              <w:rPr>
                <w:sz w:val="21"/>
                <w:szCs w:val="21"/>
                <w:color w:val="auto"/>
              </w:rPr>
            </w:pPr>
          </w:p>
        </w:tc>
        <w:tc>
          <w:tcPr>
            <w:tcW w:w="2060" w:type="dxa"/>
            <w:vAlign w:val="bottom"/>
            <w:tcBorders>
              <w:bottom w:val="single" w:sz="8" w:color="auto"/>
            </w:tcBorders>
          </w:tcPr>
          <w:p>
            <w:pPr>
              <w:spacing w:after="0"/>
              <w:rPr>
                <w:sz w:val="21"/>
                <w:szCs w:val="21"/>
                <w:color w:val="auto"/>
              </w:rPr>
            </w:pPr>
          </w:p>
        </w:tc>
        <w:tc>
          <w:tcPr>
            <w:tcW w:w="5620" w:type="dxa"/>
            <w:vAlign w:val="bottom"/>
            <w:tcBorders>
              <w:bottom w:val="single" w:sz="8" w:color="auto"/>
            </w:tcBorders>
          </w:tcPr>
          <w:p>
            <w:pPr>
              <w:spacing w:after="0"/>
              <w:rPr>
                <w:sz w:val="21"/>
                <w:szCs w:val="21"/>
                <w:color w:val="auto"/>
              </w:rPr>
            </w:pPr>
          </w:p>
        </w:tc>
      </w:tr>
      <w:tr>
        <w:trPr>
          <w:trHeight w:val="154"/>
        </w:trPr>
        <w:tc>
          <w:tcPr>
            <w:tcW w:w="3560" w:type="dxa"/>
            <w:vAlign w:val="bottom"/>
            <w:tcBorders>
              <w:left w:val="single" w:sz="8" w:color="auto"/>
            </w:tcBorders>
          </w:tcPr>
          <w:p>
            <w:pPr>
              <w:ind w:left="40"/>
              <w:spacing w:after="0" w:line="154" w:lineRule="exact"/>
              <w:rPr>
                <w:sz w:val="20"/>
                <w:szCs w:val="20"/>
                <w:color w:val="auto"/>
              </w:rPr>
            </w:pPr>
            <w:r>
              <w:rPr>
                <w:rFonts w:ascii="Times New Roman" w:cs="Times New Roman" w:eastAsia="Times New Roman" w:hAnsi="Times New Roman"/>
                <w:sz w:val="17"/>
                <w:szCs w:val="17"/>
                <w:color w:val="auto"/>
              </w:rPr>
              <w:t>821,393 LLC</w:t>
            </w:r>
          </w:p>
        </w:tc>
        <w:tc>
          <w:tcPr>
            <w:tcW w:w="2060" w:type="dxa"/>
            <w:vAlign w:val="bottom"/>
            <w:tcBorders>
              <w:right w:val="single" w:sz="8" w:color="auto"/>
            </w:tcBorders>
          </w:tcPr>
          <w:p>
            <w:pPr>
              <w:spacing w:after="0"/>
              <w:rPr>
                <w:sz w:val="13"/>
                <w:szCs w:val="13"/>
                <w:color w:val="auto"/>
              </w:rPr>
            </w:pPr>
          </w:p>
        </w:tc>
        <w:tc>
          <w:tcPr>
            <w:tcW w:w="5620" w:type="dxa"/>
            <w:vAlign w:val="bottom"/>
            <w:tcBorders>
              <w:right w:val="single" w:sz="8" w:color="auto"/>
            </w:tcBorders>
          </w:tcPr>
          <w:p>
            <w:pPr>
              <w:ind w:left="100"/>
              <w:spacing w:after="0" w:line="154" w:lineRule="exact"/>
              <w:rPr>
                <w:sz w:val="20"/>
                <w:szCs w:val="20"/>
                <w:color w:val="auto"/>
              </w:rPr>
            </w:pPr>
            <w:r>
              <w:rPr>
                <w:rFonts w:ascii="Times New Roman" w:cs="Times New Roman" w:eastAsia="Times New Roman" w:hAnsi="Times New Roman"/>
                <w:sz w:val="17"/>
                <w:szCs w:val="17"/>
                <w:color w:val="auto"/>
              </w:rPr>
              <w:t>MicroStrategy Holdings (Hong Kong) Co. Ltd.</w:t>
            </w:r>
          </w:p>
        </w:tc>
      </w:tr>
      <w:tr>
        <w:trPr>
          <w:trHeight w:val="231"/>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(Hong Kong)</w:t>
            </w:r>
          </w:p>
        </w:tc>
      </w:tr>
      <w:tr>
        <w:trPr>
          <w:trHeight w:val="213"/>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MacroStrategy LLC</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Ibérica, S.L.U.</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100"/>
              <w:spacing w:after="0"/>
              <w:rPr>
                <w:sz w:val="20"/>
                <w:szCs w:val="20"/>
                <w:color w:val="auto"/>
              </w:rPr>
            </w:pPr>
            <w:r>
              <w:rPr>
                <w:rFonts w:ascii="Times New Roman" w:cs="Times New Roman" w:eastAsia="Times New Roman" w:hAnsi="Times New Roman"/>
                <w:sz w:val="18"/>
                <w:szCs w:val="18"/>
                <w:color w:val="auto"/>
              </w:rPr>
              <w:t>(Spain)</w:t>
            </w:r>
          </w:p>
        </w:tc>
      </w:tr>
      <w:tr>
        <w:trPr>
          <w:trHeight w:val="209"/>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Macro1 LLC</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India Private Limited</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100"/>
              <w:spacing w:after="0"/>
              <w:rPr>
                <w:sz w:val="20"/>
                <w:szCs w:val="20"/>
                <w:color w:val="auto"/>
              </w:rPr>
            </w:pPr>
            <w:r>
              <w:rPr>
                <w:rFonts w:ascii="Times New Roman" w:cs="Times New Roman" w:eastAsia="Times New Roman" w:hAnsi="Times New Roman"/>
                <w:sz w:val="18"/>
                <w:szCs w:val="18"/>
                <w:color w:val="auto"/>
              </w:rPr>
              <w:t>(India)</w:t>
            </w:r>
          </w:p>
        </w:tc>
      </w:tr>
      <w:tr>
        <w:trPr>
          <w:trHeight w:val="209"/>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Administration Corporation</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International Limited</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(Bermuda)</w:t>
            </w:r>
          </w:p>
        </w:tc>
      </w:tr>
      <w:tr>
        <w:trPr>
          <w:trHeight w:val="209"/>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Enterprises, Inc.</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International II Limited</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(Bermuda)</w:t>
            </w:r>
          </w:p>
        </w:tc>
      </w:tr>
      <w:tr>
        <w:trPr>
          <w:trHeight w:val="209"/>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GS Corporation</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Israel Ltd.</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(Israel)</w:t>
            </w:r>
          </w:p>
        </w:tc>
      </w:tr>
      <w:tr>
        <w:trPr>
          <w:trHeight w:val="209"/>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Management Corporation</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Italy S.r.l.</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(Italy)</w:t>
            </w:r>
          </w:p>
        </w:tc>
      </w:tr>
      <w:tr>
        <w:trPr>
          <w:trHeight w:val="210"/>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Services Corporation</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Japan Kabushiki Kaisha (MicroStrategy Japan Inc.)</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(Japan)</w:t>
            </w:r>
          </w:p>
        </w:tc>
      </w:tr>
      <w:tr>
        <w:trPr>
          <w:trHeight w:val="210"/>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Reporting Technologies, Inc.</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Korea Co., Ltd.</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(Korea)</w:t>
            </w:r>
          </w:p>
        </w:tc>
      </w:tr>
      <w:tr>
        <w:trPr>
          <w:trHeight w:val="210"/>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SMCR Corp.</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Limited</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(United Kingdom)</w:t>
            </w:r>
          </w:p>
        </w:tc>
      </w:tr>
      <w:tr>
        <w:trPr>
          <w:trHeight w:val="210"/>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Strategy.com Incorporated</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México, S. de R.L. de C.V.</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(Mexico)</w:t>
            </w:r>
          </w:p>
        </w:tc>
      </w:tr>
      <w:tr>
        <w:trPr>
          <w:trHeight w:val="210"/>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Usher Incorporated</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Middle East FZ-LLC</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(Delaware)</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(UAE – Dubai Free Zone)</w:t>
            </w:r>
          </w:p>
        </w:tc>
      </w:tr>
      <w:tr>
        <w:trPr>
          <w:trHeight w:val="209"/>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Austria GmbH</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Poland sp. z. o. o.</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(Austria)</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(Poland)</w:t>
            </w:r>
          </w:p>
        </w:tc>
      </w:tr>
      <w:tr>
        <w:trPr>
          <w:trHeight w:val="209"/>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Belgium BVBA</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Portugal, Sociedade Unipessoal, Lda.</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(Belgium)</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(Portugal)</w:t>
            </w:r>
          </w:p>
        </w:tc>
      </w:tr>
      <w:tr>
        <w:trPr>
          <w:trHeight w:val="209"/>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Benelux B.V.</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Pty. Ltd.</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(Netherlands)</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(Australia)</w:t>
            </w:r>
          </w:p>
        </w:tc>
      </w:tr>
      <w:tr>
        <w:trPr>
          <w:trHeight w:val="209"/>
        </w:trPr>
        <w:tc>
          <w:tcPr>
            <w:tcW w:w="3560" w:type="dxa"/>
            <w:vAlign w:val="bottom"/>
            <w:tcBorders>
              <w:left w:val="single" w:sz="8" w:color="auto"/>
              <w:bottom w:val="single" w:sz="8" w:color="auto"/>
            </w:tcBorders>
          </w:tcPr>
          <w:p>
            <w:pPr>
              <w:spacing w:after="0"/>
              <w:rPr>
                <w:sz w:val="18"/>
                <w:szCs w:val="18"/>
                <w:color w:val="auto"/>
              </w:rPr>
            </w:pPr>
          </w:p>
        </w:tc>
        <w:tc>
          <w:tcPr>
            <w:tcW w:w="206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3560" w:type="dxa"/>
            <w:vAlign w:val="bottom"/>
            <w:tcBorders>
              <w:lef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Brasil Ltda.</w:t>
            </w:r>
          </w:p>
        </w:tc>
        <w:tc>
          <w:tcPr>
            <w:tcW w:w="2060" w:type="dxa"/>
            <w:vAlign w:val="bottom"/>
            <w:tcBorders>
              <w:right w:val="single" w:sz="8" w:color="auto"/>
            </w:tcBorders>
          </w:tcPr>
          <w:p>
            <w:pPr>
              <w:spacing w:after="0"/>
              <w:rPr>
                <w:sz w:val="16"/>
                <w:szCs w:val="16"/>
                <w:color w:val="auto"/>
              </w:rPr>
            </w:pP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Singapore Pte. Ltd.</w:t>
            </w:r>
          </w:p>
        </w:tc>
      </w:tr>
      <w:tr>
        <w:trPr>
          <w:trHeight w:val="234"/>
        </w:trPr>
        <w:tc>
          <w:tcPr>
            <w:tcW w:w="3560" w:type="dxa"/>
            <w:vAlign w:val="bottom"/>
            <w:tcBorders>
              <w:left w:val="single" w:sz="8" w:color="auto"/>
              <w:bottom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(Brazil)</w:t>
            </w:r>
          </w:p>
        </w:tc>
        <w:tc>
          <w:tcPr>
            <w:tcW w:w="2060" w:type="dxa"/>
            <w:vAlign w:val="bottom"/>
            <w:tcBorders>
              <w:bottom w:val="single" w:sz="8" w:color="auto"/>
              <w:right w:val="single" w:sz="8" w:color="auto"/>
            </w:tcBorders>
          </w:tcPr>
          <w:p>
            <w:pPr>
              <w:spacing w:after="0"/>
              <w:rPr>
                <w:sz w:val="20"/>
                <w:szCs w:val="20"/>
                <w:color w:val="auto"/>
              </w:rPr>
            </w:pP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(Singapore)</w:t>
            </w:r>
          </w:p>
        </w:tc>
      </w:tr>
      <w:tr>
        <w:trPr>
          <w:trHeight w:val="1405"/>
        </w:trPr>
        <w:tc>
          <w:tcPr>
            <w:tcW w:w="3560" w:type="dxa"/>
            <w:vAlign w:val="bottom"/>
            <w:tcBorders>
              <w:bottom w:val="single" w:sz="8" w:color="9A9A9A"/>
            </w:tcBorders>
          </w:tcPr>
          <w:p>
            <w:pPr>
              <w:spacing w:after="0"/>
              <w:rPr>
                <w:sz w:val="24"/>
                <w:szCs w:val="24"/>
                <w:color w:val="auto"/>
              </w:rPr>
            </w:pPr>
          </w:p>
        </w:tc>
        <w:tc>
          <w:tcPr>
            <w:tcW w:w="2060" w:type="dxa"/>
            <w:vAlign w:val="bottom"/>
            <w:tcBorders>
              <w:bottom w:val="single" w:sz="8" w:color="9A9A9A"/>
            </w:tcBorders>
          </w:tcPr>
          <w:p>
            <w:pPr>
              <w:spacing w:after="0"/>
              <w:rPr>
                <w:sz w:val="24"/>
                <w:szCs w:val="24"/>
                <w:color w:val="auto"/>
              </w:rPr>
            </w:pPr>
          </w:p>
        </w:tc>
        <w:tc>
          <w:tcPr>
            <w:tcW w:w="56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750">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751">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194" w:name="page195"/>
    <w:bookmarkEnd w:id="194"/>
    <w:tbl>
      <w:tblPr>
        <w:tblLayout w:type="fixed"/>
        <w:tblInd w:w="10" w:type="dxa"/>
        <w:tblCellMar>
          <w:top w:w="0" w:type="dxa"/>
          <w:left w:w="0" w:type="dxa"/>
          <w:bottom w:w="0" w:type="dxa"/>
          <w:right w:w="0" w:type="dxa"/>
        </w:tblCellMar>
      </w:tblPr>
      <w:tr>
        <w:trPr>
          <w:trHeight w:val="249"/>
        </w:trPr>
        <w:tc>
          <w:tcPr>
            <w:tcW w:w="5620" w:type="dxa"/>
            <w:vAlign w:val="bottom"/>
            <w:tcBorders>
              <w:top w:val="single" w:sz="8" w:color="auto"/>
              <w:left w:val="single" w:sz="8" w:color="auto"/>
              <w:bottom w:val="single" w:sz="8" w:color="auto"/>
              <w:right w:val="single" w:sz="8" w:color="auto"/>
            </w:tcBorders>
          </w:tcPr>
          <w:p>
            <w:pPr>
              <w:spacing w:after="0"/>
              <w:rPr>
                <w:sz w:val="21"/>
                <w:szCs w:val="21"/>
                <w:color w:val="auto"/>
              </w:rPr>
            </w:pPr>
          </w:p>
        </w:tc>
        <w:tc>
          <w:tcPr>
            <w:tcW w:w="5620" w:type="dxa"/>
            <w:vAlign w:val="bottom"/>
            <w:tcBorders>
              <w:top w:val="single" w:sz="8" w:color="auto"/>
              <w:bottom w:val="single" w:sz="8" w:color="auto"/>
              <w:right w:val="single" w:sz="8" w:color="auto"/>
            </w:tcBorders>
          </w:tcPr>
          <w:p>
            <w:pPr>
              <w:spacing w:after="0"/>
              <w:rPr>
                <w:sz w:val="21"/>
                <w:szCs w:val="21"/>
                <w:color w:val="auto"/>
              </w:rPr>
            </w:pPr>
          </w:p>
        </w:tc>
      </w:tr>
      <w:tr>
        <w:trPr>
          <w:trHeight w:val="174"/>
        </w:trPr>
        <w:tc>
          <w:tcPr>
            <w:tcW w:w="5620" w:type="dxa"/>
            <w:vAlign w:val="bottom"/>
            <w:tcBorders>
              <w:left w:val="single" w:sz="8" w:color="auto"/>
              <w:right w:val="single" w:sz="8" w:color="auto"/>
            </w:tcBorders>
          </w:tcPr>
          <w:p>
            <w:pPr>
              <w:ind w:left="40"/>
              <w:spacing w:after="0" w:line="175" w:lineRule="exact"/>
              <w:rPr>
                <w:sz w:val="20"/>
                <w:szCs w:val="20"/>
                <w:color w:val="auto"/>
              </w:rPr>
            </w:pPr>
            <w:r>
              <w:rPr>
                <w:rFonts w:ascii="Times New Roman" w:cs="Times New Roman" w:eastAsia="Times New Roman" w:hAnsi="Times New Roman"/>
                <w:sz w:val="18"/>
                <w:szCs w:val="18"/>
                <w:color w:val="auto"/>
              </w:rPr>
              <w:t>MicroStrategy Canada Incorporated</w:t>
            </w:r>
          </w:p>
        </w:tc>
        <w:tc>
          <w:tcPr>
            <w:tcW w:w="5620" w:type="dxa"/>
            <w:vAlign w:val="bottom"/>
            <w:tcBorders>
              <w:right w:val="single" w:sz="8" w:color="auto"/>
            </w:tcBorders>
          </w:tcPr>
          <w:p>
            <w:pPr>
              <w:ind w:left="60"/>
              <w:spacing w:after="0" w:line="175" w:lineRule="exact"/>
              <w:rPr>
                <w:sz w:val="20"/>
                <w:szCs w:val="20"/>
                <w:color w:val="auto"/>
              </w:rPr>
            </w:pPr>
            <w:r>
              <w:rPr>
                <w:rFonts w:ascii="Times New Roman" w:cs="Times New Roman" w:eastAsia="Times New Roman" w:hAnsi="Times New Roman"/>
                <w:sz w:val="18"/>
                <w:szCs w:val="18"/>
                <w:color w:val="auto"/>
              </w:rPr>
              <w:t>MicroStrategy South Africa (Proprietary) Limited</w:t>
            </w:r>
          </w:p>
        </w:tc>
      </w:tr>
      <w:tr>
        <w:trPr>
          <w:trHeight w:val="234"/>
        </w:trPr>
        <w:tc>
          <w:tcPr>
            <w:tcW w:w="5620" w:type="dxa"/>
            <w:vAlign w:val="bottom"/>
            <w:tcBorders>
              <w:left w:val="single" w:sz="8" w:color="auto"/>
              <w:bottom w:val="single" w:sz="8" w:color="auto"/>
              <w:right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(Canada)</w:t>
            </w: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(South Africa)</w:t>
            </w:r>
          </w:p>
        </w:tc>
      </w:tr>
      <w:tr>
        <w:trPr>
          <w:trHeight w:val="210"/>
        </w:trPr>
        <w:tc>
          <w:tcPr>
            <w:tcW w:w="5620" w:type="dxa"/>
            <w:vAlign w:val="bottom"/>
            <w:tcBorders>
              <w:left w:val="single" w:sz="8" w:color="auto"/>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5620" w:type="dxa"/>
            <w:vAlign w:val="bottom"/>
            <w:tcBorders>
              <w:left w:val="single" w:sz="8" w:color="auto"/>
              <w:righ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China Technology Center Limited</w:t>
            </w: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Sweden AB</w:t>
            </w:r>
          </w:p>
        </w:tc>
      </w:tr>
      <w:tr>
        <w:trPr>
          <w:trHeight w:val="234"/>
        </w:trPr>
        <w:tc>
          <w:tcPr>
            <w:tcW w:w="5620" w:type="dxa"/>
            <w:vAlign w:val="bottom"/>
            <w:tcBorders>
              <w:left w:val="single" w:sz="8" w:color="auto"/>
              <w:bottom w:val="single" w:sz="8" w:color="auto"/>
              <w:right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(China)</w:t>
            </w: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(Sweden)</w:t>
            </w:r>
          </w:p>
        </w:tc>
      </w:tr>
      <w:tr>
        <w:trPr>
          <w:trHeight w:val="210"/>
        </w:trPr>
        <w:tc>
          <w:tcPr>
            <w:tcW w:w="5620" w:type="dxa"/>
            <w:vAlign w:val="bottom"/>
            <w:tcBorders>
              <w:left w:val="single" w:sz="8" w:color="auto"/>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5620" w:type="dxa"/>
            <w:vAlign w:val="bottom"/>
            <w:tcBorders>
              <w:left w:val="single" w:sz="8" w:color="auto"/>
              <w:righ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Denmark ApS</w:t>
            </w: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Switzerland GmbH</w:t>
            </w:r>
          </w:p>
        </w:tc>
      </w:tr>
      <w:tr>
        <w:trPr>
          <w:trHeight w:val="234"/>
        </w:trPr>
        <w:tc>
          <w:tcPr>
            <w:tcW w:w="5620" w:type="dxa"/>
            <w:vAlign w:val="bottom"/>
            <w:tcBorders>
              <w:left w:val="single" w:sz="8" w:color="auto"/>
              <w:bottom w:val="single" w:sz="8" w:color="auto"/>
              <w:right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(Denmark)</w:t>
            </w: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(Switzerland)</w:t>
            </w:r>
          </w:p>
        </w:tc>
      </w:tr>
      <w:tr>
        <w:trPr>
          <w:trHeight w:val="210"/>
        </w:trPr>
        <w:tc>
          <w:tcPr>
            <w:tcW w:w="5620" w:type="dxa"/>
            <w:vAlign w:val="bottom"/>
            <w:tcBorders>
              <w:left w:val="single" w:sz="8" w:color="auto"/>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5620" w:type="dxa"/>
            <w:vAlign w:val="bottom"/>
            <w:tcBorders>
              <w:left w:val="single" w:sz="8" w:color="auto"/>
              <w:righ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Deutschland GmbH</w:t>
            </w: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MicroStrategy Yazilim Hizmetleri Ve Ürünleri Limited Şirketi</w:t>
            </w:r>
          </w:p>
        </w:tc>
      </w:tr>
      <w:tr>
        <w:trPr>
          <w:trHeight w:val="234"/>
        </w:trPr>
        <w:tc>
          <w:tcPr>
            <w:tcW w:w="5620" w:type="dxa"/>
            <w:vAlign w:val="bottom"/>
            <w:tcBorders>
              <w:left w:val="single" w:sz="8" w:color="auto"/>
              <w:bottom w:val="single" w:sz="8" w:color="auto"/>
              <w:right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(Germany)</w:t>
            </w: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(Turkey)</w:t>
            </w:r>
          </w:p>
        </w:tc>
      </w:tr>
      <w:tr>
        <w:trPr>
          <w:trHeight w:val="210"/>
        </w:trPr>
        <w:tc>
          <w:tcPr>
            <w:tcW w:w="5620" w:type="dxa"/>
            <w:vAlign w:val="bottom"/>
            <w:tcBorders>
              <w:left w:val="single" w:sz="8" w:color="auto"/>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91"/>
        </w:trPr>
        <w:tc>
          <w:tcPr>
            <w:tcW w:w="5620" w:type="dxa"/>
            <w:vAlign w:val="bottom"/>
            <w:tcBorders>
              <w:left w:val="single" w:sz="8" w:color="auto"/>
              <w:right w:val="single" w:sz="8" w:color="auto"/>
            </w:tcBorders>
          </w:tcPr>
          <w:p>
            <w:pPr>
              <w:ind w:left="40"/>
              <w:spacing w:after="0" w:line="191" w:lineRule="exact"/>
              <w:rPr>
                <w:sz w:val="20"/>
                <w:szCs w:val="20"/>
                <w:color w:val="auto"/>
              </w:rPr>
            </w:pPr>
            <w:r>
              <w:rPr>
                <w:rFonts w:ascii="Times New Roman" w:cs="Times New Roman" w:eastAsia="Times New Roman" w:hAnsi="Times New Roman"/>
                <w:sz w:val="18"/>
                <w:szCs w:val="18"/>
                <w:color w:val="auto"/>
              </w:rPr>
              <w:t>MicroStrategy France SARL</w:t>
            </w:r>
          </w:p>
        </w:tc>
        <w:tc>
          <w:tcPr>
            <w:tcW w:w="5620" w:type="dxa"/>
            <w:vAlign w:val="bottom"/>
            <w:tcBorders>
              <w:right w:val="single" w:sz="8" w:color="auto"/>
            </w:tcBorders>
          </w:tcPr>
          <w:p>
            <w:pPr>
              <w:ind w:left="60"/>
              <w:spacing w:after="0" w:line="191" w:lineRule="exact"/>
              <w:rPr>
                <w:sz w:val="20"/>
                <w:szCs w:val="20"/>
                <w:color w:val="auto"/>
              </w:rPr>
            </w:pPr>
            <w:r>
              <w:rPr>
                <w:rFonts w:ascii="Times New Roman" w:cs="Times New Roman" w:eastAsia="Times New Roman" w:hAnsi="Times New Roman"/>
                <w:sz w:val="18"/>
                <w:szCs w:val="18"/>
                <w:color w:val="auto"/>
              </w:rPr>
              <w:t>Strategy.com International Limited</w:t>
            </w:r>
          </w:p>
        </w:tc>
      </w:tr>
      <w:tr>
        <w:trPr>
          <w:trHeight w:val="234"/>
        </w:trPr>
        <w:tc>
          <w:tcPr>
            <w:tcW w:w="5620" w:type="dxa"/>
            <w:vAlign w:val="bottom"/>
            <w:tcBorders>
              <w:left w:val="single" w:sz="8" w:color="auto"/>
              <w:bottom w:val="single" w:sz="8" w:color="auto"/>
              <w:right w:val="single" w:sz="8" w:color="auto"/>
            </w:tcBorders>
          </w:tcPr>
          <w:p>
            <w:pPr>
              <w:ind w:left="40"/>
              <w:spacing w:after="0"/>
              <w:rPr>
                <w:sz w:val="20"/>
                <w:szCs w:val="20"/>
                <w:color w:val="auto"/>
              </w:rPr>
            </w:pPr>
            <w:r>
              <w:rPr>
                <w:rFonts w:ascii="Times New Roman" w:cs="Times New Roman" w:eastAsia="Times New Roman" w:hAnsi="Times New Roman"/>
                <w:sz w:val="18"/>
                <w:szCs w:val="18"/>
                <w:color w:val="auto"/>
              </w:rPr>
              <w:t>(France)</w:t>
            </w:r>
          </w:p>
        </w:tc>
        <w:tc>
          <w:tcPr>
            <w:tcW w:w="5620" w:type="dxa"/>
            <w:vAlign w:val="bottom"/>
            <w:tcBorders>
              <w:bottom w:val="single" w:sz="8" w:color="auto"/>
              <w:right w:val="single" w:sz="8" w:color="auto"/>
            </w:tcBorders>
          </w:tcPr>
          <w:p>
            <w:pPr>
              <w:ind w:left="60"/>
              <w:spacing w:after="0"/>
              <w:rPr>
                <w:sz w:val="20"/>
                <w:szCs w:val="20"/>
                <w:color w:val="auto"/>
              </w:rPr>
            </w:pPr>
            <w:r>
              <w:rPr>
                <w:rFonts w:ascii="Times New Roman" w:cs="Times New Roman" w:eastAsia="Times New Roman" w:hAnsi="Times New Roman"/>
                <w:sz w:val="18"/>
                <w:szCs w:val="18"/>
                <w:color w:val="auto"/>
              </w:rPr>
              <w:t>(Bermuda)</w:t>
            </w:r>
          </w:p>
        </w:tc>
      </w:tr>
      <w:tr>
        <w:trPr>
          <w:trHeight w:val="210"/>
        </w:trPr>
        <w:tc>
          <w:tcPr>
            <w:tcW w:w="5620" w:type="dxa"/>
            <w:vAlign w:val="bottom"/>
            <w:tcBorders>
              <w:left w:val="single" w:sz="8" w:color="auto"/>
              <w:bottom w:val="single" w:sz="8" w:color="auto"/>
              <w:right w:val="single" w:sz="8" w:color="auto"/>
            </w:tcBorders>
          </w:tcPr>
          <w:p>
            <w:pPr>
              <w:spacing w:after="0"/>
              <w:rPr>
                <w:sz w:val="18"/>
                <w:szCs w:val="18"/>
                <w:color w:val="auto"/>
              </w:rPr>
            </w:pPr>
          </w:p>
        </w:tc>
        <w:tc>
          <w:tcPr>
            <w:tcW w:w="5620" w:type="dxa"/>
            <w:vAlign w:val="bottom"/>
            <w:tcBorders>
              <w:bottom w:val="single" w:sz="8" w:color="auto"/>
              <w:right w:val="single" w:sz="8" w:color="auto"/>
            </w:tcBorders>
          </w:tcPr>
          <w:p>
            <w:pPr>
              <w:spacing w:after="0"/>
              <w:rPr>
                <w:sz w:val="18"/>
                <w:szCs w:val="18"/>
                <w:color w:val="auto"/>
              </w:rPr>
            </w:pPr>
          </w:p>
        </w:tc>
      </w:tr>
      <w:tr>
        <w:trPr>
          <w:trHeight w:val="1404"/>
        </w:trPr>
        <w:tc>
          <w:tcPr>
            <w:tcW w:w="5620" w:type="dxa"/>
            <w:vAlign w:val="bottom"/>
            <w:tcBorders>
              <w:bottom w:val="single" w:sz="8" w:color="9A9A9A"/>
            </w:tcBorders>
          </w:tcPr>
          <w:p>
            <w:pPr>
              <w:spacing w:after="0"/>
              <w:rPr>
                <w:sz w:val="24"/>
                <w:szCs w:val="24"/>
                <w:color w:val="auto"/>
              </w:rPr>
            </w:pPr>
          </w:p>
        </w:tc>
        <w:tc>
          <w:tcPr>
            <w:tcW w:w="56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752">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753">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412" w:right="339" w:bottom="1440" w:gutter="0" w:footer="0" w:header="0"/>
        </w:sectPr>
      </w:pPr>
    </w:p>
    <w:bookmarkStart w:id="195" w:name="page196"/>
    <w:bookmarkEnd w:id="195"/>
    <w:p>
      <w:pPr>
        <w:jc w:val="right"/>
        <w:spacing w:after="0"/>
        <w:rPr>
          <w:sz w:val="20"/>
          <w:szCs w:val="20"/>
          <w:color w:val="auto"/>
        </w:rPr>
      </w:pPr>
      <w:r>
        <w:rPr>
          <w:rFonts w:ascii="Times New Roman" w:cs="Times New Roman" w:eastAsia="Times New Roman" w:hAnsi="Times New Roman"/>
          <w:sz w:val="18"/>
          <w:szCs w:val="18"/>
          <w:b w:val="1"/>
          <w:bCs w:val="1"/>
          <w:color w:val="auto"/>
        </w:rPr>
        <w:t>Exhibit 23.1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CONSENT OF INDEPENDENT REGISTERED PUBLIC ACCOUNTING FIRM</w:t>
      </w:r>
    </w:p>
    <w:p>
      <w:pPr>
        <w:spacing w:after="0" w:line="200" w:lineRule="exact"/>
        <w:rPr>
          <w:sz w:val="20"/>
          <w:szCs w:val="20"/>
          <w:color w:val="auto"/>
        </w:rPr>
      </w:pPr>
    </w:p>
    <w:p>
      <w:pPr>
        <w:spacing w:after="0" w:line="24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consent to the incorporation by reference in the registration statements (No. 333-272283, No. 333-197645, No. 333-228431, No. 333-252608, and No. 333-266463) on Form S-8 and registration statements (No. 333-281175 and No. 333-284510) on Form S-3ASR of our reports dated February 18, 2025, with respect to the consolidated financial statements of MicroStrategy Incorporated and the effectiveness of internal control over financial reporting.</w:t>
      </w:r>
    </w:p>
    <w:p>
      <w:pPr>
        <w:spacing w:after="0" w:line="200" w:lineRule="exact"/>
        <w:rPr>
          <w:sz w:val="20"/>
          <w:szCs w:val="20"/>
          <w:color w:val="auto"/>
        </w:rPr>
      </w:pPr>
    </w:p>
    <w:p>
      <w:pPr>
        <w:spacing w:after="0" w:line="200" w:lineRule="exact"/>
        <w:rPr>
          <w:sz w:val="20"/>
          <w:szCs w:val="20"/>
          <w:color w:val="auto"/>
        </w:rPr>
      </w:pPr>
    </w:p>
    <w:p>
      <w:pPr>
        <w:spacing w:after="0" w:line="20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 KPMG LLP</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McLean, Virginia</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February 18, 2025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1021715</wp:posOffset>
            </wp:positionV>
            <wp:extent cx="7157720" cy="42545"/>
            <wp:wrapNone/>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75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196" w:name="page197"/>
    <w:bookmarkEnd w:id="196"/>
    <w:p>
      <w:pPr>
        <w:jc w:val="right"/>
        <w:spacing w:after="0"/>
        <w:rPr>
          <w:sz w:val="20"/>
          <w:szCs w:val="20"/>
          <w:color w:val="auto"/>
        </w:rPr>
      </w:pPr>
      <w:r>
        <w:rPr>
          <w:rFonts w:ascii="Times New Roman" w:cs="Times New Roman" w:eastAsia="Times New Roman" w:hAnsi="Times New Roman"/>
          <w:sz w:val="18"/>
          <w:szCs w:val="18"/>
          <w:b w:val="1"/>
          <w:bCs w:val="1"/>
          <w:color w:val="auto"/>
        </w:rPr>
        <w:t>Exhibit 31.1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CERTIFICATION</w:t>
      </w:r>
    </w:p>
    <w:p>
      <w:pPr>
        <w:spacing w:after="0" w:line="2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 Phong Le, certify that:</w:t>
      </w:r>
    </w:p>
    <w:p>
      <w:pPr>
        <w:spacing w:after="0" w:line="117" w:lineRule="exact"/>
        <w:rPr>
          <w:sz w:val="20"/>
          <w:szCs w:val="20"/>
          <w:color w:val="auto"/>
        </w:rPr>
      </w:pPr>
    </w:p>
    <w:p>
      <w:pPr>
        <w:ind w:left="1020" w:hanging="503"/>
        <w:spacing w:after="0"/>
        <w:tabs>
          <w:tab w:leader="none" w:pos="1020" w:val="left"/>
        </w:tabs>
        <w:numPr>
          <w:ilvl w:val="0"/>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have reviewed this Annual Report on Form 10-K of MicroStrategy Incorporated;</w:t>
      </w:r>
    </w:p>
    <w:p>
      <w:pPr>
        <w:spacing w:after="0" w:line="117" w:lineRule="exact"/>
        <w:rPr>
          <w:rFonts w:ascii="Times New Roman" w:cs="Times New Roman" w:eastAsia="Times New Roman" w:hAnsi="Times New Roman"/>
          <w:sz w:val="18"/>
          <w:szCs w:val="18"/>
          <w:color w:val="auto"/>
        </w:rPr>
      </w:pPr>
    </w:p>
    <w:p>
      <w:pPr>
        <w:jc w:val="both"/>
        <w:ind w:left="1020" w:hanging="503"/>
        <w:spacing w:after="0" w:line="266" w:lineRule="auto"/>
        <w:tabs>
          <w:tab w:leader="none" w:pos="1020" w:val="left"/>
        </w:tabs>
        <w:numPr>
          <w:ilvl w:val="0"/>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pPr>
        <w:spacing w:after="0" w:line="67"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Based on my knowledge, the financial statements, and other financial information included in this report, fairly present in all material respects the financial condition, results of operations and cash flows of the registrant as of, and for, the periods presented in this report;</w:t>
      </w:r>
    </w:p>
    <w:p>
      <w:pPr>
        <w:spacing w:after="0" w:line="53" w:lineRule="exact"/>
        <w:rPr>
          <w:rFonts w:ascii="Times New Roman" w:cs="Times New Roman" w:eastAsia="Times New Roman" w:hAnsi="Times New Roman"/>
          <w:sz w:val="18"/>
          <w:szCs w:val="18"/>
          <w:color w:val="auto"/>
        </w:rPr>
      </w:pPr>
    </w:p>
    <w:p>
      <w:pPr>
        <w:jc w:val="both"/>
        <w:ind w:left="1020" w:hanging="503"/>
        <w:spacing w:after="0" w:line="266" w:lineRule="auto"/>
        <w:tabs>
          <w:tab w:leader="none" w:pos="1020" w:val="left"/>
        </w:tabs>
        <w:numPr>
          <w:ilvl w:val="0"/>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registrant’s other certifying officer and I are responsible for establishing and maintaining disclosure controls and procedures (as defined in Exchange Act Rules 13a-15(e) and 15d-15(e)) and internal control over financial reporting (as defined in Exchange Act Rules 13a-15(f) and 15d-15(f)) for the registrant and have:</w:t>
      </w:r>
    </w:p>
    <w:p>
      <w:pPr>
        <w:spacing w:after="0" w:line="67" w:lineRule="exact"/>
        <w:rPr>
          <w:rFonts w:ascii="Times New Roman" w:cs="Times New Roman" w:eastAsia="Times New Roman" w:hAnsi="Times New Roman"/>
          <w:sz w:val="18"/>
          <w:szCs w:val="18"/>
          <w:color w:val="auto"/>
        </w:rPr>
      </w:pPr>
    </w:p>
    <w:p>
      <w:pPr>
        <w:ind w:left="2040" w:hanging="503"/>
        <w:spacing w:after="0" w:line="266" w:lineRule="auto"/>
        <w:tabs>
          <w:tab w:leader="none" w:pos="1891" w:val="left"/>
        </w:tabs>
        <w:numPr>
          <w:ilvl w:val="1"/>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pPr>
        <w:spacing w:after="0" w:line="67" w:lineRule="exact"/>
        <w:rPr>
          <w:rFonts w:ascii="Times New Roman" w:cs="Times New Roman" w:eastAsia="Times New Roman" w:hAnsi="Times New Roman"/>
          <w:sz w:val="18"/>
          <w:szCs w:val="18"/>
          <w:color w:val="auto"/>
        </w:rPr>
      </w:pPr>
    </w:p>
    <w:p>
      <w:pPr>
        <w:ind w:left="2040" w:right="20" w:hanging="503"/>
        <w:spacing w:after="0" w:line="266" w:lineRule="auto"/>
        <w:tabs>
          <w:tab w:leader="none" w:pos="1891" w:val="left"/>
        </w:tabs>
        <w:numPr>
          <w:ilvl w:val="1"/>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pPr>
        <w:spacing w:after="0" w:line="67" w:lineRule="exact"/>
        <w:rPr>
          <w:rFonts w:ascii="Times New Roman" w:cs="Times New Roman" w:eastAsia="Times New Roman" w:hAnsi="Times New Roman"/>
          <w:sz w:val="18"/>
          <w:szCs w:val="18"/>
          <w:color w:val="auto"/>
        </w:rPr>
      </w:pPr>
    </w:p>
    <w:p>
      <w:pPr>
        <w:ind w:left="2040" w:right="20" w:hanging="503"/>
        <w:spacing w:after="0" w:line="266" w:lineRule="auto"/>
        <w:tabs>
          <w:tab w:leader="none" w:pos="1891" w:val="left"/>
        </w:tabs>
        <w:numPr>
          <w:ilvl w:val="1"/>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Evaluated the effectiveness of the registrant’s disclosure controls and procedures and presented in this report our conclusions about the effectiveness of the disclosure controls and procedures, as of the end of the period covered by this report based on such evaluation; and</w:t>
      </w:r>
    </w:p>
    <w:p>
      <w:pPr>
        <w:spacing w:after="0" w:line="67" w:lineRule="exact"/>
        <w:rPr>
          <w:rFonts w:ascii="Times New Roman" w:cs="Times New Roman" w:eastAsia="Times New Roman" w:hAnsi="Times New Roman"/>
          <w:sz w:val="18"/>
          <w:szCs w:val="18"/>
          <w:color w:val="auto"/>
        </w:rPr>
      </w:pPr>
    </w:p>
    <w:p>
      <w:pPr>
        <w:ind w:left="2040" w:right="20" w:hanging="503"/>
        <w:spacing w:after="0" w:line="266" w:lineRule="auto"/>
        <w:tabs>
          <w:tab w:leader="none" w:pos="1891" w:val="left"/>
        </w:tabs>
        <w:numPr>
          <w:ilvl w:val="1"/>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Disclosed in this report any change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pPr>
        <w:spacing w:after="0" w:line="67"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registrant’s other certifying officer and I have disclosed, based on our most recent evaluation of internal control over financial reporting, to the registrant’s auditors and the audit committee of the registrant’s board of directors (or persons performing the equivalent functions):</w:t>
      </w:r>
    </w:p>
    <w:p>
      <w:pPr>
        <w:spacing w:after="0" w:line="53" w:lineRule="exact"/>
        <w:rPr>
          <w:rFonts w:ascii="Times New Roman" w:cs="Times New Roman" w:eastAsia="Times New Roman" w:hAnsi="Times New Roman"/>
          <w:sz w:val="18"/>
          <w:szCs w:val="18"/>
          <w:color w:val="auto"/>
        </w:rPr>
      </w:pPr>
    </w:p>
    <w:p>
      <w:pPr>
        <w:ind w:left="2040" w:hanging="503"/>
        <w:spacing w:after="0" w:line="266" w:lineRule="auto"/>
        <w:tabs>
          <w:tab w:leader="none" w:pos="1891" w:val="left"/>
        </w:tabs>
        <w:numPr>
          <w:ilvl w:val="1"/>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 significant deficiencies and material weaknesses in the design or operation of internal control over financial reporting which are reasonably likely to adversely affect the registrant’s ability to record, process, summarize and report financial information; and</w:t>
      </w:r>
    </w:p>
    <w:p>
      <w:pPr>
        <w:spacing w:after="0" w:line="67" w:lineRule="exact"/>
        <w:rPr>
          <w:rFonts w:ascii="Times New Roman" w:cs="Times New Roman" w:eastAsia="Times New Roman" w:hAnsi="Times New Roman"/>
          <w:sz w:val="18"/>
          <w:szCs w:val="18"/>
          <w:color w:val="auto"/>
        </w:rPr>
      </w:pPr>
    </w:p>
    <w:p>
      <w:pPr>
        <w:ind w:left="2040" w:right="20" w:hanging="503"/>
        <w:spacing w:after="0" w:line="282" w:lineRule="auto"/>
        <w:tabs>
          <w:tab w:leader="none" w:pos="1891" w:val="left"/>
        </w:tabs>
        <w:numPr>
          <w:ilvl w:val="1"/>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fraud, whether or not material, that involves management or other employees who have a significant role in the registrant’s internal control over financial reporting.</w:t>
      </w:r>
    </w:p>
    <w:p>
      <w:pPr>
        <w:spacing w:after="0" w:line="162"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52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Dated: February 18, 2025</w:t>
            </w:r>
          </w:p>
        </w:tc>
        <w:tc>
          <w:tcPr>
            <w:tcW w:w="6040" w:type="dxa"/>
            <w:vAlign w:val="bottom"/>
            <w:tcBorders>
              <w:bottom w:val="single" w:sz="8" w:color="auto"/>
            </w:tcBorders>
          </w:tcPr>
          <w:p>
            <w:pPr>
              <w:ind w:left="20"/>
              <w:spacing w:after="0"/>
              <w:rPr>
                <w:sz w:val="20"/>
                <w:szCs w:val="20"/>
                <w:color w:val="auto"/>
              </w:rPr>
            </w:pPr>
            <w:r>
              <w:rPr>
                <w:rFonts w:ascii="Times New Roman" w:cs="Times New Roman" w:eastAsia="Times New Roman" w:hAnsi="Times New Roman"/>
                <w:sz w:val="18"/>
                <w:szCs w:val="18"/>
                <w:color w:val="auto"/>
              </w:rPr>
              <w:t>/s/ Phong Le</w:t>
            </w:r>
          </w:p>
        </w:tc>
      </w:tr>
      <w:tr>
        <w:trPr>
          <w:trHeight w:val="191"/>
        </w:trPr>
        <w:tc>
          <w:tcPr>
            <w:tcW w:w="5200" w:type="dxa"/>
            <w:vAlign w:val="bottom"/>
          </w:tcPr>
          <w:p>
            <w:pPr>
              <w:spacing w:after="0"/>
              <w:rPr>
                <w:sz w:val="16"/>
                <w:szCs w:val="16"/>
                <w:color w:val="auto"/>
              </w:rPr>
            </w:pPr>
          </w:p>
        </w:tc>
        <w:tc>
          <w:tcPr>
            <w:tcW w:w="6040" w:type="dxa"/>
            <w:vAlign w:val="bottom"/>
          </w:tcPr>
          <w:p>
            <w:pPr>
              <w:ind w:left="20"/>
              <w:spacing w:after="0" w:line="191" w:lineRule="exact"/>
              <w:rPr>
                <w:sz w:val="20"/>
                <w:szCs w:val="20"/>
                <w:color w:val="auto"/>
              </w:rPr>
            </w:pPr>
            <w:r>
              <w:rPr>
                <w:rFonts w:ascii="Times New Roman" w:cs="Times New Roman" w:eastAsia="Times New Roman" w:hAnsi="Times New Roman"/>
                <w:sz w:val="18"/>
                <w:szCs w:val="18"/>
                <w:color w:val="auto"/>
              </w:rPr>
              <w:t>Phong Le</w:t>
            </w:r>
          </w:p>
        </w:tc>
      </w:tr>
      <w:tr>
        <w:trPr>
          <w:trHeight w:val="234"/>
        </w:trPr>
        <w:tc>
          <w:tcPr>
            <w:tcW w:w="5200" w:type="dxa"/>
            <w:vAlign w:val="bottom"/>
          </w:tcPr>
          <w:p>
            <w:pPr>
              <w:spacing w:after="0"/>
              <w:rPr>
                <w:sz w:val="20"/>
                <w:szCs w:val="20"/>
                <w:color w:val="auto"/>
              </w:rPr>
            </w:pPr>
          </w:p>
        </w:tc>
        <w:tc>
          <w:tcPr>
            <w:tcW w:w="6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President &amp; Chief Executive Officer</w:t>
            </w:r>
          </w:p>
        </w:tc>
      </w:tr>
      <w:tr>
        <w:trPr>
          <w:trHeight w:val="1856"/>
        </w:trPr>
        <w:tc>
          <w:tcPr>
            <w:tcW w:w="5200" w:type="dxa"/>
            <w:vAlign w:val="bottom"/>
            <w:tcBorders>
              <w:bottom w:val="single" w:sz="8" w:color="9A9A9A"/>
            </w:tcBorders>
          </w:tcPr>
          <w:p>
            <w:pPr>
              <w:spacing w:after="0"/>
              <w:rPr>
                <w:sz w:val="24"/>
                <w:szCs w:val="24"/>
                <w:color w:val="auto"/>
              </w:rPr>
            </w:pPr>
          </w:p>
        </w:tc>
        <w:tc>
          <w:tcPr>
            <w:tcW w:w="604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755">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756">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197" w:name="page198"/>
    <w:bookmarkEnd w:id="197"/>
    <w:p>
      <w:pPr>
        <w:jc w:val="right"/>
        <w:spacing w:after="0"/>
        <w:rPr>
          <w:sz w:val="20"/>
          <w:szCs w:val="20"/>
          <w:color w:val="auto"/>
        </w:rPr>
      </w:pPr>
      <w:r>
        <w:rPr>
          <w:rFonts w:ascii="Times New Roman" w:cs="Times New Roman" w:eastAsia="Times New Roman" w:hAnsi="Times New Roman"/>
          <w:sz w:val="18"/>
          <w:szCs w:val="18"/>
          <w:b w:val="1"/>
          <w:bCs w:val="1"/>
          <w:color w:val="auto"/>
        </w:rPr>
        <w:t>Exhibit 31.2</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CERTIFICATION</w:t>
      </w:r>
    </w:p>
    <w:p>
      <w:pPr>
        <w:spacing w:after="0" w:line="2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 Andrew Kang, certify that:</w:t>
      </w:r>
    </w:p>
    <w:p>
      <w:pPr>
        <w:spacing w:after="0" w:line="117" w:lineRule="exact"/>
        <w:rPr>
          <w:sz w:val="20"/>
          <w:szCs w:val="20"/>
          <w:color w:val="auto"/>
        </w:rPr>
      </w:pPr>
    </w:p>
    <w:p>
      <w:pPr>
        <w:ind w:left="1020" w:hanging="503"/>
        <w:spacing w:after="0"/>
        <w:tabs>
          <w:tab w:leader="none" w:pos="1020" w:val="left"/>
        </w:tabs>
        <w:numPr>
          <w:ilvl w:val="0"/>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have reviewed this Annual Report on Form 10-K of MicroStrategy Incorporated;</w:t>
      </w:r>
    </w:p>
    <w:p>
      <w:pPr>
        <w:spacing w:after="0" w:line="117" w:lineRule="exact"/>
        <w:rPr>
          <w:rFonts w:ascii="Times New Roman" w:cs="Times New Roman" w:eastAsia="Times New Roman" w:hAnsi="Times New Roman"/>
          <w:sz w:val="18"/>
          <w:szCs w:val="18"/>
          <w:color w:val="auto"/>
        </w:rPr>
      </w:pPr>
    </w:p>
    <w:p>
      <w:pPr>
        <w:jc w:val="both"/>
        <w:ind w:left="1020" w:hanging="503"/>
        <w:spacing w:after="0" w:line="266" w:lineRule="auto"/>
        <w:tabs>
          <w:tab w:leader="none" w:pos="1020" w:val="left"/>
        </w:tabs>
        <w:numPr>
          <w:ilvl w:val="0"/>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pPr>
        <w:spacing w:after="0" w:line="67"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Based on my knowledge, the financial statements, and other financial information included in this report, fairly present in all material respects the financial condition, results of operations and cash flows of the registrant as of, and for, the periods presented in this report;</w:t>
      </w:r>
    </w:p>
    <w:p>
      <w:pPr>
        <w:spacing w:after="0" w:line="53" w:lineRule="exact"/>
        <w:rPr>
          <w:rFonts w:ascii="Times New Roman" w:cs="Times New Roman" w:eastAsia="Times New Roman" w:hAnsi="Times New Roman"/>
          <w:sz w:val="18"/>
          <w:szCs w:val="18"/>
          <w:color w:val="auto"/>
        </w:rPr>
      </w:pPr>
    </w:p>
    <w:p>
      <w:pPr>
        <w:jc w:val="both"/>
        <w:ind w:left="1020" w:hanging="503"/>
        <w:spacing w:after="0" w:line="266" w:lineRule="auto"/>
        <w:tabs>
          <w:tab w:leader="none" w:pos="1020" w:val="left"/>
        </w:tabs>
        <w:numPr>
          <w:ilvl w:val="0"/>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registrant’s other certifying officer and I are responsible for establishing and maintaining disclosure controls and procedures (as defined in Exchange Act Rules 13a-15(e) and 15d-15(e)) and internal control over financial reporting (as defined in Exchange Act Rules 13a-15(f) and 15d-15(f)) for the registrant and have:</w:t>
      </w:r>
    </w:p>
    <w:p>
      <w:pPr>
        <w:spacing w:after="0" w:line="67" w:lineRule="exact"/>
        <w:rPr>
          <w:rFonts w:ascii="Times New Roman" w:cs="Times New Roman" w:eastAsia="Times New Roman" w:hAnsi="Times New Roman"/>
          <w:sz w:val="18"/>
          <w:szCs w:val="18"/>
          <w:color w:val="auto"/>
        </w:rPr>
      </w:pPr>
    </w:p>
    <w:p>
      <w:pPr>
        <w:ind w:left="2040" w:hanging="503"/>
        <w:spacing w:after="0" w:line="266" w:lineRule="auto"/>
        <w:tabs>
          <w:tab w:leader="none" w:pos="1891" w:val="left"/>
        </w:tabs>
        <w:numPr>
          <w:ilvl w:val="1"/>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pPr>
        <w:spacing w:after="0" w:line="67" w:lineRule="exact"/>
        <w:rPr>
          <w:rFonts w:ascii="Times New Roman" w:cs="Times New Roman" w:eastAsia="Times New Roman" w:hAnsi="Times New Roman"/>
          <w:sz w:val="18"/>
          <w:szCs w:val="18"/>
          <w:color w:val="auto"/>
        </w:rPr>
      </w:pPr>
    </w:p>
    <w:p>
      <w:pPr>
        <w:ind w:left="2040" w:right="20" w:hanging="503"/>
        <w:spacing w:after="0" w:line="266" w:lineRule="auto"/>
        <w:tabs>
          <w:tab w:leader="none" w:pos="1891" w:val="left"/>
        </w:tabs>
        <w:numPr>
          <w:ilvl w:val="1"/>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pPr>
        <w:spacing w:after="0" w:line="67" w:lineRule="exact"/>
        <w:rPr>
          <w:rFonts w:ascii="Times New Roman" w:cs="Times New Roman" w:eastAsia="Times New Roman" w:hAnsi="Times New Roman"/>
          <w:sz w:val="18"/>
          <w:szCs w:val="18"/>
          <w:color w:val="auto"/>
        </w:rPr>
      </w:pPr>
    </w:p>
    <w:p>
      <w:pPr>
        <w:ind w:left="2040" w:right="20" w:hanging="503"/>
        <w:spacing w:after="0" w:line="266" w:lineRule="auto"/>
        <w:tabs>
          <w:tab w:leader="none" w:pos="1891" w:val="left"/>
        </w:tabs>
        <w:numPr>
          <w:ilvl w:val="1"/>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Evaluated the effectiveness of the registrant’s disclosure controls and procedures and presented in this report our conclusions about the effectiveness of the disclosure controls and procedures, as of the end of the period covered by this report based on such evaluation; and</w:t>
      </w:r>
    </w:p>
    <w:p>
      <w:pPr>
        <w:spacing w:after="0" w:line="67" w:lineRule="exact"/>
        <w:rPr>
          <w:rFonts w:ascii="Times New Roman" w:cs="Times New Roman" w:eastAsia="Times New Roman" w:hAnsi="Times New Roman"/>
          <w:sz w:val="18"/>
          <w:szCs w:val="18"/>
          <w:color w:val="auto"/>
        </w:rPr>
      </w:pPr>
    </w:p>
    <w:p>
      <w:pPr>
        <w:ind w:left="2040" w:right="20" w:hanging="503"/>
        <w:spacing w:after="0" w:line="266" w:lineRule="auto"/>
        <w:tabs>
          <w:tab w:leader="none" w:pos="1891" w:val="left"/>
        </w:tabs>
        <w:numPr>
          <w:ilvl w:val="1"/>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Disclosed in this report any change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pPr>
        <w:spacing w:after="0" w:line="67"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registrant’s other certifying officer and I have disclosed, based on our most recent evaluation of internal control over financial reporting, to the registrant’s auditors and the audit committee of the registrant’s board of directors (or persons performing the equivalent functions):</w:t>
      </w:r>
    </w:p>
    <w:p>
      <w:pPr>
        <w:spacing w:after="0" w:line="53" w:lineRule="exact"/>
        <w:rPr>
          <w:rFonts w:ascii="Times New Roman" w:cs="Times New Roman" w:eastAsia="Times New Roman" w:hAnsi="Times New Roman"/>
          <w:sz w:val="18"/>
          <w:szCs w:val="18"/>
          <w:color w:val="auto"/>
        </w:rPr>
      </w:pPr>
    </w:p>
    <w:p>
      <w:pPr>
        <w:ind w:left="2040" w:hanging="503"/>
        <w:spacing w:after="0" w:line="266" w:lineRule="auto"/>
        <w:tabs>
          <w:tab w:leader="none" w:pos="1891" w:val="left"/>
        </w:tabs>
        <w:numPr>
          <w:ilvl w:val="1"/>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 significant deficiencies and material weaknesses in the design or operation of internal control over financial reporting which are reasonably likely to adversely affect the registrant’s ability to record, process, summarize and report financial information; and</w:t>
      </w:r>
    </w:p>
    <w:p>
      <w:pPr>
        <w:spacing w:after="0" w:line="67" w:lineRule="exact"/>
        <w:rPr>
          <w:rFonts w:ascii="Times New Roman" w:cs="Times New Roman" w:eastAsia="Times New Roman" w:hAnsi="Times New Roman"/>
          <w:sz w:val="18"/>
          <w:szCs w:val="18"/>
          <w:color w:val="auto"/>
        </w:rPr>
      </w:pPr>
    </w:p>
    <w:p>
      <w:pPr>
        <w:ind w:left="2040" w:right="20" w:hanging="503"/>
        <w:spacing w:after="0" w:line="282" w:lineRule="auto"/>
        <w:tabs>
          <w:tab w:leader="none" w:pos="1891" w:val="left"/>
        </w:tabs>
        <w:numPr>
          <w:ilvl w:val="1"/>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fraud, whether or not material, that involves management or other employees who have a significant role in the registrant’s internal control over financial reporting.</w:t>
      </w:r>
    </w:p>
    <w:p>
      <w:pPr>
        <w:spacing w:after="0" w:line="162"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52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Dated: February 18, 2025</w:t>
            </w:r>
          </w:p>
        </w:tc>
        <w:tc>
          <w:tcPr>
            <w:tcW w:w="6040" w:type="dxa"/>
            <w:vAlign w:val="bottom"/>
            <w:tcBorders>
              <w:bottom w:val="single" w:sz="8" w:color="auto"/>
            </w:tcBorders>
          </w:tcPr>
          <w:p>
            <w:pPr>
              <w:ind w:left="20"/>
              <w:spacing w:after="0"/>
              <w:rPr>
                <w:sz w:val="20"/>
                <w:szCs w:val="20"/>
                <w:color w:val="auto"/>
              </w:rPr>
            </w:pPr>
            <w:r>
              <w:rPr>
                <w:rFonts w:ascii="Times New Roman" w:cs="Times New Roman" w:eastAsia="Times New Roman" w:hAnsi="Times New Roman"/>
                <w:sz w:val="18"/>
                <w:szCs w:val="18"/>
                <w:color w:val="auto"/>
              </w:rPr>
              <w:t>/s/ Andrew Kang</w:t>
            </w:r>
          </w:p>
        </w:tc>
      </w:tr>
      <w:tr>
        <w:trPr>
          <w:trHeight w:val="191"/>
        </w:trPr>
        <w:tc>
          <w:tcPr>
            <w:tcW w:w="5200" w:type="dxa"/>
            <w:vAlign w:val="bottom"/>
          </w:tcPr>
          <w:p>
            <w:pPr>
              <w:spacing w:after="0"/>
              <w:rPr>
                <w:sz w:val="16"/>
                <w:szCs w:val="16"/>
                <w:color w:val="auto"/>
              </w:rPr>
            </w:pPr>
          </w:p>
        </w:tc>
        <w:tc>
          <w:tcPr>
            <w:tcW w:w="6040" w:type="dxa"/>
            <w:vAlign w:val="bottom"/>
          </w:tcPr>
          <w:p>
            <w:pPr>
              <w:ind w:left="20"/>
              <w:spacing w:after="0" w:line="191" w:lineRule="exact"/>
              <w:rPr>
                <w:sz w:val="20"/>
                <w:szCs w:val="20"/>
                <w:color w:val="auto"/>
              </w:rPr>
            </w:pPr>
            <w:r>
              <w:rPr>
                <w:rFonts w:ascii="Times New Roman" w:cs="Times New Roman" w:eastAsia="Times New Roman" w:hAnsi="Times New Roman"/>
                <w:sz w:val="18"/>
                <w:szCs w:val="18"/>
                <w:color w:val="auto"/>
              </w:rPr>
              <w:t>Andrew Kang</w:t>
            </w:r>
          </w:p>
        </w:tc>
      </w:tr>
      <w:tr>
        <w:trPr>
          <w:trHeight w:val="234"/>
        </w:trPr>
        <w:tc>
          <w:tcPr>
            <w:tcW w:w="5200" w:type="dxa"/>
            <w:vAlign w:val="bottom"/>
          </w:tcPr>
          <w:p>
            <w:pPr>
              <w:spacing w:after="0"/>
              <w:rPr>
                <w:sz w:val="20"/>
                <w:szCs w:val="20"/>
                <w:color w:val="auto"/>
              </w:rPr>
            </w:pPr>
          </w:p>
        </w:tc>
        <w:tc>
          <w:tcPr>
            <w:tcW w:w="6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Executive Vice President &amp; Chief Financial Officer</w:t>
            </w:r>
          </w:p>
        </w:tc>
      </w:tr>
      <w:tr>
        <w:trPr>
          <w:trHeight w:val="1856"/>
        </w:trPr>
        <w:tc>
          <w:tcPr>
            <w:tcW w:w="5200" w:type="dxa"/>
            <w:vAlign w:val="bottom"/>
            <w:tcBorders>
              <w:bottom w:val="single" w:sz="8" w:color="9A9A9A"/>
            </w:tcBorders>
          </w:tcPr>
          <w:p>
            <w:pPr>
              <w:spacing w:after="0"/>
              <w:rPr>
                <w:sz w:val="24"/>
                <w:szCs w:val="24"/>
                <w:color w:val="auto"/>
              </w:rPr>
            </w:pPr>
          </w:p>
        </w:tc>
        <w:tc>
          <w:tcPr>
            <w:tcW w:w="604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757">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758">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198" w:name="page199"/>
    <w:bookmarkEnd w:id="198"/>
    <w:p>
      <w:pPr>
        <w:jc w:val="right"/>
        <w:spacing w:after="0"/>
        <w:rPr>
          <w:sz w:val="20"/>
          <w:szCs w:val="20"/>
          <w:color w:val="auto"/>
        </w:rPr>
      </w:pPr>
      <w:r>
        <w:rPr>
          <w:rFonts w:ascii="Times New Roman" w:cs="Times New Roman" w:eastAsia="Times New Roman" w:hAnsi="Times New Roman"/>
          <w:sz w:val="18"/>
          <w:szCs w:val="18"/>
          <w:b w:val="1"/>
          <w:bCs w:val="1"/>
          <w:color w:val="auto"/>
        </w:rPr>
        <w:t>Exhibit 32.1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CERTIFICATION PURSUANT TO 18 U.S.C. SECTION 1350,</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AS ADOPTED PURSUANT TO</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SECTION 906 OF THE SARBANES-OXLEY ACT OF 2002</w:t>
      </w:r>
    </w:p>
    <w:p>
      <w:pPr>
        <w:spacing w:after="0" w:line="207" w:lineRule="exact"/>
        <w:rPr>
          <w:sz w:val="20"/>
          <w:szCs w:val="20"/>
          <w:color w:val="auto"/>
        </w:rPr>
      </w:pPr>
    </w:p>
    <w:p>
      <w:pPr>
        <w:jc w:val="both"/>
        <w:ind w:firstLine="509"/>
        <w:spacing w:after="0" w:line="261" w:lineRule="auto"/>
        <w:rPr>
          <w:sz w:val="20"/>
          <w:szCs w:val="20"/>
          <w:color w:val="auto"/>
        </w:rPr>
      </w:pPr>
      <w:r>
        <w:rPr>
          <w:rFonts w:ascii="Times New Roman" w:cs="Times New Roman" w:eastAsia="Times New Roman" w:hAnsi="Times New Roman"/>
          <w:sz w:val="18"/>
          <w:szCs w:val="18"/>
          <w:color w:val="auto"/>
        </w:rPr>
        <w:t>In connection with the Annual Report on Form 10-K of MicroStrategy Incorporated (the “Company”) for the year ended December 31, 2024, as filed with the Securities and Exchange Commission on the date hereof (the “Report”), the undersigned, the Chief Executive Officer of the Company and the Chief Financial Officer of the Company, each hereby certifies, pursuant to 18 U.S.C. Section 1350, as adopted pursuant to Section 906 of the Sarbanes-Oxley Act of 2002, that to his/her knowledge on the date hereof:</w:t>
      </w:r>
    </w:p>
    <w:p>
      <w:pPr>
        <w:spacing w:after="0" w:line="180" w:lineRule="exact"/>
        <w:rPr>
          <w:sz w:val="20"/>
          <w:szCs w:val="20"/>
          <w:color w:val="auto"/>
        </w:rPr>
      </w:pPr>
    </w:p>
    <w:p>
      <w:pPr>
        <w:ind w:left="780" w:hanging="263"/>
        <w:spacing w:after="0"/>
        <w:tabs>
          <w:tab w:leader="none" w:pos="780" w:val="left"/>
        </w:tabs>
        <w:numPr>
          <w:ilvl w:val="0"/>
          <w:numId w:val="1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Report fully complies with the requirements of Section 13(a) or 15(d) of the Securities Exchange Act of 1934, as amended; and</w:t>
      </w:r>
    </w:p>
    <w:p>
      <w:pPr>
        <w:spacing w:after="0" w:line="225" w:lineRule="exact"/>
        <w:rPr>
          <w:rFonts w:ascii="Times New Roman" w:cs="Times New Roman" w:eastAsia="Times New Roman" w:hAnsi="Times New Roman"/>
          <w:sz w:val="18"/>
          <w:szCs w:val="18"/>
          <w:color w:val="auto"/>
        </w:rPr>
      </w:pPr>
    </w:p>
    <w:p>
      <w:pPr>
        <w:ind w:left="780" w:hanging="263"/>
        <w:spacing w:after="0"/>
        <w:tabs>
          <w:tab w:leader="none" w:pos="780" w:val="left"/>
        </w:tabs>
        <w:numPr>
          <w:ilvl w:val="0"/>
          <w:numId w:val="1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information contained in the Report fairly presents, in all material respects, the financial condition and results of operations of the Company.</w:t>
      </w:r>
    </w:p>
    <w:p>
      <w:pPr>
        <w:spacing w:after="0" w:line="252"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52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Dated: February 18, 2025</w:t>
            </w:r>
          </w:p>
        </w:tc>
        <w:tc>
          <w:tcPr>
            <w:tcW w:w="6040" w:type="dxa"/>
            <w:vAlign w:val="bottom"/>
            <w:tcBorders>
              <w:bottom w:val="single" w:sz="8" w:color="auto"/>
            </w:tcBorders>
          </w:tcPr>
          <w:p>
            <w:pPr>
              <w:ind w:left="20"/>
              <w:spacing w:after="0"/>
              <w:rPr>
                <w:sz w:val="20"/>
                <w:szCs w:val="20"/>
                <w:color w:val="auto"/>
              </w:rPr>
            </w:pPr>
            <w:r>
              <w:rPr>
                <w:rFonts w:ascii="Times New Roman" w:cs="Times New Roman" w:eastAsia="Times New Roman" w:hAnsi="Times New Roman"/>
                <w:sz w:val="18"/>
                <w:szCs w:val="18"/>
                <w:color w:val="auto"/>
              </w:rPr>
              <w:t>/s/ Phong Le</w:t>
            </w:r>
          </w:p>
        </w:tc>
      </w:tr>
      <w:tr>
        <w:trPr>
          <w:trHeight w:val="191"/>
        </w:trPr>
        <w:tc>
          <w:tcPr>
            <w:tcW w:w="5200" w:type="dxa"/>
            <w:vAlign w:val="bottom"/>
          </w:tcPr>
          <w:p>
            <w:pPr>
              <w:spacing w:after="0"/>
              <w:rPr>
                <w:sz w:val="16"/>
                <w:szCs w:val="16"/>
                <w:color w:val="auto"/>
              </w:rPr>
            </w:pPr>
          </w:p>
        </w:tc>
        <w:tc>
          <w:tcPr>
            <w:tcW w:w="6040" w:type="dxa"/>
            <w:vAlign w:val="bottom"/>
          </w:tcPr>
          <w:p>
            <w:pPr>
              <w:ind w:left="20"/>
              <w:spacing w:after="0" w:line="191" w:lineRule="exact"/>
              <w:rPr>
                <w:sz w:val="20"/>
                <w:szCs w:val="20"/>
                <w:color w:val="auto"/>
              </w:rPr>
            </w:pPr>
            <w:r>
              <w:rPr>
                <w:rFonts w:ascii="Times New Roman" w:cs="Times New Roman" w:eastAsia="Times New Roman" w:hAnsi="Times New Roman"/>
                <w:sz w:val="18"/>
                <w:szCs w:val="18"/>
                <w:color w:val="auto"/>
              </w:rPr>
              <w:t>Phong Le</w:t>
            </w:r>
          </w:p>
        </w:tc>
      </w:tr>
      <w:tr>
        <w:trPr>
          <w:trHeight w:val="234"/>
        </w:trPr>
        <w:tc>
          <w:tcPr>
            <w:tcW w:w="5200" w:type="dxa"/>
            <w:vAlign w:val="bottom"/>
          </w:tcPr>
          <w:p>
            <w:pPr>
              <w:spacing w:after="0"/>
              <w:rPr>
                <w:sz w:val="20"/>
                <w:szCs w:val="20"/>
                <w:color w:val="auto"/>
              </w:rPr>
            </w:pPr>
          </w:p>
        </w:tc>
        <w:tc>
          <w:tcPr>
            <w:tcW w:w="6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President &amp; Chief Executive Officer</w:t>
            </w:r>
          </w:p>
        </w:tc>
      </w:tr>
      <w:tr>
        <w:trPr>
          <w:trHeight w:val="675"/>
        </w:trPr>
        <w:tc>
          <w:tcPr>
            <w:tcW w:w="52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Dated: February 18, 2025</w:t>
            </w:r>
          </w:p>
        </w:tc>
        <w:tc>
          <w:tcPr>
            <w:tcW w:w="6040" w:type="dxa"/>
            <w:vAlign w:val="bottom"/>
            <w:tcBorders>
              <w:bottom w:val="single" w:sz="8" w:color="auto"/>
            </w:tcBorders>
          </w:tcPr>
          <w:p>
            <w:pPr>
              <w:ind w:left="20"/>
              <w:spacing w:after="0"/>
              <w:rPr>
                <w:sz w:val="20"/>
                <w:szCs w:val="20"/>
                <w:color w:val="auto"/>
              </w:rPr>
            </w:pPr>
            <w:r>
              <w:rPr>
                <w:rFonts w:ascii="Times New Roman" w:cs="Times New Roman" w:eastAsia="Times New Roman" w:hAnsi="Times New Roman"/>
                <w:sz w:val="18"/>
                <w:szCs w:val="18"/>
                <w:color w:val="auto"/>
              </w:rPr>
              <w:t>/s/ Andrew Kang</w:t>
            </w:r>
          </w:p>
        </w:tc>
      </w:tr>
      <w:tr>
        <w:trPr>
          <w:trHeight w:val="191"/>
        </w:trPr>
        <w:tc>
          <w:tcPr>
            <w:tcW w:w="5200" w:type="dxa"/>
            <w:vAlign w:val="bottom"/>
          </w:tcPr>
          <w:p>
            <w:pPr>
              <w:spacing w:after="0"/>
              <w:rPr>
                <w:sz w:val="16"/>
                <w:szCs w:val="16"/>
                <w:color w:val="auto"/>
              </w:rPr>
            </w:pPr>
          </w:p>
        </w:tc>
        <w:tc>
          <w:tcPr>
            <w:tcW w:w="6040" w:type="dxa"/>
            <w:vAlign w:val="bottom"/>
          </w:tcPr>
          <w:p>
            <w:pPr>
              <w:ind w:left="20"/>
              <w:spacing w:after="0" w:line="191" w:lineRule="exact"/>
              <w:rPr>
                <w:sz w:val="20"/>
                <w:szCs w:val="20"/>
                <w:color w:val="auto"/>
              </w:rPr>
            </w:pPr>
            <w:r>
              <w:rPr>
                <w:rFonts w:ascii="Times New Roman" w:cs="Times New Roman" w:eastAsia="Times New Roman" w:hAnsi="Times New Roman"/>
                <w:sz w:val="18"/>
                <w:szCs w:val="18"/>
                <w:color w:val="auto"/>
              </w:rPr>
              <w:t>Andrew Kang</w:t>
            </w:r>
          </w:p>
        </w:tc>
      </w:tr>
      <w:tr>
        <w:trPr>
          <w:trHeight w:val="234"/>
        </w:trPr>
        <w:tc>
          <w:tcPr>
            <w:tcW w:w="5200" w:type="dxa"/>
            <w:vAlign w:val="bottom"/>
          </w:tcPr>
          <w:p>
            <w:pPr>
              <w:spacing w:after="0"/>
              <w:rPr>
                <w:sz w:val="20"/>
                <w:szCs w:val="20"/>
                <w:color w:val="auto"/>
              </w:rPr>
            </w:pPr>
          </w:p>
        </w:tc>
        <w:tc>
          <w:tcPr>
            <w:tcW w:w="6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Executive Vice President &amp; Chief Financial Officer</w:t>
            </w:r>
          </w:p>
        </w:tc>
      </w:tr>
      <w:tr>
        <w:trPr>
          <w:trHeight w:val="1843"/>
        </w:trPr>
        <w:tc>
          <w:tcPr>
            <w:tcW w:w="5200" w:type="dxa"/>
            <w:vAlign w:val="bottom"/>
            <w:tcBorders>
              <w:bottom w:val="single" w:sz="8" w:color="9A9A9A"/>
            </w:tcBorders>
          </w:tcPr>
          <w:p>
            <w:pPr>
              <w:spacing w:after="0"/>
              <w:rPr>
                <w:sz w:val="24"/>
                <w:szCs w:val="24"/>
                <w:color w:val="auto"/>
              </w:rPr>
            </w:pPr>
          </w:p>
        </w:tc>
        <w:tc>
          <w:tcPr>
            <w:tcW w:w="604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759">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760">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199" w:name="page200"/>
    <w:bookmarkEnd w:id="199"/>
    <w:sectPr>
      <w:pgSz w:w="11900" w:h="16838" w:orient="portrait"/>
      <w:cols w:equalWidth="1" w:num="1" w:space="0"/>
      <w:pgMar w:left="1440" w:top="1440" w:right="1440" w:bottom="875"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1A27709E"/>
    <w:multiLevelType w:val="hybridMultilevel"/>
    <w:lvl w:ilvl="0">
      <w:lvlJc w:val="left"/>
      <w:lvlText w:val="☒"/>
      <w:numFmt w:val="bullet"/>
      <w:start w:val="1"/>
    </w:lvl>
  </w:abstractNum>
  <w:abstractNum w:abstractNumId="1">
    <w:nsid w:val="71EA1109"/>
    <w:multiLevelType w:val="hybridMultilevel"/>
    <w:lvl w:ilvl="0">
      <w:lvlJc w:val="left"/>
      <w:lvlText w:val="☐"/>
      <w:numFmt w:val="bullet"/>
      <w:start w:val="1"/>
    </w:lvl>
  </w:abstractNum>
  <w:abstractNum w:abstractNumId="2">
    <w:nsid w:val="100F59DC"/>
    <w:multiLevelType w:val="hybridMultilevel"/>
    <w:lvl w:ilvl="0">
      <w:lvlJc w:val="left"/>
      <w:lvlText w:val="•"/>
      <w:numFmt w:val="bullet"/>
      <w:start w:val="1"/>
    </w:lvl>
  </w:abstractNum>
  <w:abstractNum w:abstractNumId="3">
    <w:nsid w:val="7FB7E0AA"/>
    <w:multiLevelType w:val="hybridMultilevel"/>
    <w:lvl w:ilvl="0">
      <w:lvlJc w:val="left"/>
      <w:lvlText w:val="•"/>
      <w:numFmt w:val="bullet"/>
      <w:start w:val="1"/>
    </w:lvl>
  </w:abstractNum>
  <w:abstractNum w:abstractNumId="4">
    <w:nsid w:val="6EB5BD4"/>
    <w:multiLevelType w:val="hybridMultilevel"/>
    <w:lvl w:ilvl="0">
      <w:lvlJc w:val="left"/>
      <w:lvlText w:val="•"/>
      <w:numFmt w:val="bullet"/>
      <w:start w:val="1"/>
    </w:lvl>
  </w:abstractNum>
  <w:abstractNum w:abstractNumId="5">
    <w:nsid w:val="6F6DD9AC"/>
    <w:multiLevelType w:val="hybridMultilevel"/>
    <w:lvl w:ilvl="0">
      <w:lvlJc w:val="left"/>
      <w:lvlText w:val="•"/>
      <w:numFmt w:val="bullet"/>
      <w:start w:val="1"/>
    </w:lvl>
  </w:abstractNum>
  <w:abstractNum w:abstractNumId="6">
    <w:nsid w:val="94211F2"/>
    <w:multiLevelType w:val="hybridMultilevel"/>
    <w:lvl w:ilvl="0">
      <w:lvlJc w:val="left"/>
      <w:lvlText w:val="•"/>
      <w:numFmt w:val="bullet"/>
      <w:start w:val="1"/>
    </w:lvl>
  </w:abstractNum>
  <w:abstractNum w:abstractNumId="7">
    <w:nsid w:val="885E1B"/>
    <w:multiLevelType w:val="hybridMultilevel"/>
    <w:lvl w:ilvl="0">
      <w:lvlJc w:val="left"/>
      <w:lvlText w:val="•"/>
      <w:numFmt w:val="bullet"/>
      <w:start w:val="1"/>
    </w:lvl>
  </w:abstractNum>
  <w:abstractNum w:abstractNumId="8">
    <w:nsid w:val="76272110"/>
    <w:multiLevelType w:val="hybridMultilevel"/>
    <w:lvl w:ilvl="0">
      <w:lvlJc w:val="left"/>
      <w:lvlText w:val="•"/>
      <w:numFmt w:val="bullet"/>
      <w:start w:val="1"/>
    </w:lvl>
  </w:abstractNum>
  <w:abstractNum w:abstractNumId="9">
    <w:nsid w:val="4C04A8AF"/>
    <w:multiLevelType w:val="hybridMultilevel"/>
    <w:lvl w:ilvl="0">
      <w:lvlJc w:val="left"/>
      <w:lvlText w:val="•"/>
      <w:numFmt w:val="bullet"/>
      <w:start w:val="1"/>
    </w:lvl>
  </w:abstractNum>
  <w:abstractNum w:abstractNumId="10">
    <w:nsid w:val="1716703B"/>
    <w:multiLevelType w:val="hybridMultilevel"/>
    <w:lvl w:ilvl="0">
      <w:lvlJc w:val="left"/>
      <w:lvlText w:val="•"/>
      <w:numFmt w:val="bullet"/>
      <w:start w:val="1"/>
    </w:lvl>
  </w:abstractNum>
  <w:abstractNum w:abstractNumId="11">
    <w:nsid w:val="14E17E33"/>
    <w:multiLevelType w:val="hybridMultilevel"/>
    <w:lvl w:ilvl="0">
      <w:lvlJc w:val="left"/>
      <w:lvlText w:val="•"/>
      <w:numFmt w:val="bullet"/>
      <w:start w:val="1"/>
    </w:lvl>
  </w:abstractNum>
  <w:abstractNum w:abstractNumId="12">
    <w:nsid w:val="3222E7CD"/>
    <w:multiLevelType w:val="hybridMultilevel"/>
    <w:lvl w:ilvl="0">
      <w:lvlJc w:val="left"/>
      <w:lvlText w:val="%1."/>
      <w:numFmt w:val="decimal"/>
      <w:start w:val="1"/>
    </w:lvl>
  </w:abstractNum>
  <w:abstractNum w:abstractNumId="13">
    <w:nsid w:val="74DE0EE3"/>
    <w:multiLevelType w:val="hybridMultilevel"/>
    <w:lvl w:ilvl="0">
      <w:lvlJc w:val="left"/>
      <w:lvlText w:val="•"/>
      <w:numFmt w:val="bullet"/>
      <w:start w:val="1"/>
    </w:lvl>
  </w:abstractNum>
  <w:abstractNum w:abstractNumId="14">
    <w:nsid w:val="68EBC550"/>
    <w:multiLevelType w:val="hybridMultilevel"/>
    <w:lvl w:ilvl="0">
      <w:lvlJc w:val="left"/>
      <w:lvlText w:val="•"/>
      <w:numFmt w:val="bullet"/>
      <w:start w:val="1"/>
    </w:lvl>
  </w:abstractNum>
  <w:abstractNum w:abstractNumId="15">
    <w:nsid w:val="2DF6D648"/>
    <w:multiLevelType w:val="hybridMultilevel"/>
    <w:lvl w:ilvl="0">
      <w:lvlJc w:val="left"/>
      <w:lvlText w:val="•"/>
      <w:numFmt w:val="bullet"/>
      <w:start w:val="1"/>
    </w:lvl>
  </w:abstractNum>
  <w:abstractNum w:abstractNumId="16">
    <w:nsid w:val="46B7D447"/>
    <w:multiLevelType w:val="hybridMultilevel"/>
    <w:lvl w:ilvl="0">
      <w:lvlJc w:val="left"/>
      <w:lvlText w:val="•"/>
      <w:numFmt w:val="bullet"/>
      <w:start w:val="1"/>
    </w:lvl>
  </w:abstractNum>
  <w:abstractNum w:abstractNumId="17">
    <w:nsid w:val="4A2AC315"/>
    <w:multiLevelType w:val="hybridMultilevel"/>
    <w:lvl w:ilvl="0">
      <w:lvlJc w:val="left"/>
      <w:lvlText w:val="•"/>
      <w:numFmt w:val="bullet"/>
      <w:start w:val="1"/>
    </w:lvl>
  </w:abstractNum>
  <w:abstractNum w:abstractNumId="18">
    <w:nsid w:val="39EE015C"/>
    <w:multiLevelType w:val="hybridMultilevel"/>
    <w:lvl w:ilvl="0">
      <w:lvlJc w:val="left"/>
      <w:lvlText w:val="•"/>
      <w:numFmt w:val="bullet"/>
      <w:start w:val="1"/>
    </w:lvl>
  </w:abstractNum>
  <w:abstractNum w:abstractNumId="19">
    <w:nsid w:val="57FC4FBB"/>
    <w:multiLevelType w:val="hybridMultilevel"/>
    <w:lvl w:ilvl="0">
      <w:lvlJc w:val="left"/>
      <w:lvlText w:val="•"/>
      <w:numFmt w:val="bullet"/>
      <w:start w:val="1"/>
    </w:lvl>
  </w:abstractNum>
  <w:abstractNum w:abstractNumId="20">
    <w:nsid w:val="CC1016F"/>
    <w:multiLevelType w:val="hybridMultilevel"/>
    <w:lvl w:ilvl="0">
      <w:lvlJc w:val="left"/>
      <w:lvlText w:val="•"/>
      <w:numFmt w:val="bullet"/>
      <w:start w:val="1"/>
    </w:lvl>
  </w:abstractNum>
  <w:abstractNum w:abstractNumId="21">
    <w:nsid w:val="43F18422"/>
    <w:multiLevelType w:val="hybridMultilevel"/>
    <w:lvl w:ilvl="0">
      <w:lvlJc w:val="left"/>
      <w:lvlText w:val="•"/>
      <w:numFmt w:val="bullet"/>
      <w:start w:val="1"/>
    </w:lvl>
  </w:abstractNum>
  <w:abstractNum w:abstractNumId="22">
    <w:nsid w:val="60EF0119"/>
    <w:multiLevelType w:val="hybridMultilevel"/>
    <w:lvl w:ilvl="0">
      <w:lvlJc w:val="left"/>
      <w:lvlText w:val="•"/>
      <w:numFmt w:val="bullet"/>
      <w:start w:val="1"/>
    </w:lvl>
  </w:abstractNum>
  <w:abstractNum w:abstractNumId="23">
    <w:nsid w:val="26F324BA"/>
    <w:multiLevelType w:val="hybridMultilevel"/>
    <w:lvl w:ilvl="0">
      <w:lvlJc w:val="left"/>
      <w:lvlText w:val="•"/>
      <w:numFmt w:val="bullet"/>
      <w:start w:val="1"/>
    </w:lvl>
  </w:abstractNum>
  <w:abstractNum w:abstractNumId="24">
    <w:nsid w:val="7F01579B"/>
    <w:multiLevelType w:val="hybridMultilevel"/>
    <w:lvl w:ilvl="0">
      <w:lvlJc w:val="left"/>
      <w:lvlText w:val="•"/>
      <w:numFmt w:val="bullet"/>
      <w:start w:val="1"/>
    </w:lvl>
  </w:abstractNum>
  <w:abstractNum w:abstractNumId="25">
    <w:nsid w:val="49DA307D"/>
    <w:multiLevelType w:val="hybridMultilevel"/>
    <w:lvl w:ilvl="0">
      <w:lvlJc w:val="left"/>
      <w:lvlText w:val="•"/>
      <w:numFmt w:val="bullet"/>
      <w:start w:val="1"/>
    </w:lvl>
  </w:abstractNum>
  <w:abstractNum w:abstractNumId="26">
    <w:nsid w:val="7055A5F5"/>
    <w:multiLevelType w:val="hybridMultilevel"/>
    <w:lvl w:ilvl="0">
      <w:lvlJc w:val="left"/>
      <w:lvlText w:val="•"/>
      <w:numFmt w:val="bullet"/>
      <w:start w:val="1"/>
    </w:lvl>
  </w:abstractNum>
  <w:abstractNum w:abstractNumId="27">
    <w:nsid w:val="5FB8370B"/>
    <w:multiLevelType w:val="hybridMultilevel"/>
    <w:lvl w:ilvl="0">
      <w:lvlJc w:val="left"/>
      <w:lvlText w:val="\endash "/>
      <w:numFmt w:val="bullet"/>
      <w:start w:val="1"/>
    </w:lvl>
  </w:abstractNum>
  <w:abstractNum w:abstractNumId="28">
    <w:nsid w:val="50801EE1"/>
    <w:multiLevelType w:val="hybridMultilevel"/>
    <w:lvl w:ilvl="0">
      <w:lvlJc w:val="left"/>
      <w:lvlText w:val="•"/>
      <w:numFmt w:val="bullet"/>
      <w:start w:val="1"/>
    </w:lvl>
  </w:abstractNum>
  <w:abstractNum w:abstractNumId="29">
    <w:nsid w:val="488AC1A"/>
    <w:multiLevelType w:val="hybridMultilevel"/>
    <w:lvl w:ilvl="0">
      <w:lvlJc w:val="left"/>
      <w:lvlText w:val="•"/>
      <w:numFmt w:val="bullet"/>
      <w:start w:val="1"/>
    </w:lvl>
  </w:abstractNum>
  <w:abstractNum w:abstractNumId="30">
    <w:nsid w:val="5FB8011C"/>
    <w:multiLevelType w:val="hybridMultilevel"/>
    <w:lvl w:ilvl="0">
      <w:lvlJc w:val="left"/>
      <w:lvlText w:val="(%1)"/>
      <w:numFmt w:val="lowerLetter"/>
      <w:start w:val="1"/>
    </w:lvl>
  </w:abstractNum>
  <w:abstractNum w:abstractNumId="31">
    <w:nsid w:val="6AA78F7F"/>
    <w:multiLevelType w:val="hybridMultilevel"/>
    <w:lvl w:ilvl="0">
      <w:lvlJc w:val="left"/>
      <w:lvlText w:val="(%1)"/>
      <w:numFmt w:val="lowerLetter"/>
      <w:start w:val="1"/>
    </w:lvl>
  </w:abstractNum>
  <w:abstractNum w:abstractNumId="32">
    <w:nsid w:val="7672BD23"/>
    <w:multiLevelType w:val="hybridMultilevel"/>
    <w:lvl w:ilvl="0">
      <w:lvlJc w:val="left"/>
      <w:lvlText w:val="(%1)"/>
      <w:numFmt w:val="lowerLetter"/>
      <w:start w:val="6"/>
    </w:lvl>
  </w:abstractNum>
  <w:abstractNum w:abstractNumId="33">
    <w:nsid w:val="6FC75AF8"/>
    <w:multiLevelType w:val="hybridMultilevel"/>
    <w:lvl w:ilvl="0">
      <w:lvlJc w:val="left"/>
      <w:lvlText w:val="•"/>
      <w:numFmt w:val="bullet"/>
      <w:start w:val="1"/>
    </w:lvl>
  </w:abstractNum>
  <w:abstractNum w:abstractNumId="34">
    <w:nsid w:val="6A5F7029"/>
    <w:multiLevelType w:val="hybridMultilevel"/>
    <w:lvl w:ilvl="0">
      <w:lvlJc w:val="left"/>
      <w:lvlText w:val="•"/>
      <w:numFmt w:val="bullet"/>
      <w:start w:val="1"/>
    </w:lvl>
    <w:lvl w:ilvl="1">
      <w:lvlJc w:val="left"/>
      <w:lvlText w:val="o"/>
      <w:numFmt w:val="bullet"/>
      <w:start w:val="1"/>
    </w:lvl>
  </w:abstractNum>
  <w:abstractNum w:abstractNumId="35">
    <w:nsid w:val="7D5E18F8"/>
    <w:multiLevelType w:val="hybridMultilevel"/>
    <w:lvl w:ilvl="0">
      <w:lvlJc w:val="left"/>
      <w:lvlText w:val="(%1)"/>
      <w:numFmt w:val="decimal"/>
      <w:start w:val="1"/>
    </w:lvl>
  </w:abstractNum>
  <w:abstractNum w:abstractNumId="36">
    <w:nsid w:val="5F3534A4"/>
    <w:multiLevelType w:val="hybridMultilevel"/>
    <w:lvl w:ilvl="0">
      <w:lvlJc w:val="left"/>
      <w:lvlText w:val="(%1)"/>
      <w:numFmt w:val="decimal"/>
      <w:start w:val="1"/>
    </w:lvl>
  </w:abstractNum>
  <w:abstractNum w:abstractNumId="37">
    <w:nsid w:val="73A1821B"/>
    <w:multiLevelType w:val="hybridMultilevel"/>
    <w:lvl w:ilvl="0">
      <w:lvlJc w:val="left"/>
      <w:lvlText w:val="(%1)"/>
      <w:numFmt w:val="lowerLetter"/>
      <w:start w:val="1"/>
    </w:lvl>
    <w:lvl w:ilvl="1">
      <w:lvlJc w:val="left"/>
      <w:lvlText w:val="%2."/>
      <w:numFmt w:val="decimal"/>
      <w:start w:val="1"/>
    </w:lvl>
  </w:abstractNum>
  <w:abstractNum w:abstractNumId="38">
    <w:nsid w:val="7DE67713"/>
    <w:multiLevelType w:val="hybridMultilevel"/>
    <w:lvl w:ilvl="0">
      <w:lvlJc w:val="left"/>
      <w:lvlText w:val="%1."/>
      <w:numFmt w:val="decimal"/>
      <w:start w:val="3"/>
    </w:lvl>
  </w:abstractNum>
  <w:abstractNum w:abstractNumId="39">
    <w:nsid w:val="555C55B5"/>
    <w:multiLevelType w:val="hybridMultilevel"/>
    <w:lvl w:ilvl="0">
      <w:lvlJc w:val="left"/>
      <w:lvlText w:val="(%1)"/>
      <w:numFmt w:val="lowerRoman"/>
      <w:start w:val="1"/>
    </w:lvl>
  </w:abstractNum>
  <w:abstractNum w:abstractNumId="40">
    <w:nsid w:val="3FA62ACA"/>
    <w:multiLevelType w:val="hybridMultilevel"/>
    <w:lvl w:ilvl="0">
      <w:lvlJc w:val="left"/>
      <w:lvlText w:val="(%1)"/>
      <w:numFmt w:val="lowerRoman"/>
      <w:start w:val="1"/>
    </w:lvl>
  </w:abstractNum>
  <w:abstractNum w:abstractNumId="41">
    <w:nsid w:val="14FCE74E"/>
    <w:multiLevelType w:val="hybridMultilevel"/>
    <w:lvl w:ilvl="0">
      <w:lvlJc w:val="left"/>
      <w:lvlText w:val="(%1)"/>
      <w:numFmt w:val="lowerRoman"/>
      <w:start w:val="1"/>
    </w:lvl>
  </w:abstractNum>
  <w:abstractNum w:abstractNumId="42">
    <w:nsid w:val="6A3DD3E8"/>
    <w:multiLevelType w:val="hybridMultilevel"/>
    <w:lvl w:ilvl="0">
      <w:lvlJc w:val="left"/>
      <w:lvlText w:val="(%1)"/>
      <w:numFmt w:val="lowerRoman"/>
      <w:start w:val="3"/>
    </w:lvl>
  </w:abstractNum>
  <w:abstractNum w:abstractNumId="43">
    <w:nsid w:val="71C91298"/>
    <w:multiLevelType w:val="hybridMultilevel"/>
    <w:lvl w:ilvl="0">
      <w:lvlJc w:val="left"/>
      <w:lvlText w:val="•"/>
      <w:numFmt w:val="bullet"/>
      <w:start w:val="1"/>
    </w:lvl>
  </w:abstractNum>
  <w:abstractNum w:abstractNumId="44">
    <w:nsid w:val="9DAF632"/>
    <w:multiLevelType w:val="hybridMultilevel"/>
    <w:lvl w:ilvl="0">
      <w:lvlJc w:val="left"/>
      <w:lvlText w:val="(%1)"/>
      <w:numFmt w:val="decimal"/>
      <w:start w:val="1"/>
    </w:lvl>
  </w:abstractNum>
  <w:abstractNum w:abstractNumId="45">
    <w:nsid w:val="53299938"/>
    <w:multiLevelType w:val="hybridMultilevel"/>
    <w:lvl w:ilvl="0">
      <w:lvlJc w:val="left"/>
      <w:lvlText w:val="(%1)"/>
      <w:numFmt w:val="decimal"/>
      <w:start w:val="6"/>
    </w:lvl>
  </w:abstractNum>
  <w:abstractNum w:abstractNumId="46">
    <w:nsid w:val="1FBFE8E0"/>
    <w:multiLevelType w:val="hybridMultilevel"/>
    <w:lvl w:ilvl="0">
      <w:lvlJc w:val="left"/>
      <w:lvlText w:val="(%1)"/>
      <w:numFmt w:val="decimal"/>
      <w:start w:val="1"/>
    </w:lvl>
  </w:abstractNum>
  <w:abstractNum w:abstractNumId="47">
    <w:nsid w:val="5092CA79"/>
    <w:multiLevelType w:val="hybridMultilevel"/>
    <w:lvl w:ilvl="0">
      <w:lvlJc w:val="left"/>
      <w:lvlText w:val="%1."/>
      <w:numFmt w:val="decimal"/>
      <w:start w:val="1"/>
    </w:lvl>
  </w:abstractNum>
  <w:abstractNum w:abstractNumId="48">
    <w:nsid w:val="1D545C4D"/>
    <w:multiLevelType w:val="hybridMultilevel"/>
    <w:lvl w:ilvl="0">
      <w:lvlJc w:val="left"/>
      <w:lvlText w:val="(%1)"/>
      <w:numFmt w:val="decimal"/>
      <w:start w:val="1"/>
    </w:lvl>
  </w:abstractNum>
  <w:abstractNum w:abstractNumId="49">
    <w:nsid w:val="59ADEA3D"/>
    <w:multiLevelType w:val="hybridMultilevel"/>
    <w:lvl w:ilvl="0">
      <w:lvlJc w:val="left"/>
      <w:lvlText w:val="(%1)"/>
      <w:numFmt w:val="decimal"/>
      <w:start w:val="1"/>
    </w:lvl>
  </w:abstractNum>
  <w:abstractNum w:abstractNumId="50">
    <w:nsid w:val="288F1A34"/>
    <w:multiLevelType w:val="hybridMultilevel"/>
    <w:lvl w:ilvl="0">
      <w:lvlJc w:val="left"/>
      <w:lvlText w:val="(%1)"/>
      <w:numFmt w:val="decimal"/>
      <w:start w:val="17"/>
    </w:lvl>
  </w:abstractNum>
  <w:abstractNum w:abstractNumId="51">
    <w:nsid w:val="2A155DBC"/>
    <w:multiLevelType w:val="hybridMultilevel"/>
    <w:lvl w:ilvl="0">
      <w:lvlJc w:val="left"/>
      <w:lvlText w:val="%1"/>
      <w:numFmt w:val="decimal"/>
      <w:start w:val="19"/>
    </w:lvl>
  </w:abstractNum>
  <w:abstractNum w:abstractNumId="52">
    <w:nsid w:val="1D9F6E5F"/>
    <w:multiLevelType w:val="hybridMultilevel"/>
    <w:lvl w:ilvl="0">
      <w:lvlJc w:val="left"/>
      <w:lvlText w:val="†"/>
      <w:numFmt w:val="bullet"/>
      <w:start w:val="1"/>
    </w:lvl>
    <w:lvl w:ilvl="1">
      <w:lvlJc w:val="left"/>
      <w:lvlText w:val="%2"/>
      <w:numFmt w:val="decimal"/>
      <w:start w:val="104"/>
    </w:lvl>
  </w:abstractNum>
  <w:abstractNum w:abstractNumId="53">
    <w:nsid w:val="97E1B4E"/>
    <w:multiLevelType w:val="hybridMultilevel"/>
    <w:lvl w:ilvl="0">
      <w:lvlJc w:val="left"/>
      <w:lvlText w:val="*"/>
      <w:numFmt w:val="bullet"/>
      <w:start w:val="1"/>
    </w:lvl>
  </w:abstractNum>
  <w:abstractNum w:abstractNumId="54">
    <w:nsid w:val="51088277"/>
    <w:multiLevelType w:val="hybridMultilevel"/>
    <w:lvl w:ilvl="0">
      <w:lvlJc w:val="left"/>
      <w:lvlText w:val="(%1)"/>
      <w:numFmt w:val="decimal"/>
      <w:start w:val="1"/>
    </w:lvl>
  </w:abstractNum>
  <w:abstractNum w:abstractNumId="55">
    <w:nsid w:val="1CA0C5FA"/>
    <w:multiLevelType w:val="hybridMultilevel"/>
    <w:lvl w:ilvl="0">
      <w:lvlJc w:val="left"/>
      <w:lvlText w:val="•"/>
      <w:numFmt w:val="bullet"/>
      <w:start w:val="1"/>
    </w:lvl>
  </w:abstractNum>
  <w:abstractNum w:abstractNumId="56">
    <w:nsid w:val="53584BCB"/>
    <w:multiLevelType w:val="hybridMultilevel"/>
    <w:lvl w:ilvl="0">
      <w:lvlJc w:val="left"/>
      <w:lvlText w:val="•"/>
      <w:numFmt w:val="bullet"/>
      <w:start w:val="1"/>
    </w:lvl>
  </w:abstractNum>
  <w:abstractNum w:abstractNumId="57">
    <w:nsid w:val="415E286C"/>
    <w:multiLevelType w:val="hybridMultilevel"/>
    <w:lvl w:ilvl="0">
      <w:lvlJc w:val="left"/>
      <w:lvlText w:val="•"/>
      <w:numFmt w:val="bullet"/>
      <w:start w:val="1"/>
    </w:lvl>
  </w:abstractNum>
  <w:abstractNum w:abstractNumId="58">
    <w:nsid w:val="7C58FD05"/>
    <w:multiLevelType w:val="hybridMultilevel"/>
    <w:lvl w:ilvl="0">
      <w:lvlJc w:val="left"/>
      <w:lvlText w:val="•"/>
      <w:numFmt w:val="bullet"/>
      <w:start w:val="1"/>
    </w:lvl>
  </w:abstractNum>
  <w:abstractNum w:abstractNumId="59">
    <w:nsid w:val="23D86AAC"/>
    <w:multiLevelType w:val="hybridMultilevel"/>
    <w:lvl w:ilvl="0">
      <w:lvlJc w:val="left"/>
      <w:lvlText w:val="•"/>
      <w:numFmt w:val="bullet"/>
      <w:start w:val="1"/>
    </w:lvl>
  </w:abstractNum>
  <w:abstractNum w:abstractNumId="60">
    <w:nsid w:val="45E6D486"/>
    <w:multiLevelType w:val="hybridMultilevel"/>
    <w:lvl w:ilvl="0">
      <w:lvlJc w:val="left"/>
      <w:lvlText w:val="•"/>
      <w:numFmt w:val="bullet"/>
      <w:start w:val="1"/>
    </w:lvl>
  </w:abstractNum>
  <w:abstractNum w:abstractNumId="61">
    <w:nsid w:val="5C10FE21"/>
    <w:multiLevelType w:val="hybridMultilevel"/>
    <w:lvl w:ilvl="0">
      <w:lvlJc w:val="left"/>
      <w:lvlText w:val="(%1)"/>
      <w:numFmt w:val="lowerLetter"/>
      <w:start w:val="25"/>
    </w:lvl>
  </w:abstractNum>
  <w:abstractNum w:abstractNumId="62">
    <w:nsid w:val="E7FFA2B"/>
    <w:multiLevelType w:val="hybridMultilevel"/>
    <w:lvl w:ilvl="0">
      <w:lvlJc w:val="left"/>
      <w:lvlText w:val="•"/>
      <w:numFmt w:val="bullet"/>
      <w:start w:val="1"/>
    </w:lvl>
  </w:abstractNum>
  <w:abstractNum w:abstractNumId="63">
    <w:nsid w:val="3C5991AA"/>
    <w:multiLevelType w:val="hybridMultilevel"/>
    <w:lvl w:ilvl="0">
      <w:lvlJc w:val="left"/>
      <w:lvlText w:val="•"/>
      <w:numFmt w:val="bullet"/>
      <w:start w:val="1"/>
    </w:lvl>
  </w:abstractNum>
  <w:abstractNum w:abstractNumId="64">
    <w:nsid w:val="4BD8591A"/>
    <w:multiLevelType w:val="hybridMultilevel"/>
    <w:lvl w:ilvl="0">
      <w:lvlJc w:val="left"/>
      <w:lvlText w:val="•"/>
      <w:numFmt w:val="bullet"/>
      <w:start w:val="1"/>
    </w:lvl>
  </w:abstractNum>
  <w:abstractNum w:abstractNumId="65">
    <w:nsid w:val="78DF6A55"/>
    <w:multiLevelType w:val="hybridMultilevel"/>
    <w:lvl w:ilvl="0">
      <w:lvlJc w:val="left"/>
      <w:lvlText w:val="•"/>
      <w:numFmt w:val="bullet"/>
      <w:start w:val="1"/>
    </w:lvl>
  </w:abstractNum>
  <w:abstractNum w:abstractNumId="66">
    <w:nsid w:val="39B7AAA2"/>
    <w:multiLevelType w:val="hybridMultilevel"/>
    <w:lvl w:ilvl="0">
      <w:lvlJc w:val="left"/>
      <w:lvlText w:val="(%1)"/>
      <w:numFmt w:val="decimal"/>
      <w:start w:val="1"/>
    </w:lvl>
    <w:lvl w:ilvl="1">
      <w:lvlJc w:val="left"/>
      <w:lvlText w:val="(%2)"/>
      <w:numFmt w:val="lowerLetter"/>
      <w:start w:val="1"/>
    </w:lvl>
  </w:abstractNum>
  <w:abstractNum w:abstractNumId="67">
    <w:nsid w:val="2B0D8DBE"/>
    <w:multiLevelType w:val="hybridMultilevel"/>
    <w:lvl w:ilvl="0">
      <w:lvlJc w:val="left"/>
      <w:lvlText w:val="(%1)"/>
      <w:numFmt w:val="decimal"/>
      <w:start w:val="1"/>
    </w:lvl>
    <w:lvl w:ilvl="1">
      <w:lvlJc w:val="left"/>
      <w:lvlText w:val="•"/>
      <w:numFmt w:val="bullet"/>
      <w:start w:val="1"/>
    </w:lvl>
  </w:abstractNum>
  <w:abstractNum w:abstractNumId="68">
    <w:nsid w:val="6C80EC70"/>
    <w:multiLevelType w:val="hybridMultilevel"/>
    <w:lvl w:ilvl="0">
      <w:lvlJc w:val="left"/>
      <w:lvlText w:val="•"/>
      <w:numFmt w:val="bullet"/>
      <w:start w:val="1"/>
    </w:lvl>
  </w:abstractNum>
  <w:abstractNum w:abstractNumId="69">
    <w:nsid w:val="379E21B5"/>
    <w:multiLevelType w:val="hybridMultilevel"/>
    <w:lvl w:ilvl="0">
      <w:lvlJc w:val="left"/>
      <w:lvlText w:val="(%1)"/>
      <w:numFmt w:val="lowerLetter"/>
      <w:start w:val="1"/>
    </w:lvl>
  </w:abstractNum>
  <w:abstractNum w:abstractNumId="70">
    <w:nsid w:val="69E373"/>
    <w:multiLevelType w:val="hybridMultilevel"/>
    <w:lvl w:ilvl="0">
      <w:lvlJc w:val="left"/>
      <w:lvlText w:val="(%1)"/>
      <w:numFmt w:val="lowerLetter"/>
      <w:start w:val="35"/>
    </w:lvl>
  </w:abstractNum>
  <w:abstractNum w:abstractNumId="71">
    <w:nsid w:val="2C27173B"/>
    <w:multiLevelType w:val="hybridMultilevel"/>
    <w:lvl w:ilvl="0">
      <w:lvlJc w:val="left"/>
      <w:lvlText w:val="•"/>
      <w:numFmt w:val="bullet"/>
      <w:start w:val="1"/>
    </w:lvl>
  </w:abstractNum>
  <w:abstractNum w:abstractNumId="72">
    <w:nsid w:val="4C9B0904"/>
    <w:multiLevelType w:val="hybridMultilevel"/>
    <w:lvl w:ilvl="0">
      <w:lvlJc w:val="left"/>
      <w:lvlText w:val="•"/>
      <w:numFmt w:val="bullet"/>
      <w:start w:val="1"/>
    </w:lvl>
  </w:abstractNum>
  <w:abstractNum w:abstractNumId="73">
    <w:nsid w:val="6AA7B75C"/>
    <w:multiLevelType w:val="hybridMultilevel"/>
    <w:lvl w:ilvl="0">
      <w:lvlJc w:val="left"/>
      <w:lvlText w:val="•"/>
      <w:numFmt w:val="bullet"/>
      <w:start w:val="1"/>
    </w:lvl>
  </w:abstractNum>
  <w:abstractNum w:abstractNumId="74">
    <w:nsid w:val="1DF029D3"/>
    <w:multiLevelType w:val="hybridMultilevel"/>
    <w:lvl w:ilvl="0">
      <w:lvlJc w:val="left"/>
      <w:lvlText w:val="•"/>
      <w:numFmt w:val="bullet"/>
      <w:start w:val="1"/>
    </w:lvl>
  </w:abstractNum>
  <w:abstractNum w:abstractNumId="75">
    <w:nsid w:val="5675FF36"/>
    <w:multiLevelType w:val="hybridMultilevel"/>
    <w:lvl w:ilvl="0">
      <w:lvlJc w:val="left"/>
      <w:lvlText w:val="(%1)"/>
      <w:numFmt w:val="decimal"/>
      <w:start w:val="1"/>
    </w:lvl>
  </w:abstractNum>
  <w:abstractNum w:abstractNumId="76">
    <w:nsid w:val="3DD15094"/>
    <w:multiLevelType w:val="hybridMultilevel"/>
    <w:lvl w:ilvl="0">
      <w:lvlJc w:val="left"/>
      <w:lvlText w:val="(%1)"/>
      <w:numFmt w:val="decimal"/>
      <w:start w:val="2"/>
    </w:lvl>
  </w:abstractNum>
  <w:abstractNum w:abstractNumId="77">
    <w:nsid w:val="3DB012B3"/>
    <w:multiLevelType w:val="hybridMultilevel"/>
    <w:lvl w:ilvl="0">
      <w:lvlJc w:val="left"/>
      <w:lvlText w:val="X"/>
      <w:numFmt w:val="bullet"/>
      <w:start w:val="1"/>
    </w:lvl>
  </w:abstractNum>
  <w:abstractNum w:abstractNumId="78">
    <w:nsid w:val="2708C9AF"/>
    <w:multiLevelType w:val="hybridMultilevel"/>
    <w:lvl w:ilvl="0">
      <w:lvlJc w:val="left"/>
      <w:lvlText w:val="Y"/>
      <w:numFmt w:val="bullet"/>
      <w:start w:val="1"/>
    </w:lvl>
  </w:abstractNum>
  <w:abstractNum w:abstractNumId="79">
    <w:nsid w:val="5B25ACE2"/>
    <w:multiLevelType w:val="hybridMultilevel"/>
    <w:lvl w:ilvl="0">
      <w:lvlJc w:val="left"/>
      <w:lvlText w:val="(%1)"/>
      <w:numFmt w:val="decimal"/>
      <w:start w:val="3"/>
    </w:lvl>
    <w:lvl w:ilvl="1">
      <w:lvlJc w:val="left"/>
      <w:lvlText w:val="(%2)"/>
      <w:numFmt w:val="lowerLetter"/>
      <w:start w:val="1"/>
    </w:lvl>
    <w:lvl w:ilvl="2">
      <w:lvlJc w:val="left"/>
      <w:lvlText w:val="•"/>
      <w:numFmt w:val="bullet"/>
      <w:start w:val="1"/>
    </w:lvl>
  </w:abstractNum>
  <w:abstractNum w:abstractNumId="80">
    <w:nsid w:val="175DFCF0"/>
    <w:multiLevelType w:val="hybridMultilevel"/>
    <w:lvl w:ilvl="0">
      <w:lvlJc w:val="left"/>
      <w:lvlText w:val="(%1)"/>
      <w:numFmt w:val="lowerLetter"/>
      <w:start w:val="2"/>
    </w:lvl>
  </w:abstractNum>
  <w:abstractNum w:abstractNumId="81">
    <w:nsid w:val="4F97E3E4"/>
    <w:multiLevelType w:val="hybridMultilevel"/>
    <w:lvl w:ilvl="0">
      <w:lvlJc w:val="left"/>
      <w:lvlText w:val="(%1)"/>
      <w:numFmt w:val="decimal"/>
      <w:start w:val="4"/>
    </w:lvl>
  </w:abstractNum>
  <w:abstractNum w:abstractNumId="82">
    <w:nsid w:val="53B0A9E"/>
    <w:multiLevelType w:val="hybridMultilevel"/>
    <w:lvl w:ilvl="0">
      <w:lvlJc w:val="left"/>
      <w:lvlText w:val="D"/>
      <w:numFmt w:val="bullet"/>
      <w:start w:val="1"/>
    </w:lvl>
  </w:abstractNum>
  <w:abstractNum w:abstractNumId="83">
    <w:nsid w:val="34FD6B4F"/>
    <w:multiLevelType w:val="hybridMultilevel"/>
    <w:lvl w:ilvl="0">
      <w:lvlJc w:val="left"/>
      <w:lvlText w:val="(%1)"/>
      <w:numFmt w:val="decimal"/>
      <w:start w:val="5"/>
    </w:lvl>
  </w:abstractNum>
  <w:abstractNum w:abstractNumId="84">
    <w:nsid w:val="5915FF32"/>
    <w:multiLevelType w:val="hybridMultilevel"/>
    <w:lvl w:ilvl="0">
      <w:lvlJc w:val="left"/>
      <w:lvlText w:val="•"/>
      <w:numFmt w:val="bullet"/>
      <w:start w:val="1"/>
    </w:lvl>
  </w:abstractNum>
  <w:abstractNum w:abstractNumId="85">
    <w:nsid w:val="56438D15"/>
    <w:multiLevelType w:val="hybridMultilevel"/>
    <w:lvl w:ilvl="0">
      <w:lvlJc w:val="left"/>
      <w:lvlText w:val="(%1)"/>
      <w:numFmt w:val="lowerRoman"/>
      <w:start w:val="2"/>
    </w:lvl>
  </w:abstractNum>
  <w:abstractNum w:abstractNumId="86">
    <w:nsid w:val="519E3149"/>
    <w:multiLevelType w:val="hybridMultilevel"/>
    <w:lvl w:ilvl="0">
      <w:lvlJc w:val="left"/>
      <w:lvlText w:val="(%1)"/>
      <w:numFmt w:val="lowerLetter"/>
      <w:start w:val="1"/>
    </w:lvl>
  </w:abstractNum>
  <w:abstractNum w:abstractNumId="87">
    <w:nsid w:val="2C6E4AFD"/>
    <w:multiLevelType w:val="hybridMultilevel"/>
    <w:lvl w:ilvl="0">
      <w:lvlJc w:val="left"/>
      <w:lvlText w:val="•"/>
      <w:numFmt w:val="bullet"/>
      <w:start w:val="1"/>
    </w:lvl>
  </w:abstractNum>
  <w:abstractNum w:abstractNumId="88">
    <w:nsid w:val="17A1B582"/>
    <w:multiLevelType w:val="hybridMultilevel"/>
    <w:lvl w:ilvl="0">
      <w:lvlJc w:val="left"/>
      <w:lvlText w:val="•"/>
      <w:numFmt w:val="bullet"/>
      <w:start w:val="1"/>
    </w:lvl>
  </w:abstractNum>
  <w:abstractNum w:abstractNumId="89">
    <w:nsid w:val="4DF72E4E"/>
    <w:multiLevelType w:val="hybridMultilevel"/>
    <w:lvl w:ilvl="0">
      <w:lvlJc w:val="left"/>
      <w:lvlText w:val="•"/>
      <w:numFmt w:val="bullet"/>
      <w:start w:val="1"/>
    </w:lvl>
  </w:abstractNum>
  <w:abstractNum w:abstractNumId="90">
    <w:nsid w:val="5046B5A9"/>
    <w:multiLevelType w:val="hybridMultilevel"/>
    <w:lvl w:ilvl="0">
      <w:lvlJc w:val="left"/>
      <w:lvlText w:val="•"/>
      <w:numFmt w:val="bullet"/>
      <w:start w:val="1"/>
    </w:lvl>
  </w:abstractNum>
  <w:abstractNum w:abstractNumId="91">
    <w:nsid w:val="5D888A08"/>
    <w:multiLevelType w:val="hybridMultilevel"/>
    <w:lvl w:ilvl="0">
      <w:lvlJc w:val="left"/>
      <w:lvlText w:val="(%1)"/>
      <w:numFmt w:val="lowerLetter"/>
      <w:start w:val="9"/>
    </w:lvl>
  </w:abstractNum>
  <w:abstractNum w:abstractNumId="92">
    <w:nsid w:val="2A082C70"/>
    <w:multiLevelType w:val="hybridMultilevel"/>
    <w:lvl w:ilvl="0">
      <w:lvlJc w:val="left"/>
      <w:lvlText w:val="(%1)"/>
      <w:numFmt w:val="lowerLetter"/>
      <w:start w:val="2"/>
    </w:lvl>
  </w:abstractNum>
  <w:abstractNum w:abstractNumId="93">
    <w:nsid w:val="5EC6AFD4"/>
    <w:multiLevelType w:val="hybridMultilevel"/>
    <w:lvl w:ilvl="0">
      <w:lvlJc w:val="left"/>
      <w:lvlText w:val="(%1)"/>
      <w:numFmt w:val="lowerRoman"/>
      <w:start w:val="2"/>
    </w:lvl>
  </w:abstractNum>
  <w:abstractNum w:abstractNumId="94">
    <w:nsid w:val="19E21BB2"/>
    <w:multiLevelType w:val="hybridMultilevel"/>
    <w:lvl w:ilvl="0">
      <w:lvlJc w:val="left"/>
      <w:lvlText w:val="(%1)"/>
      <w:numFmt w:val="decimal"/>
      <w:start w:val="2"/>
    </w:lvl>
  </w:abstractNum>
  <w:abstractNum w:abstractNumId="95">
    <w:nsid w:val="75E0858A"/>
    <w:multiLevelType w:val="hybridMultilevel"/>
    <w:lvl w:ilvl="0">
      <w:lvlJc w:val="left"/>
      <w:lvlText w:val="(%1)"/>
      <w:numFmt w:val="lowerRoman"/>
      <w:start w:val="2"/>
    </w:lvl>
  </w:abstractNum>
  <w:abstractNum w:abstractNumId="96">
    <w:nsid w:val="57A61A29"/>
    <w:multiLevelType w:val="hybridMultilevel"/>
    <w:lvl w:ilvl="0">
      <w:lvlJc w:val="left"/>
      <w:lvlText w:val="•"/>
      <w:numFmt w:val="bullet"/>
      <w:start w:val="1"/>
    </w:lvl>
  </w:abstractNum>
  <w:abstractNum w:abstractNumId="97">
    <w:nsid w:val="5399C654"/>
    <w:multiLevelType w:val="hybridMultilevel"/>
    <w:lvl w:ilvl="0">
      <w:lvlJc w:val="left"/>
      <w:lvlText w:val="•"/>
      <w:numFmt w:val="bullet"/>
      <w:start w:val="1"/>
    </w:lvl>
  </w:abstractNum>
  <w:abstractNum w:abstractNumId="98">
    <w:nsid w:val="20EE1348"/>
    <w:multiLevelType w:val="hybridMultilevel"/>
    <w:lvl w:ilvl="0">
      <w:lvlJc w:val="left"/>
      <w:lvlText w:val="•"/>
      <w:numFmt w:val="bullet"/>
      <w:start w:val="1"/>
    </w:lvl>
  </w:abstractNum>
  <w:abstractNum w:abstractNumId="99">
    <w:nsid w:val="4427069A"/>
    <w:multiLevelType w:val="hybridMultilevel"/>
    <w:lvl w:ilvl="0">
      <w:lvlJc w:val="left"/>
      <w:lvlText w:val="•"/>
      <w:numFmt w:val="bullet"/>
      <w:start w:val="1"/>
    </w:lvl>
  </w:abstractNum>
  <w:abstractNum w:abstractNumId="100">
    <w:nsid w:val="B37E80A"/>
    <w:multiLevelType w:val="hybridMultilevel"/>
    <w:lvl w:ilvl="0">
      <w:lvlJc w:val="left"/>
      <w:lvlText w:val="•"/>
      <w:numFmt w:val="bullet"/>
      <w:start w:val="1"/>
    </w:lvl>
  </w:abstractNum>
  <w:abstractNum w:abstractNumId="101">
    <w:nsid w:val="2157F6BC"/>
    <w:multiLevelType w:val="hybridMultilevel"/>
    <w:lvl w:ilvl="0">
      <w:lvlJc w:val="left"/>
      <w:lvlText w:val="•"/>
      <w:numFmt w:val="bullet"/>
      <w:start w:val="1"/>
    </w:lvl>
  </w:abstractNum>
  <w:abstractNum w:abstractNumId="102">
    <w:nsid w:val="704E1DD5"/>
    <w:multiLevelType w:val="hybridMultilevel"/>
    <w:lvl w:ilvl="0">
      <w:lvlJc w:val="left"/>
      <w:lvlText w:val="%1."/>
      <w:numFmt w:val="decimal"/>
      <w:start w:val="1"/>
    </w:lvl>
    <w:lvl w:ilvl="1">
      <w:lvlJc w:val="left"/>
      <w:lvlText w:val="(%2)"/>
      <w:numFmt w:val="lowerLetter"/>
      <w:start w:val="3"/>
    </w:lvl>
    <w:lvl w:ilvl="2">
      <w:lvlJc w:val="left"/>
      <w:lvlText w:val="(%3)"/>
      <w:numFmt w:val="lowerRoman"/>
      <w:start w:val="1"/>
    </w:lvl>
  </w:abstractNum>
  <w:abstractNum w:abstractNumId="103">
    <w:nsid w:val="57D2F10E"/>
    <w:multiLevelType w:val="hybridMultilevel"/>
    <w:lvl w:ilvl="0">
      <w:lvlJc w:val="left"/>
      <w:lvlText w:val="(%1)"/>
      <w:numFmt w:val="lowerRoman"/>
      <w:start w:val="6"/>
    </w:lvl>
  </w:abstractNum>
  <w:abstractNum w:abstractNumId="104">
    <w:nsid w:val="BFFAE18"/>
    <w:multiLevelType w:val="hybridMultilevel"/>
    <w:lvl w:ilvl="0">
      <w:lvlJc w:val="left"/>
      <w:lvlText w:val="%1."/>
      <w:numFmt w:val="decimal"/>
      <w:start w:val="1"/>
    </w:lvl>
  </w:abstractNum>
  <w:abstractNum w:abstractNumId="105">
    <w:nsid w:val="E3E47A8"/>
    <w:multiLevelType w:val="hybridMultilevel"/>
    <w:lvl w:ilvl="0">
      <w:lvlJc w:val="left"/>
      <w:lvlText w:val="%1."/>
      <w:numFmt w:val="decimal"/>
      <w:start w:val="2"/>
    </w:lvl>
  </w:abstractNum>
  <w:abstractNum w:abstractNumId="106">
    <w:nsid w:val="2E48F044"/>
    <w:multiLevelType w:val="hybridMultilevel"/>
    <w:lvl w:ilvl="0">
      <w:lvlJc w:val="left"/>
      <w:lvlText w:val="%1."/>
      <w:numFmt w:val="decimal"/>
      <w:start w:val="3"/>
    </w:lvl>
    <w:lvl w:ilvl="1">
      <w:lvlJc w:val="left"/>
      <w:lvlText w:val="(%2)"/>
      <w:numFmt w:val="lowerLetter"/>
      <w:start w:val="1"/>
    </w:lvl>
  </w:abstractNum>
  <w:abstractNum w:abstractNumId="107">
    <w:nsid w:val="49D0FEAC"/>
    <w:multiLevelType w:val="hybridMultilevel"/>
    <w:lvl w:ilvl="0">
      <w:lvlJc w:val="left"/>
      <w:lvlText w:val="%1"/>
      <w:numFmt w:val="decimal"/>
      <w:start w:val="1"/>
    </w:lvl>
    <w:lvl w:ilvl="1">
      <w:lvlJc w:val="left"/>
      <w:lvlText w:val="(%2)"/>
      <w:numFmt w:val="lowerLetter"/>
      <w:start w:val="4"/>
    </w:lvl>
    <w:lvl w:ilvl="2">
      <w:lvlJc w:val="left"/>
      <w:lvlText w:val="%3"/>
      <w:numFmt w:val="lowerRoman"/>
      <w:start w:val="1"/>
    </w:lvl>
    <w:lvl w:ilvl="3">
      <w:lvlJc w:val="left"/>
      <w:lvlText w:val="%4"/>
      <w:numFmt w:val="upperLetter"/>
      <w:start w:val="1"/>
    </w:lvl>
  </w:abstractNum>
  <w:abstractNum w:abstractNumId="108">
    <w:nsid w:val="4BEE5A5B"/>
    <w:multiLevelType w:val="hybridMultilevel"/>
    <w:lvl w:ilvl="0">
      <w:lvlJc w:val="left"/>
      <w:lvlText w:val="%1."/>
      <w:numFmt w:val="decimal"/>
      <w:start w:val="4"/>
    </w:lvl>
    <w:lvl w:ilvl="1">
      <w:lvlJc w:val="left"/>
      <w:lvlText w:val="(%2)"/>
      <w:numFmt w:val="lowerLetter"/>
      <w:start w:val="1"/>
    </w:lvl>
    <w:lvl w:ilvl="2">
      <w:lvlJc w:val="left"/>
      <w:lvlText w:val="(%3)"/>
      <w:numFmt w:val="lowerRoman"/>
      <w:start w:val="1"/>
    </w:lvl>
    <w:lvl w:ilvl="3">
      <w:lvlJc w:val="left"/>
      <w:lvlText w:val="(%4)"/>
      <w:numFmt w:val="upperLetter"/>
      <w:start w:val="1"/>
    </w:lvl>
  </w:abstractNum>
  <w:abstractNum w:abstractNumId="109">
    <w:nsid w:val="5551B9F3"/>
    <w:multiLevelType w:val="hybridMultilevel"/>
    <w:lvl w:ilvl="0">
      <w:lvlJc w:val="left"/>
      <w:lvlText w:val="(%1)"/>
      <w:numFmt w:val="upperLetter"/>
      <w:start w:val="1"/>
    </w:lvl>
  </w:abstractNum>
  <w:abstractNum w:abstractNumId="110">
    <w:nsid w:val="24F6AB8E"/>
    <w:multiLevelType w:val="hybridMultilevel"/>
    <w:lvl w:ilvl="0">
      <w:lvlJc w:val="left"/>
      <w:lvlText w:val="%1"/>
      <w:numFmt w:val="lowerLetter"/>
      <w:start w:val="1"/>
    </w:lvl>
    <w:lvl w:ilvl="1">
      <w:lvlJc w:val="left"/>
      <w:lvlText w:val="%2"/>
      <w:numFmt w:val="lowerLetter"/>
      <w:start w:val="1"/>
    </w:lvl>
    <w:lvl w:ilvl="2">
      <w:lvlJc w:val="left"/>
      <w:lvlText w:val="%3"/>
      <w:numFmt w:val="lowerRoman"/>
      <w:start w:val="1"/>
    </w:lvl>
    <w:lvl w:ilvl="3">
      <w:lvlJc w:val="left"/>
      <w:lvlText w:val="(%4)"/>
      <w:numFmt w:val="upperLetter"/>
      <w:start w:val="4"/>
    </w:lvl>
  </w:abstractNum>
  <w:abstractNum w:abstractNumId="111">
    <w:nsid w:val="634C574C"/>
    <w:multiLevelType w:val="hybridMultilevel"/>
    <w:lvl w:ilvl="0">
      <w:lvlJc w:val="left"/>
      <w:lvlText w:val="%1"/>
      <w:numFmt w:val="lowerLetter"/>
      <w:start w:val="1"/>
    </w:lvl>
    <w:lvl w:ilvl="1">
      <w:lvlJc w:val="left"/>
      <w:lvlText w:val="(%2)"/>
      <w:numFmt w:val="lowerLetter"/>
      <w:start w:val="2"/>
    </w:lvl>
    <w:lvl w:ilvl="2">
      <w:lvlJc w:val="left"/>
      <w:lvlText w:val="%3"/>
      <w:numFmt w:val="lowerRoman"/>
      <w:start w:val="1"/>
    </w:lvl>
    <w:lvl w:ilvl="3">
      <w:lvlJc w:val="left"/>
      <w:lvlText w:val="%4"/>
      <w:numFmt w:val="upperLetter"/>
      <w:start w:val="1"/>
    </w:lvl>
  </w:abstractNum>
  <w:abstractNum w:abstractNumId="112">
    <w:nsid w:val="24E99DD7"/>
    <w:multiLevelType w:val="hybridMultilevel"/>
    <w:lvl w:ilvl="0">
      <w:lvlJc w:val="left"/>
      <w:lvlText w:val="(%1)"/>
      <w:numFmt w:val="lowerLetter"/>
      <w:start w:val="9"/>
    </w:lvl>
    <w:lvl w:ilvl="1">
      <w:lvlJc w:val="left"/>
      <w:lvlText w:val="(%2)"/>
      <w:numFmt w:val="lowerLetter"/>
      <w:start w:val="3"/>
    </w:lvl>
    <w:lvl w:ilvl="2">
      <w:lvlJc w:val="left"/>
      <w:lvlText w:val="(%3)"/>
      <w:numFmt w:val="lowerRoman"/>
      <w:start w:val="1"/>
    </w:lvl>
    <w:lvl w:ilvl="3">
      <w:lvlJc w:val="left"/>
      <w:lvlText w:val="%4"/>
      <w:numFmt w:val="upperLetter"/>
      <w:start w:val="1"/>
    </w:lvl>
  </w:abstractNum>
  <w:abstractNum w:abstractNumId="113">
    <w:nsid w:val="2A31B62D"/>
    <w:multiLevelType w:val="hybridMultilevel"/>
    <w:lvl w:ilvl="0">
      <w:lvlJc w:val="left"/>
      <w:lvlText w:val="%1."/>
      <w:numFmt w:val="decimal"/>
      <w:start w:val="5"/>
    </w:lvl>
    <w:lvl w:ilvl="1">
      <w:lvlJc w:val="left"/>
      <w:lvlText w:val="(%2)"/>
      <w:numFmt w:val="lowerLetter"/>
      <w:start w:val="1"/>
    </w:lvl>
    <w:lvl w:ilvl="2">
      <w:lvlJc w:val="left"/>
      <w:lvlText w:val="(%3)"/>
      <w:numFmt w:val="lowerRoman"/>
      <w:start w:val="1"/>
    </w:lvl>
  </w:abstractNum>
  <w:abstractNum w:abstractNumId="114">
    <w:nsid w:val="1849C29B"/>
    <w:multiLevelType w:val="hybridMultilevel"/>
    <w:lvl w:ilvl="0">
      <w:lvlJc w:val="left"/>
      <w:lvlText w:val="(%1)"/>
      <w:numFmt w:val="lowerLetter"/>
      <w:start w:val="4"/>
    </w:lvl>
  </w:abstractNum>
  <w:abstractNum w:abstractNumId="115">
    <w:nsid w:val="7DFF9D09"/>
    <w:multiLevelType w:val="hybridMultilevel"/>
    <w:lvl w:ilvl="0">
      <w:lvlJc w:val="left"/>
      <w:lvlText w:val="%1"/>
      <w:numFmt w:val="decimal"/>
      <w:start w:val="1"/>
    </w:lvl>
    <w:lvl w:ilvl="1">
      <w:lvlJc w:val="left"/>
      <w:lvlText w:val="(%2)"/>
      <w:numFmt w:val="lowerLetter"/>
      <w:start w:val="6"/>
    </w:lvl>
    <w:lvl w:ilvl="2">
      <w:lvlJc w:val="left"/>
      <w:lvlText w:val="(%3)"/>
      <w:numFmt w:val="lowerRoman"/>
      <w:start w:val="1"/>
    </w:lvl>
  </w:abstractNum>
  <w:abstractNum w:abstractNumId="116">
    <w:nsid w:val="754342"/>
    <w:multiLevelType w:val="hybridMultilevel"/>
    <w:lvl w:ilvl="0">
      <w:lvlJc w:val="left"/>
      <w:lvlText w:val="%1."/>
      <w:numFmt w:val="decimal"/>
      <w:start w:val="6"/>
    </w:lvl>
    <w:lvl w:ilvl="1">
      <w:lvlJc w:val="left"/>
      <w:lvlText w:val="(%2)"/>
      <w:numFmt w:val="lowerLetter"/>
      <w:start w:val="1"/>
    </w:lvl>
    <w:lvl w:ilvl="2">
      <w:lvlJc w:val="left"/>
      <w:lvlText w:val="%3"/>
      <w:numFmt w:val="lowerRoman"/>
      <w:start w:val="1"/>
    </w:lvl>
  </w:abstractNum>
  <w:abstractNum w:abstractNumId="117">
    <w:nsid w:val="69E7F3E5"/>
    <w:multiLevelType w:val="hybridMultilevel"/>
    <w:lvl w:ilvl="0">
      <w:lvlJc w:val="left"/>
      <w:lvlText w:val="%1"/>
      <w:numFmt w:val="decimal"/>
      <w:start w:val="1"/>
    </w:lvl>
    <w:lvl w:ilvl="1">
      <w:lvlJc w:val="left"/>
      <w:lvlText w:val="(%2)"/>
      <w:numFmt w:val="lowerLetter"/>
      <w:start w:val="2"/>
    </w:lvl>
    <w:lvl w:ilvl="2">
      <w:lvlJc w:val="left"/>
      <w:lvlText w:val="%3"/>
      <w:numFmt w:val="lowerLetter"/>
      <w:start w:val="1"/>
    </w:lvl>
  </w:abstractNum>
  <w:abstractNum w:abstractNumId="118">
    <w:nsid w:val="2A6DE806"/>
    <w:multiLevelType w:val="hybridMultilevel"/>
    <w:lvl w:ilvl="0">
      <w:lvlJc w:val="left"/>
      <w:lvlText w:val="%1."/>
      <w:numFmt w:val="decimal"/>
      <w:start w:val="7"/>
    </w:lvl>
    <w:lvl w:ilvl="1">
      <w:lvlJc w:val="left"/>
      <w:lvlText w:val="(%2)"/>
      <w:numFmt w:val="lowerLetter"/>
      <w:start w:val="1"/>
    </w:lvl>
    <w:lvl w:ilvl="2">
      <w:lvlJc w:val="left"/>
      <w:lvlText w:val="(%3)"/>
      <w:numFmt w:val="lowerLetter"/>
      <w:start w:val="9"/>
    </w:lvl>
  </w:abstractNum>
  <w:abstractNum w:abstractNumId="119">
    <w:nsid w:val="1816F8C4"/>
    <w:multiLevelType w:val="hybridMultilevel"/>
    <w:lvl w:ilvl="0">
      <w:lvlJc w:val="left"/>
      <w:lvlText w:val="%1"/>
      <w:numFmt w:val="lowerLetter"/>
      <w:start w:val="1"/>
    </w:lvl>
    <w:lvl w:ilvl="1">
      <w:lvlJc w:val="left"/>
      <w:lvlText w:val="(%2)"/>
      <w:numFmt w:val="lowerLetter"/>
      <w:start w:val="35"/>
    </w:lvl>
  </w:abstractNum>
  <w:abstractNum w:abstractNumId="120">
    <w:nsid w:val="37DF2233"/>
    <w:multiLevelType w:val="hybridMultilevel"/>
    <w:lvl w:ilvl="0">
      <w:lvlJc w:val="left"/>
      <w:lvlText w:val="(%1)"/>
      <w:numFmt w:val="lowerLetter"/>
      <w:start w:val="4"/>
    </w:lvl>
    <w:lvl w:ilvl="1">
      <w:lvlJc w:val="left"/>
      <w:lvlText w:val="(%2)"/>
      <w:numFmt w:val="lowerLetter"/>
      <w:start w:val="9"/>
    </w:lvl>
  </w:abstractNum>
  <w:abstractNum w:abstractNumId="121">
    <w:nsid w:val="7AB49DAF"/>
    <w:multiLevelType w:val="hybridMultilevel"/>
    <w:lvl w:ilvl="0">
      <w:lvlJc w:val="left"/>
      <w:lvlText w:val="%1"/>
      <w:numFmt w:val="decimal"/>
      <w:start w:val="1"/>
    </w:lvl>
    <w:lvl w:ilvl="1">
      <w:lvlJc w:val="left"/>
      <w:lvlText w:val="%2"/>
      <w:numFmt w:val="lowerLetter"/>
      <w:start w:val="1"/>
    </w:lvl>
    <w:lvl w:ilvl="2">
      <w:lvlJc w:val="left"/>
      <w:lvlText w:val="(%3)"/>
      <w:numFmt w:val="lowerRoman"/>
      <w:start w:val="2"/>
    </w:lvl>
  </w:abstractNum>
  <w:abstractNum w:abstractNumId="122">
    <w:nsid w:val="759F82CD"/>
    <w:multiLevelType w:val="hybridMultilevel"/>
    <w:lvl w:ilvl="0">
      <w:lvlJc w:val="left"/>
      <w:lvlText w:val="%1."/>
      <w:numFmt w:val="decimal"/>
      <w:start w:val="8"/>
    </w:lvl>
    <w:lvl w:ilvl="1">
      <w:lvlJc w:val="left"/>
      <w:lvlText w:val="(%2)"/>
      <w:numFmt w:val="lowerLetter"/>
      <w:start w:val="1"/>
    </w:lvl>
    <w:lvl w:ilvl="2">
      <w:lvlJc w:val="left"/>
      <w:lvlText w:val="%3"/>
      <w:numFmt w:val="lowerRoman"/>
      <w:start w:val="1"/>
    </w:lvl>
  </w:abstractNum>
  <w:abstractNum w:abstractNumId="123">
    <w:nsid w:val="61E74EA3"/>
    <w:multiLevelType w:val="hybridMultilevel"/>
    <w:lvl w:ilvl="0">
      <w:lvlJc w:val="left"/>
      <w:lvlText w:val="(%1)"/>
      <w:numFmt w:val="decimal"/>
      <w:start w:val="1"/>
    </w:lvl>
  </w:abstractNum>
  <w:abstractNum w:abstractNumId="124">
    <w:nsid w:val="597B4D84"/>
    <w:multiLevelType w:val="hybridMultilevel"/>
    <w:lvl w:ilvl="0">
      <w:lvlJc w:val="left"/>
      <w:lvlText w:val="%1."/>
      <w:numFmt w:val="lowerRoman"/>
      <w:start w:val="2"/>
    </w:lvl>
  </w:abstractNum>
  <w:abstractNum w:abstractNumId="125">
    <w:nsid w:val="F819E7F"/>
    <w:multiLevelType w:val="hybridMultilevel"/>
    <w:lvl w:ilvl="0">
      <w:lvlJc w:val="left"/>
      <w:lvlText w:val="%1."/>
      <w:numFmt w:val="lowerRoman"/>
      <w:start w:val="11"/>
    </w:lvl>
  </w:abstractNum>
  <w:abstractNum w:abstractNumId="126">
    <w:nsid w:val="57C7D42D"/>
    <w:multiLevelType w:val="hybridMultilevel"/>
    <w:lvl w:ilvl="0">
      <w:lvlJc w:val="left"/>
      <w:lvlText w:val="%1)"/>
      <w:numFmt w:val="lowerLetter"/>
      <w:start w:val="2"/>
    </w:lvl>
  </w:abstractNum>
  <w:abstractNum w:abstractNumId="127">
    <w:nsid w:val="312167AD"/>
    <w:multiLevelType w:val="hybridMultilevel"/>
    <w:lvl w:ilvl="0">
      <w:lvlJc w:val="left"/>
      <w:lvlText w:val="%1"/>
      <w:numFmt w:val="decimal"/>
      <w:start w:val="1"/>
    </w:lvl>
    <w:lvl w:ilvl="1">
      <w:lvlJc w:val="left"/>
      <w:lvlText w:val="(%2)"/>
      <w:numFmt w:val="lowerLetter"/>
      <w:start w:val="3"/>
    </w:lvl>
    <w:lvl w:ilvl="2">
      <w:lvlJc w:val="left"/>
      <w:lvlText w:val="%3"/>
      <w:numFmt w:val="lowerLetter"/>
      <w:start w:val="1"/>
    </w:lvl>
  </w:abstractNum>
  <w:abstractNum w:abstractNumId="128">
    <w:nsid w:val="631B64D4"/>
    <w:multiLevelType w:val="hybridMultilevel"/>
    <w:lvl w:ilvl="0">
      <w:lvlJc w:val="left"/>
      <w:lvlText w:val="%1."/>
      <w:numFmt w:val="decimal"/>
      <w:start w:val="10"/>
    </w:lvl>
    <w:lvl w:ilvl="1">
      <w:lvlJc w:val="left"/>
      <w:lvlText w:val="(%2)"/>
      <w:numFmt w:val="lowerLetter"/>
      <w:start w:val="1"/>
    </w:lvl>
    <w:lvl w:ilvl="2">
      <w:lvlJc w:val="left"/>
      <w:lvlText w:val="(%3)"/>
      <w:numFmt w:val="lowerLetter"/>
      <w:start w:val="9"/>
    </w:lvl>
  </w:abstractNum>
  <w:abstractNum w:abstractNumId="129">
    <w:nsid w:val="78B5E776"/>
    <w:multiLevelType w:val="hybridMultilevel"/>
    <w:lvl w:ilvl="0">
      <w:lvlJc w:val="left"/>
      <w:lvlText w:val="%1"/>
      <w:numFmt w:val="lowerRoman"/>
      <w:start w:val="1"/>
    </w:lvl>
    <w:lvl w:ilvl="1">
      <w:lvlJc w:val="left"/>
      <w:lvlText w:val="(%2)"/>
      <w:numFmt w:val="lowerRoman"/>
      <w:start w:val="2"/>
    </w:lvl>
    <w:lvl w:ilvl="2">
      <w:lvlJc w:val="left"/>
      <w:lvlText w:val="(%3)"/>
      <w:numFmt w:val="upperLetter"/>
      <w:start w:val="1"/>
    </w:lvl>
  </w:abstractNum>
  <w:abstractNum w:abstractNumId="130">
    <w:nsid w:val="75486E47"/>
    <w:multiLevelType w:val="hybridMultilevel"/>
    <w:lvl w:ilvl="0">
      <w:lvlJc w:val="left"/>
      <w:lvlText w:val="%1."/>
      <w:numFmt w:val="lowerRoman"/>
      <w:start w:val="1"/>
    </w:lvl>
    <w:lvl w:ilvl="1">
      <w:lvlJc w:val="left"/>
      <w:lvlText w:val="%2"/>
      <w:numFmt w:val="lowerRoman"/>
      <w:start w:val="1"/>
    </w:lvl>
    <w:lvl w:ilvl="2">
      <w:lvlJc w:val="left"/>
      <w:lvlText w:val="%3"/>
      <w:numFmt w:val="upperLetter"/>
      <w:start w:val="1"/>
    </w:lvl>
  </w:abstractNum>
  <w:abstractNum w:abstractNumId="131">
    <w:nsid w:val="6E534CDE"/>
    <w:multiLevelType w:val="hybridMultilevel"/>
    <w:lvl w:ilvl="0">
      <w:lvlJc w:val="left"/>
      <w:lvlText w:val="%1"/>
      <w:numFmt w:val="lowerRoman"/>
      <w:start w:val="1"/>
    </w:lvl>
    <w:lvl w:ilvl="1">
      <w:lvlJc w:val="left"/>
      <w:lvlText w:val="(%2)"/>
      <w:numFmt w:val="upperLetter"/>
      <w:start w:val="2"/>
    </w:lvl>
  </w:abstractNum>
  <w:abstractNum w:abstractNumId="132">
    <w:nsid w:val="1A0DDE32"/>
    <w:multiLevelType w:val="hybridMultilevel"/>
    <w:lvl w:ilvl="0">
      <w:lvlJc w:val="left"/>
      <w:lvlText w:val="(%1)"/>
      <w:numFmt w:val="lowerRoman"/>
      <w:start w:val="2"/>
    </w:lvl>
    <w:lvl w:ilvl="1">
      <w:lvlJc w:val="left"/>
      <w:lvlText w:val="(%2)"/>
      <w:numFmt w:val="upperLetter"/>
      <w:start w:val="3"/>
    </w:lvl>
  </w:abstractNum>
  <w:abstractNum w:abstractNumId="133">
    <w:nsid w:val="65968C1C"/>
    <w:multiLevelType w:val="hybridMultilevel"/>
    <w:lvl w:ilvl="0">
      <w:lvlJc w:val="left"/>
      <w:lvlText w:val="%1"/>
      <w:numFmt w:val="decimal"/>
      <w:start w:val="1"/>
    </w:lvl>
    <w:lvl w:ilvl="1">
      <w:lvlJc w:val="left"/>
      <w:lvlText w:val="%2"/>
      <w:numFmt w:val="lowerLetter"/>
      <w:start w:val="1"/>
    </w:lvl>
    <w:lvl w:ilvl="2">
      <w:lvlJc w:val="left"/>
      <w:lvlText w:val="%3"/>
      <w:numFmt w:val="lowerLetter"/>
      <w:start w:val="1"/>
    </w:lvl>
    <w:lvl w:ilvl="3">
      <w:lvlJc w:val="left"/>
      <w:lvlText w:val="(%4)"/>
      <w:numFmt w:val="upperLetter"/>
      <w:start w:val="4"/>
    </w:lvl>
  </w:abstractNum>
  <w:abstractNum w:abstractNumId="134">
    <w:nsid w:val="46263DEC"/>
    <w:multiLevelType w:val="hybridMultilevel"/>
    <w:lvl w:ilvl="0">
      <w:lvlJc w:val="left"/>
      <w:lvlText w:val="%1"/>
      <w:numFmt w:val="decimal"/>
      <w:start w:val="1"/>
    </w:lvl>
    <w:lvl w:ilvl="1">
      <w:lvlJc w:val="left"/>
      <w:lvlText w:val="%2"/>
      <w:numFmt w:val="lowerLetter"/>
      <w:start w:val="1"/>
    </w:lvl>
    <w:lvl w:ilvl="2">
      <w:lvlJc w:val="left"/>
      <w:lvlText w:val="(%3)"/>
      <w:numFmt w:val="lowerLetter"/>
      <w:start w:val="61"/>
    </w:lvl>
    <w:lvl w:ilvl="3">
      <w:lvlJc w:val="left"/>
      <w:lvlText w:val="%4"/>
      <w:numFmt w:val="upperLetter"/>
      <w:start w:val="1"/>
    </w:lvl>
  </w:abstractNum>
  <w:abstractNum w:abstractNumId="135">
    <w:nsid w:val="260D8C4A"/>
    <w:multiLevelType w:val="hybridMultilevel"/>
    <w:lvl w:ilvl="0">
      <w:lvlJc w:val="left"/>
      <w:lvlText w:val="%1."/>
      <w:numFmt w:val="decimal"/>
      <w:start w:val="11"/>
    </w:lvl>
    <w:lvl w:ilvl="1">
      <w:lvlJc w:val="left"/>
      <w:lvlText w:val="(%2)"/>
      <w:numFmt w:val="lowerLetter"/>
      <w:start w:val="1"/>
    </w:lvl>
    <w:lvl w:ilvl="2">
      <w:lvlJc w:val="left"/>
      <w:lvlText w:val="%3"/>
      <w:numFmt w:val="lowerLetter"/>
      <w:start w:val="1"/>
    </w:lvl>
    <w:lvl w:ilvl="3">
      <w:lvlJc w:val="left"/>
      <w:lvlText w:val="%4"/>
      <w:numFmt w:val="upperLetter"/>
      <w:start w:val="1"/>
    </w:lvl>
  </w:abstractNum>
  <w:abstractNum w:abstractNumId="136">
    <w:nsid w:val="73D4D3C4"/>
    <w:multiLevelType w:val="hybridMultilevel"/>
    <w:lvl w:ilvl="0">
      <w:lvlJc w:val="left"/>
      <w:lvlText w:val="%1"/>
      <w:numFmt w:val="decimal"/>
      <w:start w:val="1"/>
    </w:lvl>
    <w:lvl w:ilvl="1">
      <w:lvlJc w:val="left"/>
      <w:lvlText w:val="(%2)"/>
      <w:numFmt w:val="lowerLetter"/>
      <w:start w:val="4"/>
    </w:lvl>
  </w:abstractNum>
  <w:abstractNum w:abstractNumId="137">
    <w:nsid w:val="746F2E30"/>
    <w:multiLevelType w:val="hybridMultilevel"/>
    <w:lvl w:ilvl="0">
      <w:lvlJc w:val="left"/>
      <w:lvlText w:val="%1."/>
      <w:numFmt w:val="decimal"/>
      <w:start w:val="12"/>
    </w:lvl>
    <w:lvl w:ilvl="1">
      <w:lvlJc w:val="left"/>
      <w:lvlText w:val="(%2)"/>
      <w:numFmt w:val="lowerLetter"/>
      <w:start w:val="1"/>
    </w:lvl>
  </w:abstractNum>
  <w:abstractNum w:abstractNumId="138">
    <w:nsid w:val="6FDE8AF6"/>
    <w:multiLevelType w:val="hybridMultilevel"/>
    <w:lvl w:ilvl="0">
      <w:lvlJc w:val="left"/>
      <w:lvlText w:val="(%1)"/>
      <w:numFmt w:val="lowerLetter"/>
      <w:start w:val="2"/>
    </w:lvl>
  </w:abstractNum>
  <w:abstractNum w:abstractNumId="139">
    <w:nsid w:val="3FC32E20"/>
    <w:multiLevelType w:val="hybridMultilevel"/>
    <w:lvl w:ilvl="0">
      <w:lvlJc w:val="left"/>
      <w:lvlText w:val="(%1)"/>
      <w:numFmt w:val="lowerLetter"/>
      <w:start w:val="7"/>
    </w:lvl>
  </w:abstractNum>
  <w:abstractNum w:abstractNumId="140">
    <w:nsid w:val="49C0E823"/>
    <w:multiLevelType w:val="hybridMultilevel"/>
    <w:lvl w:ilvl="0">
      <w:lvlJc w:val="left"/>
      <w:lvlText w:val="•"/>
      <w:numFmt w:val="bullet"/>
      <w:start w:val="1"/>
    </w:lvl>
  </w:abstractNum>
  <w:abstractNum w:abstractNumId="141">
    <w:nsid w:val="14D53685"/>
    <w:multiLevelType w:val="hybridMultilevel"/>
    <w:lvl w:ilvl="0">
      <w:lvlJc w:val="left"/>
      <w:lvlText w:val="•"/>
      <w:numFmt w:val="bullet"/>
      <w:start w:val="1"/>
    </w:lvl>
  </w:abstractNum>
  <w:abstractNum w:abstractNumId="142">
    <w:nsid w:val="230F856C"/>
    <w:multiLevelType w:val="hybridMultilevel"/>
    <w:lvl w:ilvl="0">
      <w:lvlJc w:val="left"/>
      <w:lvlText w:val="%1."/>
      <w:numFmt w:val="upperLetter"/>
      <w:start w:val="9"/>
    </w:lvl>
    <w:lvl w:ilvl="1">
      <w:lvlJc w:val="left"/>
      <w:lvlText w:val="%2."/>
      <w:numFmt w:val="upperLetter"/>
      <w:start w:val="1"/>
    </w:lvl>
    <w:lvl w:ilvl="2">
      <w:lvlJc w:val="left"/>
      <w:lvlText w:val="•"/>
      <w:numFmt w:val="bullet"/>
      <w:start w:val="1"/>
    </w:lvl>
  </w:abstractNum>
  <w:abstractNum w:abstractNumId="143">
    <w:nsid w:val="6EAA85FB"/>
    <w:multiLevelType w:val="hybridMultilevel"/>
    <w:lvl w:ilvl="0">
      <w:lvlJc w:val="left"/>
      <w:lvlText w:val="%1."/>
      <w:numFmt w:val="upperLetter"/>
      <w:start w:val="35"/>
    </w:lvl>
    <w:lvl w:ilvl="1">
      <w:lvlJc w:val="left"/>
      <w:lvlText w:val="%2"/>
      <w:numFmt w:val="upperLetter"/>
      <w:start w:val="1"/>
    </w:lvl>
  </w:abstractNum>
  <w:abstractNum w:abstractNumId="144">
    <w:nsid w:val="3F06ECB2"/>
    <w:multiLevelType w:val="hybridMultilevel"/>
    <w:lvl w:ilvl="0">
      <w:lvlJc w:val="left"/>
      <w:lvlText w:val="%1."/>
      <w:numFmt w:val="upperLetter"/>
      <w:start w:val="2"/>
    </w:lvl>
    <w:lvl w:ilvl="1">
      <w:lvlJc w:val="left"/>
      <w:lvlText w:val="%2."/>
      <w:numFmt w:val="decimal"/>
      <w:start w:val="1"/>
    </w:lvl>
    <w:lvl w:ilvl="2">
      <w:lvlJc w:val="left"/>
      <w:lvlText w:val="•"/>
      <w:numFmt w:val="bullet"/>
      <w:start w:val="1"/>
    </w:lvl>
  </w:abstractNum>
  <w:abstractNum w:abstractNumId="145">
    <w:nsid w:val="3B594807"/>
    <w:multiLevelType w:val="hybridMultilevel"/>
    <w:lvl w:ilvl="0">
      <w:lvlJc w:val="left"/>
      <w:lvlText w:val="%1."/>
      <w:numFmt w:val="upperLetter"/>
      <w:start w:val="61"/>
    </w:lvl>
    <w:lvl w:ilvl="1">
      <w:lvlJc w:val="left"/>
      <w:lvlText w:val="%2."/>
      <w:numFmt w:val="upperLetter"/>
      <w:start w:val="1"/>
    </w:lvl>
    <w:lvl w:ilvl="2">
      <w:lvlJc w:val="left"/>
      <w:lvlText w:val="%3."/>
      <w:numFmt w:val="decimal"/>
      <w:start w:val="1"/>
    </w:lvl>
  </w:abstractNum>
  <w:abstractNum w:abstractNumId="146">
    <w:nsid w:val="6CAA2304"/>
    <w:multiLevelType w:val="hybridMultilevel"/>
    <w:lvl w:ilvl="0">
      <w:lvlJc w:val="left"/>
      <w:lvlText w:val="•"/>
      <w:numFmt w:val="bullet"/>
      <w:start w:val="1"/>
    </w:lvl>
  </w:abstractNum>
  <w:abstractNum w:abstractNumId="147">
    <w:nsid w:val="3F7C2FF4"/>
    <w:multiLevelType w:val="hybridMultilevel"/>
    <w:lvl w:ilvl="0">
      <w:lvlJc w:val="left"/>
      <w:lvlText w:val="%1."/>
      <w:numFmt w:val="upperLetter"/>
      <w:start w:val="2"/>
    </w:lvl>
    <w:lvl w:ilvl="1">
      <w:lvlJc w:val="left"/>
      <w:lvlText w:val="•"/>
      <w:numFmt w:val="bullet"/>
      <w:start w:val="1"/>
    </w:lvl>
  </w:abstractNum>
  <w:abstractNum w:abstractNumId="148">
    <w:nsid w:val="25413BEC"/>
    <w:multiLevelType w:val="hybridMultilevel"/>
    <w:lvl w:ilvl="0">
      <w:lvlJc w:val="left"/>
      <w:lvlText w:val="%1."/>
      <w:numFmt w:val="upperLetter"/>
      <w:start w:val="1"/>
    </w:lvl>
    <w:lvl w:ilvl="1">
      <w:lvlJc w:val="left"/>
      <w:lvlText w:val="%2."/>
      <w:numFmt w:val="decimal"/>
      <w:start w:val="1"/>
    </w:lvl>
  </w:abstractNum>
  <w:abstractNum w:abstractNumId="149">
    <w:nsid w:val="17180B0B"/>
    <w:multiLevelType w:val="hybridMultilevel"/>
    <w:lvl w:ilvl="0">
      <w:lvlJc w:val="left"/>
      <w:lvlText w:val="%1."/>
      <w:numFmt w:val="decimal"/>
      <w:start w:val="3"/>
    </w:lvl>
    <w:lvl w:ilvl="1">
      <w:lvlJc w:val="left"/>
      <w:lvlText w:val="•"/>
      <w:numFmt w:val="bullet"/>
      <w:start w:val="1"/>
    </w:lvl>
  </w:abstractNum>
  <w:abstractNum w:abstractNumId="150">
    <w:nsid w:val="579328B9"/>
    <w:multiLevelType w:val="hybridMultilevel"/>
    <w:lvl w:ilvl="0">
      <w:lvlJc w:val="left"/>
      <w:lvlText w:val="•"/>
      <w:numFmt w:val="bullet"/>
      <w:start w:val="1"/>
    </w:lvl>
  </w:abstractNum>
  <w:abstractNum w:abstractNumId="151">
    <w:nsid w:val="5D205E20"/>
    <w:multiLevelType w:val="hybridMultilevel"/>
    <w:lvl w:ilvl="0">
      <w:lvlJc w:val="left"/>
      <w:lvlText w:val="%1"/>
      <w:numFmt w:val="upperLetter"/>
      <w:start w:val="1"/>
    </w:lvl>
    <w:lvl w:ilvl="1">
      <w:lvlJc w:val="left"/>
      <w:lvlText w:val="%2."/>
      <w:numFmt w:val="decimal"/>
      <w:start w:val="5"/>
    </w:lvl>
    <w:lvl w:ilvl="2">
      <w:lvlJc w:val="left"/>
      <w:lvlText w:val="%3"/>
      <w:numFmt w:val="lowerLetter"/>
      <w:start w:val="1"/>
    </w:lvl>
    <w:lvl w:ilvl="3">
      <w:lvlJc w:val="left"/>
      <w:lvlText w:val="%4"/>
      <w:numFmt w:val="decimal"/>
      <w:start w:val="1"/>
    </w:lvl>
  </w:abstractNum>
  <w:abstractNum w:abstractNumId="152">
    <w:nsid w:val="11CCA8BA"/>
    <w:multiLevelType w:val="hybridMultilevel"/>
    <w:lvl w:ilvl="0">
      <w:lvlJc w:val="left"/>
      <w:lvlText w:val="%1."/>
      <w:numFmt w:val="upperLetter"/>
      <w:start w:val="3"/>
    </w:lvl>
    <w:lvl w:ilvl="1">
      <w:lvlJc w:val="left"/>
      <w:lvlText w:val="%2."/>
      <w:numFmt w:val="decimal"/>
      <w:start w:val="1"/>
    </w:lvl>
    <w:lvl w:ilvl="2">
      <w:lvlJc w:val="left"/>
      <w:lvlText w:val="%3."/>
      <w:numFmt w:val="lowerLetter"/>
      <w:start w:val="1"/>
    </w:lvl>
    <w:lvl w:ilvl="3">
      <w:lvlJc w:val="left"/>
      <w:lvlText w:val="%4."/>
      <w:numFmt w:val="decimal"/>
      <w:start w:val="1"/>
    </w:lvl>
  </w:abstractNum>
  <w:abstractNum w:abstractNumId="153">
    <w:nsid w:val="4D32AB86"/>
    <w:multiLevelType w:val="hybridMultilevel"/>
    <w:lvl w:ilvl="0">
      <w:lvlJc w:val="left"/>
      <w:lvlText w:val="%1."/>
      <w:numFmt w:val="decimal"/>
      <w:start w:val="3"/>
    </w:lvl>
    <w:lvl w:ilvl="1">
      <w:lvlJc w:val="left"/>
      <w:lvlText w:val="%2."/>
      <w:numFmt w:val="decimal"/>
      <w:start w:val="1"/>
    </w:lvl>
  </w:abstractNum>
  <w:abstractNum w:abstractNumId="154">
    <w:nsid w:val="3F07ACC3"/>
    <w:multiLevelType w:val="hybridMultilevel"/>
    <w:lvl w:ilvl="0">
      <w:lvlJc w:val="left"/>
      <w:lvlText w:val="%1."/>
      <w:numFmt w:val="decimal"/>
      <w:start w:val="4"/>
    </w:lvl>
    <w:lvl w:ilvl="1">
      <w:lvlJc w:val="left"/>
      <w:lvlText w:val="%2."/>
      <w:numFmt w:val="decimal"/>
      <w:start w:val="1"/>
    </w:lvl>
  </w:abstractNum>
  <w:abstractNum w:abstractNumId="155">
    <w:nsid w:val="6B47F63E"/>
    <w:multiLevelType w:val="hybridMultilevel"/>
    <w:lvl w:ilvl="0">
      <w:lvlJc w:val="left"/>
      <w:lvlText w:val="%1."/>
      <w:numFmt w:val="decimal"/>
      <w:start w:val="8"/>
    </w:lvl>
  </w:abstractNum>
  <w:abstractNum w:abstractNumId="156">
    <w:nsid w:val="5CB44A05"/>
    <w:multiLevelType w:val="hybridMultilevel"/>
    <w:lvl w:ilvl="0">
      <w:lvlJc w:val="left"/>
      <w:lvlText w:val="%1"/>
      <w:numFmt w:val="upperLetter"/>
      <w:start w:val="1"/>
    </w:lvl>
    <w:lvl w:ilvl="1">
      <w:lvlJc w:val="left"/>
      <w:lvlText w:val="%2."/>
      <w:numFmt w:val="decimal"/>
      <w:start w:val="9"/>
    </w:lvl>
  </w:abstractNum>
  <w:abstractNum w:abstractNumId="157">
    <w:nsid w:val="16CF80F1"/>
    <w:multiLevelType w:val="hybridMultilevel"/>
    <w:lvl w:ilvl="0">
      <w:lvlJc w:val="left"/>
      <w:lvlText w:val="%1."/>
      <w:numFmt w:val="upperLetter"/>
      <w:start w:val="22"/>
    </w:lvl>
    <w:lvl w:ilvl="1">
      <w:lvlJc w:val="left"/>
      <w:lvlText w:val="%2"/>
      <w:numFmt w:val="decimal"/>
      <w:start w:val="1"/>
    </w:lvl>
  </w:abstractNum>
  <w:abstractNum w:abstractNumId="158">
    <w:nsid w:val="1C695DEC"/>
    <w:multiLevelType w:val="hybridMultilevel"/>
    <w:lvl w:ilvl="0">
      <w:lvlJc w:val="left"/>
      <w:lvlText w:val="%1."/>
      <w:numFmt w:val="upperLetter"/>
      <w:start w:val="1"/>
    </w:lvl>
  </w:abstractNum>
  <w:abstractNum w:abstractNumId="159">
    <w:nsid w:val="3FCFAED9"/>
    <w:multiLevelType w:val="hybridMultilevel"/>
    <w:lvl w:ilvl="0">
      <w:lvlJc w:val="left"/>
      <w:lvlText w:val="%1."/>
      <w:numFmt w:val="decimal"/>
      <w:start w:val="1"/>
    </w:lvl>
  </w:abstractNum>
  <w:abstractNum w:abstractNumId="160">
    <w:nsid w:val="F856867"/>
    <w:multiLevelType w:val="hybridMultilevel"/>
    <w:lvl w:ilvl="0">
      <w:lvlJc w:val="left"/>
      <w:lvlText w:val="%1."/>
      <w:numFmt w:val="decimal"/>
      <w:start w:val="1"/>
    </w:lvl>
  </w:abstractNum>
  <w:abstractNum w:abstractNumId="161">
    <w:nsid w:val="11B1CC33"/>
    <w:multiLevelType w:val="hybridMultilevel"/>
    <w:lvl w:ilvl="0">
      <w:lvlJc w:val="left"/>
      <w:lvlText w:val="□"/>
      <w:numFmt w:val="bullet"/>
      <w:start w:val="1"/>
    </w:lvl>
  </w:abstractNum>
  <w:abstractNum w:abstractNumId="162">
    <w:nsid w:val="2E22FBB7"/>
    <w:multiLevelType w:val="hybridMultilevel"/>
    <w:lvl w:ilvl="0">
      <w:lvlJc w:val="left"/>
      <w:lvlText w:val="%1."/>
      <w:numFmt w:val="decimal"/>
      <w:start w:val="1"/>
    </w:lvl>
    <w:lvl w:ilvl="1">
      <w:lvlJc w:val="left"/>
      <w:lvlText w:val="%2)"/>
      <w:numFmt w:val="lowerLetter"/>
      <w:start w:val="1"/>
    </w:lvl>
  </w:abstractNum>
  <w:abstractNum w:abstractNumId="163">
    <w:nsid w:val="29934699"/>
    <w:multiLevelType w:val="hybridMultilevel"/>
    <w:lvl w:ilvl="0">
      <w:lvlJc w:val="left"/>
      <w:lvlText w:val="%1."/>
      <w:numFmt w:val="decimal"/>
      <w:start w:val="1"/>
    </w:lvl>
    <w:lvl w:ilvl="1">
      <w:lvlJc w:val="left"/>
      <w:lvlText w:val="%2)"/>
      <w:numFmt w:val="lowerLetter"/>
      <w:start w:val="1"/>
    </w:lvl>
  </w:abstractNum>
  <w:abstractNum w:abstractNumId="164">
    <w:nsid w:val="77485850"/>
    <w:multiLevelType w:val="hybridMultilevel"/>
    <w:lvl w:ilvl="0">
      <w:lvlJc w:val="left"/>
      <w:lvlText w:val="(%1)"/>
      <w:numFmt w:val="decim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18"/>
  </w:num>
  <w:num w:numId="120">
    <w:abstractNumId w:val="119"/>
  </w:num>
  <w:num w:numId="121">
    <w:abstractNumId w:val="120"/>
  </w:num>
  <w:num w:numId="122">
    <w:abstractNumId w:val="121"/>
  </w:num>
  <w:num w:numId="123">
    <w:abstractNumId w:val="122"/>
  </w:num>
  <w:num w:numId="124">
    <w:abstractNumId w:val="123"/>
  </w:num>
  <w:num w:numId="125">
    <w:abstractNumId w:val="124"/>
  </w:num>
  <w:num w:numId="126">
    <w:abstractNumId w:val="125"/>
  </w:num>
  <w:num w:numId="127">
    <w:abstractNumId w:val="126"/>
  </w:num>
  <w:num w:numId="128">
    <w:abstractNumId w:val="127"/>
  </w:num>
  <w:num w:numId="129">
    <w:abstractNumId w:val="128"/>
  </w:num>
  <w:num w:numId="130">
    <w:abstractNumId w:val="129"/>
  </w:num>
  <w:num w:numId="131">
    <w:abstractNumId w:val="130"/>
  </w:num>
  <w:num w:numId="132">
    <w:abstractNumId w:val="131"/>
  </w:num>
  <w:num w:numId="133">
    <w:abstractNumId w:val="132"/>
  </w:num>
  <w:num w:numId="134">
    <w:abstractNumId w:val="133"/>
  </w:num>
  <w:num w:numId="135">
    <w:abstractNumId w:val="134"/>
  </w:num>
  <w:num w:numId="136">
    <w:abstractNumId w:val="135"/>
  </w:num>
  <w:num w:numId="137">
    <w:abstractNumId w:val="136"/>
  </w:num>
  <w:num w:numId="138">
    <w:abstractNumId w:val="137"/>
  </w:num>
  <w:num w:numId="139">
    <w:abstractNumId w:val="138"/>
  </w:num>
  <w:num w:numId="140">
    <w:abstractNumId w:val="139"/>
  </w:num>
  <w:num w:numId="141">
    <w:abstractNumId w:val="140"/>
  </w:num>
  <w:num w:numId="142">
    <w:abstractNumId w:val="141"/>
  </w:num>
  <w:num w:numId="143">
    <w:abstractNumId w:val="142"/>
  </w:num>
  <w:num w:numId="144">
    <w:abstractNumId w:val="143"/>
  </w:num>
  <w:num w:numId="145">
    <w:abstractNumId w:val="144"/>
  </w:num>
  <w:num w:numId="146">
    <w:abstractNumId w:val="145"/>
  </w:num>
  <w:num w:numId="147">
    <w:abstractNumId w:val="146"/>
  </w:num>
  <w:num w:numId="148">
    <w:abstractNumId w:val="147"/>
  </w:num>
  <w:num w:numId="149">
    <w:abstractNumId w:val="148"/>
  </w:num>
  <w:num w:numId="150">
    <w:abstractNumId w:val="149"/>
  </w:num>
  <w:num w:numId="151">
    <w:abstractNumId w:val="150"/>
  </w:num>
  <w:num w:numId="152">
    <w:abstractNumId w:val="151"/>
  </w:num>
  <w:num w:numId="153">
    <w:abstractNumId w:val="152"/>
  </w:num>
  <w:num w:numId="154">
    <w:abstractNumId w:val="153"/>
  </w:num>
  <w:num w:numId="155">
    <w:abstractNumId w:val="154"/>
  </w:num>
  <w:num w:numId="156">
    <w:abstractNumId w:val="155"/>
  </w:num>
  <w:num w:numId="157">
    <w:abstractNumId w:val="156"/>
  </w:num>
  <w:num w:numId="158">
    <w:abstractNumId w:val="157"/>
  </w:num>
  <w:num w:numId="159">
    <w:abstractNumId w:val="158"/>
  </w:num>
  <w:num w:numId="160">
    <w:abstractNumId w:val="159"/>
  </w:num>
  <w:num w:numId="161">
    <w:abstractNumId w:val="160"/>
  </w:num>
  <w:num w:numId="162">
    <w:abstractNumId w:val="161"/>
  </w:num>
  <w:num w:numId="163">
    <w:abstractNumId w:val="162"/>
  </w:num>
  <w:num w:numId="164">
    <w:abstractNumId w:val="163"/>
  </w:num>
  <w:num w:numId="165">
    <w:abstractNumId w:val="1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jpe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jpe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 Id="rId90" Type="http://schemas.openxmlformats.org/officeDocument/2006/relationships/image" Target="media/image83.png"/><Relationship Id="rId91" Type="http://schemas.openxmlformats.org/officeDocument/2006/relationships/image" Target="media/image84.png"/><Relationship Id="rId92" Type="http://schemas.openxmlformats.org/officeDocument/2006/relationships/image" Target="media/image85.png"/><Relationship Id="rId93" Type="http://schemas.openxmlformats.org/officeDocument/2006/relationships/image" Target="media/image86.png"/><Relationship Id="rId94" Type="http://schemas.openxmlformats.org/officeDocument/2006/relationships/image" Target="media/image87.png"/><Relationship Id="rId95" Type="http://schemas.openxmlformats.org/officeDocument/2006/relationships/image" Target="media/image88.png"/><Relationship Id="rId96" Type="http://schemas.openxmlformats.org/officeDocument/2006/relationships/image" Target="media/image89.png"/><Relationship Id="rId97" Type="http://schemas.openxmlformats.org/officeDocument/2006/relationships/image" Target="media/image90.png"/><Relationship Id="rId98" Type="http://schemas.openxmlformats.org/officeDocument/2006/relationships/image" Target="media/image91.png"/><Relationship Id="rId99" Type="http://schemas.openxmlformats.org/officeDocument/2006/relationships/image" Target="media/image92.png"/><Relationship Id="rId100" Type="http://schemas.openxmlformats.org/officeDocument/2006/relationships/image" Target="media/image93.png"/><Relationship Id="rId101" Type="http://schemas.openxmlformats.org/officeDocument/2006/relationships/image" Target="media/image94.png"/><Relationship Id="rId102" Type="http://schemas.openxmlformats.org/officeDocument/2006/relationships/image" Target="media/image95.png"/><Relationship Id="rId103" Type="http://schemas.openxmlformats.org/officeDocument/2006/relationships/image" Target="media/image96.png"/><Relationship Id="rId104" Type="http://schemas.openxmlformats.org/officeDocument/2006/relationships/image" Target="media/image97.png"/><Relationship Id="rId105" Type="http://schemas.openxmlformats.org/officeDocument/2006/relationships/image" Target="media/image98.png"/><Relationship Id="rId106" Type="http://schemas.openxmlformats.org/officeDocument/2006/relationships/image" Target="media/image99.png"/><Relationship Id="rId107" Type="http://schemas.openxmlformats.org/officeDocument/2006/relationships/image" Target="media/image100.png"/><Relationship Id="rId108" Type="http://schemas.openxmlformats.org/officeDocument/2006/relationships/image" Target="media/image101.png"/><Relationship Id="rId109" Type="http://schemas.openxmlformats.org/officeDocument/2006/relationships/image" Target="media/image102.png"/><Relationship Id="rId110" Type="http://schemas.openxmlformats.org/officeDocument/2006/relationships/image" Target="media/image103.png"/><Relationship Id="rId111" Type="http://schemas.openxmlformats.org/officeDocument/2006/relationships/image" Target="media/image104.png"/><Relationship Id="rId112" Type="http://schemas.openxmlformats.org/officeDocument/2006/relationships/image" Target="media/image105.png"/><Relationship Id="rId113" Type="http://schemas.openxmlformats.org/officeDocument/2006/relationships/image" Target="media/image106.png"/><Relationship Id="rId114" Type="http://schemas.openxmlformats.org/officeDocument/2006/relationships/image" Target="media/image107.png"/><Relationship Id="rId115" Type="http://schemas.openxmlformats.org/officeDocument/2006/relationships/image" Target="media/image108.png"/><Relationship Id="rId116" Type="http://schemas.openxmlformats.org/officeDocument/2006/relationships/image" Target="media/image109.png"/><Relationship Id="rId117" Type="http://schemas.openxmlformats.org/officeDocument/2006/relationships/image" Target="media/image110.png"/><Relationship Id="rId118" Type="http://schemas.openxmlformats.org/officeDocument/2006/relationships/image" Target="media/image111.png"/><Relationship Id="rId119" Type="http://schemas.openxmlformats.org/officeDocument/2006/relationships/image" Target="media/image112.png"/><Relationship Id="rId120" Type="http://schemas.openxmlformats.org/officeDocument/2006/relationships/image" Target="media/image113.png"/><Relationship Id="rId121" Type="http://schemas.openxmlformats.org/officeDocument/2006/relationships/image" Target="media/image114.png"/><Relationship Id="rId122" Type="http://schemas.openxmlformats.org/officeDocument/2006/relationships/image" Target="media/image115.png"/><Relationship Id="rId123" Type="http://schemas.openxmlformats.org/officeDocument/2006/relationships/image" Target="media/image116.png"/><Relationship Id="rId124" Type="http://schemas.openxmlformats.org/officeDocument/2006/relationships/image" Target="media/image117.png"/><Relationship Id="rId125" Type="http://schemas.openxmlformats.org/officeDocument/2006/relationships/image" Target="media/image118.png"/><Relationship Id="rId126" Type="http://schemas.openxmlformats.org/officeDocument/2006/relationships/image" Target="media/image119.png"/><Relationship Id="rId127" Type="http://schemas.openxmlformats.org/officeDocument/2006/relationships/image" Target="media/image120.png"/><Relationship Id="rId128" Type="http://schemas.openxmlformats.org/officeDocument/2006/relationships/image" Target="media/image121.png"/><Relationship Id="rId129" Type="http://schemas.openxmlformats.org/officeDocument/2006/relationships/image" Target="media/image122.png"/><Relationship Id="rId130" Type="http://schemas.openxmlformats.org/officeDocument/2006/relationships/image" Target="media/image123.png"/><Relationship Id="rId131" Type="http://schemas.openxmlformats.org/officeDocument/2006/relationships/image" Target="media/image124.png"/><Relationship Id="rId132" Type="http://schemas.openxmlformats.org/officeDocument/2006/relationships/image" Target="media/image125.png"/><Relationship Id="rId133" Type="http://schemas.openxmlformats.org/officeDocument/2006/relationships/image" Target="media/image126.png"/><Relationship Id="rId134" Type="http://schemas.openxmlformats.org/officeDocument/2006/relationships/image" Target="media/image127.png"/><Relationship Id="rId135" Type="http://schemas.openxmlformats.org/officeDocument/2006/relationships/image" Target="media/image128.png"/><Relationship Id="rId136" Type="http://schemas.openxmlformats.org/officeDocument/2006/relationships/image" Target="media/image129.png"/><Relationship Id="rId137" Type="http://schemas.openxmlformats.org/officeDocument/2006/relationships/image" Target="media/image130.png"/><Relationship Id="rId138" Type="http://schemas.openxmlformats.org/officeDocument/2006/relationships/image" Target="media/image131.png"/><Relationship Id="rId139" Type="http://schemas.openxmlformats.org/officeDocument/2006/relationships/image" Target="media/image132.png"/><Relationship Id="rId140" Type="http://schemas.openxmlformats.org/officeDocument/2006/relationships/image" Target="media/image133.png"/><Relationship Id="rId141" Type="http://schemas.openxmlformats.org/officeDocument/2006/relationships/image" Target="media/image134.png"/><Relationship Id="rId142" Type="http://schemas.openxmlformats.org/officeDocument/2006/relationships/image" Target="media/image135.png"/><Relationship Id="rId143" Type="http://schemas.openxmlformats.org/officeDocument/2006/relationships/image" Target="media/image136.png"/><Relationship Id="rId144" Type="http://schemas.openxmlformats.org/officeDocument/2006/relationships/image" Target="media/image137.png"/><Relationship Id="rId145" Type="http://schemas.openxmlformats.org/officeDocument/2006/relationships/image" Target="media/image138.png"/><Relationship Id="rId146" Type="http://schemas.openxmlformats.org/officeDocument/2006/relationships/image" Target="media/image139.png"/><Relationship Id="rId147" Type="http://schemas.openxmlformats.org/officeDocument/2006/relationships/image" Target="media/image140.png"/><Relationship Id="rId148" Type="http://schemas.openxmlformats.org/officeDocument/2006/relationships/image" Target="media/image141.png"/><Relationship Id="rId149" Type="http://schemas.openxmlformats.org/officeDocument/2006/relationships/image" Target="media/image142.png"/><Relationship Id="rId150" Type="http://schemas.openxmlformats.org/officeDocument/2006/relationships/image" Target="media/image143.png"/><Relationship Id="rId151" Type="http://schemas.openxmlformats.org/officeDocument/2006/relationships/image" Target="media/image144.png"/><Relationship Id="rId152" Type="http://schemas.openxmlformats.org/officeDocument/2006/relationships/image" Target="media/image145.png"/><Relationship Id="rId153" Type="http://schemas.openxmlformats.org/officeDocument/2006/relationships/image" Target="media/image146.png"/><Relationship Id="rId154" Type="http://schemas.openxmlformats.org/officeDocument/2006/relationships/image" Target="media/image147.png"/><Relationship Id="rId155" Type="http://schemas.openxmlformats.org/officeDocument/2006/relationships/image" Target="media/image148.png"/><Relationship Id="rId156" Type="http://schemas.openxmlformats.org/officeDocument/2006/relationships/image" Target="media/image149.png"/><Relationship Id="rId157" Type="http://schemas.openxmlformats.org/officeDocument/2006/relationships/image" Target="media/image150.png"/><Relationship Id="rId158" Type="http://schemas.openxmlformats.org/officeDocument/2006/relationships/image" Target="media/image151.png"/><Relationship Id="rId159" Type="http://schemas.openxmlformats.org/officeDocument/2006/relationships/image" Target="media/image152.png"/><Relationship Id="rId160" Type="http://schemas.openxmlformats.org/officeDocument/2006/relationships/image" Target="media/image153.png"/><Relationship Id="rId161" Type="http://schemas.openxmlformats.org/officeDocument/2006/relationships/image" Target="media/image154.png"/><Relationship Id="rId162" Type="http://schemas.openxmlformats.org/officeDocument/2006/relationships/image" Target="media/image155.png"/><Relationship Id="rId163" Type="http://schemas.openxmlformats.org/officeDocument/2006/relationships/image" Target="media/image156.png"/><Relationship Id="rId164" Type="http://schemas.openxmlformats.org/officeDocument/2006/relationships/image" Target="media/image157.png"/><Relationship Id="rId165" Type="http://schemas.openxmlformats.org/officeDocument/2006/relationships/image" Target="media/image158.png"/><Relationship Id="rId166" Type="http://schemas.openxmlformats.org/officeDocument/2006/relationships/image" Target="media/image159.png"/><Relationship Id="rId167" Type="http://schemas.openxmlformats.org/officeDocument/2006/relationships/image" Target="media/image160.png"/><Relationship Id="rId168" Type="http://schemas.openxmlformats.org/officeDocument/2006/relationships/image" Target="media/image161.png"/><Relationship Id="rId169" Type="http://schemas.openxmlformats.org/officeDocument/2006/relationships/image" Target="media/image162.png"/><Relationship Id="rId170" Type="http://schemas.openxmlformats.org/officeDocument/2006/relationships/image" Target="media/image163.png"/><Relationship Id="rId171" Type="http://schemas.openxmlformats.org/officeDocument/2006/relationships/image" Target="media/image164.png"/><Relationship Id="rId172" Type="http://schemas.openxmlformats.org/officeDocument/2006/relationships/image" Target="media/image165.png"/><Relationship Id="rId173" Type="http://schemas.openxmlformats.org/officeDocument/2006/relationships/image" Target="media/image166.png"/><Relationship Id="rId174" Type="http://schemas.openxmlformats.org/officeDocument/2006/relationships/image" Target="media/image167.png"/><Relationship Id="rId175" Type="http://schemas.openxmlformats.org/officeDocument/2006/relationships/image" Target="media/image168.png"/><Relationship Id="rId176" Type="http://schemas.openxmlformats.org/officeDocument/2006/relationships/image" Target="media/image169.png"/><Relationship Id="rId177" Type="http://schemas.openxmlformats.org/officeDocument/2006/relationships/image" Target="media/image170.png"/><Relationship Id="rId178" Type="http://schemas.openxmlformats.org/officeDocument/2006/relationships/image" Target="media/image171.png"/><Relationship Id="rId179" Type="http://schemas.openxmlformats.org/officeDocument/2006/relationships/image" Target="media/image172.png"/><Relationship Id="rId180" Type="http://schemas.openxmlformats.org/officeDocument/2006/relationships/image" Target="media/image173.png"/><Relationship Id="rId181" Type="http://schemas.openxmlformats.org/officeDocument/2006/relationships/image" Target="media/image174.png"/><Relationship Id="rId182" Type="http://schemas.openxmlformats.org/officeDocument/2006/relationships/image" Target="media/image175.png"/><Relationship Id="rId183" Type="http://schemas.openxmlformats.org/officeDocument/2006/relationships/image" Target="media/image176.png"/><Relationship Id="rId184" Type="http://schemas.openxmlformats.org/officeDocument/2006/relationships/image" Target="media/image177.png"/><Relationship Id="rId185" Type="http://schemas.openxmlformats.org/officeDocument/2006/relationships/image" Target="media/image178.png"/><Relationship Id="rId186" Type="http://schemas.openxmlformats.org/officeDocument/2006/relationships/image" Target="media/image179.png"/><Relationship Id="rId187" Type="http://schemas.openxmlformats.org/officeDocument/2006/relationships/image" Target="media/image180.png"/><Relationship Id="rId188" Type="http://schemas.openxmlformats.org/officeDocument/2006/relationships/image" Target="media/image181.png"/><Relationship Id="rId189" Type="http://schemas.openxmlformats.org/officeDocument/2006/relationships/image" Target="media/image182.png"/><Relationship Id="rId190" Type="http://schemas.openxmlformats.org/officeDocument/2006/relationships/image" Target="media/image183.png"/><Relationship Id="rId191" Type="http://schemas.openxmlformats.org/officeDocument/2006/relationships/image" Target="media/image184.png"/><Relationship Id="rId192" Type="http://schemas.openxmlformats.org/officeDocument/2006/relationships/image" Target="media/image185.png"/><Relationship Id="rId193" Type="http://schemas.openxmlformats.org/officeDocument/2006/relationships/image" Target="media/image186.png"/><Relationship Id="rId194" Type="http://schemas.openxmlformats.org/officeDocument/2006/relationships/image" Target="media/image187.png"/><Relationship Id="rId195" Type="http://schemas.openxmlformats.org/officeDocument/2006/relationships/image" Target="media/image188.png"/><Relationship Id="rId196" Type="http://schemas.openxmlformats.org/officeDocument/2006/relationships/image" Target="media/image189.png"/><Relationship Id="rId197" Type="http://schemas.openxmlformats.org/officeDocument/2006/relationships/image" Target="media/image190.png"/><Relationship Id="rId198" Type="http://schemas.openxmlformats.org/officeDocument/2006/relationships/image" Target="media/image191.png"/><Relationship Id="rId199" Type="http://schemas.openxmlformats.org/officeDocument/2006/relationships/image" Target="media/image192.png"/><Relationship Id="rId200" Type="http://schemas.openxmlformats.org/officeDocument/2006/relationships/image" Target="media/image193.png"/><Relationship Id="rId201" Type="http://schemas.openxmlformats.org/officeDocument/2006/relationships/image" Target="media/image194.png"/><Relationship Id="rId202" Type="http://schemas.openxmlformats.org/officeDocument/2006/relationships/image" Target="media/image195.png"/><Relationship Id="rId203" Type="http://schemas.openxmlformats.org/officeDocument/2006/relationships/image" Target="media/image196.png"/><Relationship Id="rId204" Type="http://schemas.openxmlformats.org/officeDocument/2006/relationships/image" Target="media/image197.png"/><Relationship Id="rId205" Type="http://schemas.openxmlformats.org/officeDocument/2006/relationships/image" Target="media/image198.png"/><Relationship Id="rId206" Type="http://schemas.openxmlformats.org/officeDocument/2006/relationships/image" Target="media/image199.png"/><Relationship Id="rId207" Type="http://schemas.openxmlformats.org/officeDocument/2006/relationships/image" Target="media/image200.png"/><Relationship Id="rId208" Type="http://schemas.openxmlformats.org/officeDocument/2006/relationships/image" Target="media/image201.png"/><Relationship Id="rId209" Type="http://schemas.openxmlformats.org/officeDocument/2006/relationships/image" Target="media/image202.png"/><Relationship Id="rId210" Type="http://schemas.openxmlformats.org/officeDocument/2006/relationships/image" Target="media/image203.png"/><Relationship Id="rId211" Type="http://schemas.openxmlformats.org/officeDocument/2006/relationships/image" Target="media/image204.png"/><Relationship Id="rId212" Type="http://schemas.openxmlformats.org/officeDocument/2006/relationships/image" Target="media/image205.png"/><Relationship Id="rId213" Type="http://schemas.openxmlformats.org/officeDocument/2006/relationships/image" Target="media/image206.png"/><Relationship Id="rId214" Type="http://schemas.openxmlformats.org/officeDocument/2006/relationships/image" Target="media/image207.png"/><Relationship Id="rId215" Type="http://schemas.openxmlformats.org/officeDocument/2006/relationships/image" Target="media/image208.png"/><Relationship Id="rId216" Type="http://schemas.openxmlformats.org/officeDocument/2006/relationships/image" Target="media/image209.png"/><Relationship Id="rId217" Type="http://schemas.openxmlformats.org/officeDocument/2006/relationships/image" Target="media/image210.png"/><Relationship Id="rId218" Type="http://schemas.openxmlformats.org/officeDocument/2006/relationships/image" Target="media/image211.png"/><Relationship Id="rId219" Type="http://schemas.openxmlformats.org/officeDocument/2006/relationships/image" Target="media/image212.png"/><Relationship Id="rId220" Type="http://schemas.openxmlformats.org/officeDocument/2006/relationships/image" Target="media/image213.png"/><Relationship Id="rId221" Type="http://schemas.openxmlformats.org/officeDocument/2006/relationships/image" Target="media/image214.png"/><Relationship Id="rId222" Type="http://schemas.openxmlformats.org/officeDocument/2006/relationships/image" Target="media/image215.png"/><Relationship Id="rId223" Type="http://schemas.openxmlformats.org/officeDocument/2006/relationships/image" Target="media/image216.png"/><Relationship Id="rId224" Type="http://schemas.openxmlformats.org/officeDocument/2006/relationships/image" Target="media/image217.png"/><Relationship Id="rId225" Type="http://schemas.openxmlformats.org/officeDocument/2006/relationships/image" Target="media/image218.png"/><Relationship Id="rId226" Type="http://schemas.openxmlformats.org/officeDocument/2006/relationships/image" Target="media/image219.png"/><Relationship Id="rId227" Type="http://schemas.openxmlformats.org/officeDocument/2006/relationships/image" Target="media/image220.png"/><Relationship Id="rId228" Type="http://schemas.openxmlformats.org/officeDocument/2006/relationships/image" Target="media/image221.png"/><Relationship Id="rId229" Type="http://schemas.openxmlformats.org/officeDocument/2006/relationships/image" Target="media/image222.png"/><Relationship Id="rId230" Type="http://schemas.openxmlformats.org/officeDocument/2006/relationships/image" Target="media/image223.png"/><Relationship Id="rId231" Type="http://schemas.openxmlformats.org/officeDocument/2006/relationships/image" Target="media/image224.png"/><Relationship Id="rId232" Type="http://schemas.openxmlformats.org/officeDocument/2006/relationships/image" Target="media/image225.png"/><Relationship Id="rId233" Type="http://schemas.openxmlformats.org/officeDocument/2006/relationships/image" Target="media/image226.png"/><Relationship Id="rId234" Type="http://schemas.openxmlformats.org/officeDocument/2006/relationships/image" Target="media/image227.png"/><Relationship Id="rId235" Type="http://schemas.openxmlformats.org/officeDocument/2006/relationships/image" Target="media/image228.png"/><Relationship Id="rId236" Type="http://schemas.openxmlformats.org/officeDocument/2006/relationships/image" Target="media/image229.png"/><Relationship Id="rId237" Type="http://schemas.openxmlformats.org/officeDocument/2006/relationships/image" Target="media/image230.png"/><Relationship Id="rId238" Type="http://schemas.openxmlformats.org/officeDocument/2006/relationships/image" Target="media/image231.png"/><Relationship Id="rId239" Type="http://schemas.openxmlformats.org/officeDocument/2006/relationships/image" Target="media/image232.png"/><Relationship Id="rId240" Type="http://schemas.openxmlformats.org/officeDocument/2006/relationships/image" Target="media/image233.png"/><Relationship Id="rId241" Type="http://schemas.openxmlformats.org/officeDocument/2006/relationships/image" Target="media/image234.png"/><Relationship Id="rId242" Type="http://schemas.openxmlformats.org/officeDocument/2006/relationships/image" Target="media/image235.png"/><Relationship Id="rId243" Type="http://schemas.openxmlformats.org/officeDocument/2006/relationships/image" Target="media/image236.png"/><Relationship Id="rId244" Type="http://schemas.openxmlformats.org/officeDocument/2006/relationships/image" Target="media/image237.png"/><Relationship Id="rId245" Type="http://schemas.openxmlformats.org/officeDocument/2006/relationships/image" Target="media/image238.png"/><Relationship Id="rId246" Type="http://schemas.openxmlformats.org/officeDocument/2006/relationships/image" Target="media/image239.png"/><Relationship Id="rId247" Type="http://schemas.openxmlformats.org/officeDocument/2006/relationships/image" Target="media/image240.png"/><Relationship Id="rId248" Type="http://schemas.openxmlformats.org/officeDocument/2006/relationships/image" Target="media/image241.png"/><Relationship Id="rId249" Type="http://schemas.openxmlformats.org/officeDocument/2006/relationships/image" Target="media/image242.png"/><Relationship Id="rId250" Type="http://schemas.openxmlformats.org/officeDocument/2006/relationships/image" Target="media/image243.png"/><Relationship Id="rId251" Type="http://schemas.openxmlformats.org/officeDocument/2006/relationships/image" Target="media/image244.png"/><Relationship Id="rId252" Type="http://schemas.openxmlformats.org/officeDocument/2006/relationships/image" Target="media/image245.png"/><Relationship Id="rId253" Type="http://schemas.openxmlformats.org/officeDocument/2006/relationships/image" Target="media/image246.png"/><Relationship Id="rId254" Type="http://schemas.openxmlformats.org/officeDocument/2006/relationships/image" Target="media/image247.png"/><Relationship Id="rId255" Type="http://schemas.openxmlformats.org/officeDocument/2006/relationships/image" Target="media/image248.png"/><Relationship Id="rId256" Type="http://schemas.openxmlformats.org/officeDocument/2006/relationships/image" Target="media/image249.png"/><Relationship Id="rId257" Type="http://schemas.openxmlformats.org/officeDocument/2006/relationships/image" Target="media/image250.png"/><Relationship Id="rId258" Type="http://schemas.openxmlformats.org/officeDocument/2006/relationships/image" Target="media/image251.png"/><Relationship Id="rId259" Type="http://schemas.openxmlformats.org/officeDocument/2006/relationships/image" Target="media/image252.png"/><Relationship Id="rId260" Type="http://schemas.openxmlformats.org/officeDocument/2006/relationships/image" Target="media/image253.png"/><Relationship Id="rId261" Type="http://schemas.openxmlformats.org/officeDocument/2006/relationships/image" Target="media/image254.png"/><Relationship Id="rId262" Type="http://schemas.openxmlformats.org/officeDocument/2006/relationships/image" Target="media/image255.png"/><Relationship Id="rId263" Type="http://schemas.openxmlformats.org/officeDocument/2006/relationships/image" Target="media/image256.png"/><Relationship Id="rId264" Type="http://schemas.openxmlformats.org/officeDocument/2006/relationships/image" Target="media/image257.png"/><Relationship Id="rId265" Type="http://schemas.openxmlformats.org/officeDocument/2006/relationships/image" Target="media/image258.png"/><Relationship Id="rId266" Type="http://schemas.openxmlformats.org/officeDocument/2006/relationships/image" Target="media/image259.png"/><Relationship Id="rId267" Type="http://schemas.openxmlformats.org/officeDocument/2006/relationships/image" Target="media/image260.png"/><Relationship Id="rId268" Type="http://schemas.openxmlformats.org/officeDocument/2006/relationships/image" Target="media/image261.png"/><Relationship Id="rId269" Type="http://schemas.openxmlformats.org/officeDocument/2006/relationships/image" Target="media/image262.png"/><Relationship Id="rId270" Type="http://schemas.openxmlformats.org/officeDocument/2006/relationships/image" Target="media/image263.png"/><Relationship Id="rId271" Type="http://schemas.openxmlformats.org/officeDocument/2006/relationships/image" Target="media/image264.png"/><Relationship Id="rId272" Type="http://schemas.openxmlformats.org/officeDocument/2006/relationships/image" Target="media/image265.png"/><Relationship Id="rId273" Type="http://schemas.openxmlformats.org/officeDocument/2006/relationships/image" Target="media/image266.png"/><Relationship Id="rId274" Type="http://schemas.openxmlformats.org/officeDocument/2006/relationships/image" Target="media/image267.png"/><Relationship Id="rId275" Type="http://schemas.openxmlformats.org/officeDocument/2006/relationships/image" Target="media/image268.png"/><Relationship Id="rId276" Type="http://schemas.openxmlformats.org/officeDocument/2006/relationships/image" Target="media/image269.png"/><Relationship Id="rId277" Type="http://schemas.openxmlformats.org/officeDocument/2006/relationships/image" Target="media/image270.png"/><Relationship Id="rId278" Type="http://schemas.openxmlformats.org/officeDocument/2006/relationships/image" Target="media/image271.png"/><Relationship Id="rId279" Type="http://schemas.openxmlformats.org/officeDocument/2006/relationships/image" Target="media/image272.png"/><Relationship Id="rId280" Type="http://schemas.openxmlformats.org/officeDocument/2006/relationships/image" Target="media/image273.png"/><Relationship Id="rId281" Type="http://schemas.openxmlformats.org/officeDocument/2006/relationships/image" Target="media/image274.png"/><Relationship Id="rId282" Type="http://schemas.openxmlformats.org/officeDocument/2006/relationships/image" Target="media/image275.png"/><Relationship Id="rId283" Type="http://schemas.openxmlformats.org/officeDocument/2006/relationships/image" Target="media/image276.png"/><Relationship Id="rId284" Type="http://schemas.openxmlformats.org/officeDocument/2006/relationships/image" Target="media/image277.png"/><Relationship Id="rId285" Type="http://schemas.openxmlformats.org/officeDocument/2006/relationships/image" Target="media/image278.png"/><Relationship Id="rId286" Type="http://schemas.openxmlformats.org/officeDocument/2006/relationships/image" Target="media/image279.png"/><Relationship Id="rId287" Type="http://schemas.openxmlformats.org/officeDocument/2006/relationships/image" Target="media/image280.png"/><Relationship Id="rId288" Type="http://schemas.openxmlformats.org/officeDocument/2006/relationships/image" Target="media/image281.png"/><Relationship Id="rId289" Type="http://schemas.openxmlformats.org/officeDocument/2006/relationships/image" Target="media/image282.png"/><Relationship Id="rId290" Type="http://schemas.openxmlformats.org/officeDocument/2006/relationships/image" Target="media/image283.png"/><Relationship Id="rId291" Type="http://schemas.openxmlformats.org/officeDocument/2006/relationships/image" Target="media/image284.png"/><Relationship Id="rId292" Type="http://schemas.openxmlformats.org/officeDocument/2006/relationships/image" Target="media/image285.png"/><Relationship Id="rId293" Type="http://schemas.openxmlformats.org/officeDocument/2006/relationships/image" Target="media/image286.png"/><Relationship Id="rId294" Type="http://schemas.openxmlformats.org/officeDocument/2006/relationships/image" Target="media/image287.png"/><Relationship Id="rId295" Type="http://schemas.openxmlformats.org/officeDocument/2006/relationships/image" Target="media/image288.png"/><Relationship Id="rId296" Type="http://schemas.openxmlformats.org/officeDocument/2006/relationships/image" Target="media/image289.png"/><Relationship Id="rId297" Type="http://schemas.openxmlformats.org/officeDocument/2006/relationships/image" Target="media/image290.png"/><Relationship Id="rId298" Type="http://schemas.openxmlformats.org/officeDocument/2006/relationships/image" Target="media/image291.png"/><Relationship Id="rId299" Type="http://schemas.openxmlformats.org/officeDocument/2006/relationships/image" Target="media/image292.png"/><Relationship Id="rId300" Type="http://schemas.openxmlformats.org/officeDocument/2006/relationships/image" Target="media/image293.png"/><Relationship Id="rId301" Type="http://schemas.openxmlformats.org/officeDocument/2006/relationships/image" Target="media/image294.png"/><Relationship Id="rId302" Type="http://schemas.openxmlformats.org/officeDocument/2006/relationships/image" Target="media/image295.png"/><Relationship Id="rId303" Type="http://schemas.openxmlformats.org/officeDocument/2006/relationships/image" Target="media/image296.png"/><Relationship Id="rId304" Type="http://schemas.openxmlformats.org/officeDocument/2006/relationships/image" Target="media/image297.png"/><Relationship Id="rId305" Type="http://schemas.openxmlformats.org/officeDocument/2006/relationships/image" Target="media/image298.png"/><Relationship Id="rId306" Type="http://schemas.openxmlformats.org/officeDocument/2006/relationships/image" Target="media/image299.png"/><Relationship Id="rId307" Type="http://schemas.openxmlformats.org/officeDocument/2006/relationships/image" Target="media/image300.png"/><Relationship Id="rId308" Type="http://schemas.openxmlformats.org/officeDocument/2006/relationships/image" Target="media/image301.png"/><Relationship Id="rId309" Type="http://schemas.openxmlformats.org/officeDocument/2006/relationships/image" Target="media/image302.png"/><Relationship Id="rId310" Type="http://schemas.openxmlformats.org/officeDocument/2006/relationships/image" Target="media/image303.png"/><Relationship Id="rId311" Type="http://schemas.openxmlformats.org/officeDocument/2006/relationships/image" Target="media/image304.png"/><Relationship Id="rId312" Type="http://schemas.openxmlformats.org/officeDocument/2006/relationships/image" Target="media/image305.png"/><Relationship Id="rId313" Type="http://schemas.openxmlformats.org/officeDocument/2006/relationships/image" Target="media/image306.png"/><Relationship Id="rId314" Type="http://schemas.openxmlformats.org/officeDocument/2006/relationships/image" Target="media/image307.png"/><Relationship Id="rId315" Type="http://schemas.openxmlformats.org/officeDocument/2006/relationships/image" Target="media/image308.png"/><Relationship Id="rId316" Type="http://schemas.openxmlformats.org/officeDocument/2006/relationships/image" Target="media/image309.png"/><Relationship Id="rId317" Type="http://schemas.openxmlformats.org/officeDocument/2006/relationships/image" Target="media/image310.png"/><Relationship Id="rId318" Type="http://schemas.openxmlformats.org/officeDocument/2006/relationships/image" Target="media/image311.png"/><Relationship Id="rId319" Type="http://schemas.openxmlformats.org/officeDocument/2006/relationships/image" Target="media/image312.png"/><Relationship Id="rId320" Type="http://schemas.openxmlformats.org/officeDocument/2006/relationships/image" Target="media/image313.png"/><Relationship Id="rId321" Type="http://schemas.openxmlformats.org/officeDocument/2006/relationships/image" Target="media/image314.png"/><Relationship Id="rId322" Type="http://schemas.openxmlformats.org/officeDocument/2006/relationships/image" Target="media/image315.png"/><Relationship Id="rId323" Type="http://schemas.openxmlformats.org/officeDocument/2006/relationships/image" Target="media/image316.png"/><Relationship Id="rId324" Type="http://schemas.openxmlformats.org/officeDocument/2006/relationships/image" Target="media/image317.png"/><Relationship Id="rId325" Type="http://schemas.openxmlformats.org/officeDocument/2006/relationships/image" Target="media/image318.png"/><Relationship Id="rId326" Type="http://schemas.openxmlformats.org/officeDocument/2006/relationships/image" Target="media/image319.png"/><Relationship Id="rId327" Type="http://schemas.openxmlformats.org/officeDocument/2006/relationships/image" Target="media/image320.png"/><Relationship Id="rId328" Type="http://schemas.openxmlformats.org/officeDocument/2006/relationships/image" Target="media/image321.png"/><Relationship Id="rId329" Type="http://schemas.openxmlformats.org/officeDocument/2006/relationships/image" Target="media/image322.png"/><Relationship Id="rId330" Type="http://schemas.openxmlformats.org/officeDocument/2006/relationships/image" Target="media/image323.png"/><Relationship Id="rId331" Type="http://schemas.openxmlformats.org/officeDocument/2006/relationships/image" Target="media/image324.png"/><Relationship Id="rId332" Type="http://schemas.openxmlformats.org/officeDocument/2006/relationships/image" Target="media/image325.png"/><Relationship Id="rId333" Type="http://schemas.openxmlformats.org/officeDocument/2006/relationships/image" Target="media/image326.png"/><Relationship Id="rId334" Type="http://schemas.openxmlformats.org/officeDocument/2006/relationships/image" Target="media/image327.png"/><Relationship Id="rId335" Type="http://schemas.openxmlformats.org/officeDocument/2006/relationships/image" Target="media/image328.png"/><Relationship Id="rId336" Type="http://schemas.openxmlformats.org/officeDocument/2006/relationships/image" Target="media/image329.png"/><Relationship Id="rId337" Type="http://schemas.openxmlformats.org/officeDocument/2006/relationships/image" Target="media/image330.png"/><Relationship Id="rId338" Type="http://schemas.openxmlformats.org/officeDocument/2006/relationships/image" Target="media/image331.png"/><Relationship Id="rId339" Type="http://schemas.openxmlformats.org/officeDocument/2006/relationships/image" Target="media/image332.png"/><Relationship Id="rId340" Type="http://schemas.openxmlformats.org/officeDocument/2006/relationships/image" Target="media/image333.png"/><Relationship Id="rId341" Type="http://schemas.openxmlformats.org/officeDocument/2006/relationships/image" Target="media/image334.png"/><Relationship Id="rId342" Type="http://schemas.openxmlformats.org/officeDocument/2006/relationships/image" Target="media/image335.png"/><Relationship Id="rId343" Type="http://schemas.openxmlformats.org/officeDocument/2006/relationships/image" Target="media/image336.png"/><Relationship Id="rId344" Type="http://schemas.openxmlformats.org/officeDocument/2006/relationships/image" Target="media/image337.png"/><Relationship Id="rId345" Type="http://schemas.openxmlformats.org/officeDocument/2006/relationships/image" Target="media/image338.png"/><Relationship Id="rId346" Type="http://schemas.openxmlformats.org/officeDocument/2006/relationships/image" Target="media/image339.png"/><Relationship Id="rId347" Type="http://schemas.openxmlformats.org/officeDocument/2006/relationships/image" Target="media/image340.png"/><Relationship Id="rId348" Type="http://schemas.openxmlformats.org/officeDocument/2006/relationships/image" Target="media/image341.png"/><Relationship Id="rId349" Type="http://schemas.openxmlformats.org/officeDocument/2006/relationships/image" Target="media/image342.png"/><Relationship Id="rId350" Type="http://schemas.openxmlformats.org/officeDocument/2006/relationships/image" Target="media/image343.png"/><Relationship Id="rId351" Type="http://schemas.openxmlformats.org/officeDocument/2006/relationships/image" Target="media/image344.png"/><Relationship Id="rId352" Type="http://schemas.openxmlformats.org/officeDocument/2006/relationships/image" Target="media/image345.png"/><Relationship Id="rId353" Type="http://schemas.openxmlformats.org/officeDocument/2006/relationships/image" Target="media/image346.png"/><Relationship Id="rId354" Type="http://schemas.openxmlformats.org/officeDocument/2006/relationships/image" Target="media/image347.png"/><Relationship Id="rId355" Type="http://schemas.openxmlformats.org/officeDocument/2006/relationships/image" Target="media/image348.png"/><Relationship Id="rId356" Type="http://schemas.openxmlformats.org/officeDocument/2006/relationships/image" Target="media/image349.png"/><Relationship Id="rId357" Type="http://schemas.openxmlformats.org/officeDocument/2006/relationships/image" Target="media/image350.png"/><Relationship Id="rId358" Type="http://schemas.openxmlformats.org/officeDocument/2006/relationships/image" Target="media/image351.png"/><Relationship Id="rId359" Type="http://schemas.openxmlformats.org/officeDocument/2006/relationships/image" Target="media/image352.png"/><Relationship Id="rId360" Type="http://schemas.openxmlformats.org/officeDocument/2006/relationships/image" Target="media/image353.png"/><Relationship Id="rId361" Type="http://schemas.openxmlformats.org/officeDocument/2006/relationships/image" Target="media/image354.png"/><Relationship Id="rId362" Type="http://schemas.openxmlformats.org/officeDocument/2006/relationships/image" Target="media/image355.png"/><Relationship Id="rId363" Type="http://schemas.openxmlformats.org/officeDocument/2006/relationships/image" Target="media/image356.png"/><Relationship Id="rId364" Type="http://schemas.openxmlformats.org/officeDocument/2006/relationships/image" Target="media/image357.png"/><Relationship Id="rId365" Type="http://schemas.openxmlformats.org/officeDocument/2006/relationships/image" Target="media/image358.png"/><Relationship Id="rId366" Type="http://schemas.openxmlformats.org/officeDocument/2006/relationships/image" Target="media/image359.png"/><Relationship Id="rId367" Type="http://schemas.openxmlformats.org/officeDocument/2006/relationships/image" Target="media/image360.png"/><Relationship Id="rId368" Type="http://schemas.openxmlformats.org/officeDocument/2006/relationships/image" Target="media/image361.png"/><Relationship Id="rId369" Type="http://schemas.openxmlformats.org/officeDocument/2006/relationships/image" Target="media/image362.png"/><Relationship Id="rId370" Type="http://schemas.openxmlformats.org/officeDocument/2006/relationships/image" Target="media/image363.png"/><Relationship Id="rId371" Type="http://schemas.openxmlformats.org/officeDocument/2006/relationships/image" Target="media/image364.png"/><Relationship Id="rId372" Type="http://schemas.openxmlformats.org/officeDocument/2006/relationships/image" Target="media/image365.png"/><Relationship Id="rId373" Type="http://schemas.openxmlformats.org/officeDocument/2006/relationships/image" Target="media/image366.png"/><Relationship Id="rId374" Type="http://schemas.openxmlformats.org/officeDocument/2006/relationships/image" Target="media/image367.png"/><Relationship Id="rId375" Type="http://schemas.openxmlformats.org/officeDocument/2006/relationships/image" Target="media/image368.png"/><Relationship Id="rId376" Type="http://schemas.openxmlformats.org/officeDocument/2006/relationships/image" Target="media/image369.png"/><Relationship Id="rId377" Type="http://schemas.openxmlformats.org/officeDocument/2006/relationships/image" Target="media/image370.png"/><Relationship Id="rId378" Type="http://schemas.openxmlformats.org/officeDocument/2006/relationships/image" Target="media/image371.png"/><Relationship Id="rId379" Type="http://schemas.openxmlformats.org/officeDocument/2006/relationships/image" Target="media/image372.png"/><Relationship Id="rId380" Type="http://schemas.openxmlformats.org/officeDocument/2006/relationships/image" Target="media/image373.png"/><Relationship Id="rId381" Type="http://schemas.openxmlformats.org/officeDocument/2006/relationships/image" Target="media/image374.png"/><Relationship Id="rId382" Type="http://schemas.openxmlformats.org/officeDocument/2006/relationships/image" Target="media/image375.png"/><Relationship Id="rId383" Type="http://schemas.openxmlformats.org/officeDocument/2006/relationships/image" Target="media/image376.png"/><Relationship Id="rId384" Type="http://schemas.openxmlformats.org/officeDocument/2006/relationships/image" Target="media/image377.png"/><Relationship Id="rId385" Type="http://schemas.openxmlformats.org/officeDocument/2006/relationships/image" Target="media/image378.png"/><Relationship Id="rId386" Type="http://schemas.openxmlformats.org/officeDocument/2006/relationships/image" Target="media/image379.png"/><Relationship Id="rId387" Type="http://schemas.openxmlformats.org/officeDocument/2006/relationships/image" Target="media/image380.png"/><Relationship Id="rId388" Type="http://schemas.openxmlformats.org/officeDocument/2006/relationships/image" Target="media/image381.png"/><Relationship Id="rId389" Type="http://schemas.openxmlformats.org/officeDocument/2006/relationships/image" Target="media/image382.png"/><Relationship Id="rId390" Type="http://schemas.openxmlformats.org/officeDocument/2006/relationships/image" Target="media/image383.png"/><Relationship Id="rId391" Type="http://schemas.openxmlformats.org/officeDocument/2006/relationships/image" Target="media/image384.png"/><Relationship Id="rId392" Type="http://schemas.openxmlformats.org/officeDocument/2006/relationships/image" Target="media/image385.png"/><Relationship Id="rId393" Type="http://schemas.openxmlformats.org/officeDocument/2006/relationships/image" Target="media/image386.png"/><Relationship Id="rId394" Type="http://schemas.openxmlformats.org/officeDocument/2006/relationships/image" Target="media/image387.png"/><Relationship Id="rId395" Type="http://schemas.openxmlformats.org/officeDocument/2006/relationships/image" Target="media/image388.png"/><Relationship Id="rId396" Type="http://schemas.openxmlformats.org/officeDocument/2006/relationships/image" Target="media/image389.png"/><Relationship Id="rId397" Type="http://schemas.openxmlformats.org/officeDocument/2006/relationships/image" Target="media/image390.png"/><Relationship Id="rId398" Type="http://schemas.openxmlformats.org/officeDocument/2006/relationships/image" Target="media/image391.png"/><Relationship Id="rId399" Type="http://schemas.openxmlformats.org/officeDocument/2006/relationships/image" Target="media/image392.png"/><Relationship Id="rId400" Type="http://schemas.openxmlformats.org/officeDocument/2006/relationships/image" Target="media/image393.png"/><Relationship Id="rId401" Type="http://schemas.openxmlformats.org/officeDocument/2006/relationships/image" Target="media/image394.png"/><Relationship Id="rId402" Type="http://schemas.openxmlformats.org/officeDocument/2006/relationships/image" Target="media/image395.png"/><Relationship Id="rId403" Type="http://schemas.openxmlformats.org/officeDocument/2006/relationships/image" Target="media/image396.png"/><Relationship Id="rId404" Type="http://schemas.openxmlformats.org/officeDocument/2006/relationships/image" Target="media/image397.png"/><Relationship Id="rId405" Type="http://schemas.openxmlformats.org/officeDocument/2006/relationships/image" Target="media/image398.png"/><Relationship Id="rId406" Type="http://schemas.openxmlformats.org/officeDocument/2006/relationships/image" Target="media/image399.png"/><Relationship Id="rId407" Type="http://schemas.openxmlformats.org/officeDocument/2006/relationships/image" Target="media/image400.png"/><Relationship Id="rId408" Type="http://schemas.openxmlformats.org/officeDocument/2006/relationships/image" Target="media/image401.png"/><Relationship Id="rId409" Type="http://schemas.openxmlformats.org/officeDocument/2006/relationships/image" Target="media/image402.png"/><Relationship Id="rId410" Type="http://schemas.openxmlformats.org/officeDocument/2006/relationships/image" Target="media/image403.png"/><Relationship Id="rId411" Type="http://schemas.openxmlformats.org/officeDocument/2006/relationships/image" Target="media/image404.png"/><Relationship Id="rId412" Type="http://schemas.openxmlformats.org/officeDocument/2006/relationships/image" Target="media/image405.png"/><Relationship Id="rId413" Type="http://schemas.openxmlformats.org/officeDocument/2006/relationships/image" Target="media/image406.png"/><Relationship Id="rId414" Type="http://schemas.openxmlformats.org/officeDocument/2006/relationships/image" Target="media/image407.png"/><Relationship Id="rId415" Type="http://schemas.openxmlformats.org/officeDocument/2006/relationships/image" Target="media/image408.png"/><Relationship Id="rId416" Type="http://schemas.openxmlformats.org/officeDocument/2006/relationships/image" Target="media/image409.png"/><Relationship Id="rId417" Type="http://schemas.openxmlformats.org/officeDocument/2006/relationships/image" Target="media/image410.png"/><Relationship Id="rId418" Type="http://schemas.openxmlformats.org/officeDocument/2006/relationships/image" Target="media/image411.png"/><Relationship Id="rId419" Type="http://schemas.openxmlformats.org/officeDocument/2006/relationships/image" Target="media/image412.png"/><Relationship Id="rId420" Type="http://schemas.openxmlformats.org/officeDocument/2006/relationships/image" Target="media/image413.png"/><Relationship Id="rId421" Type="http://schemas.openxmlformats.org/officeDocument/2006/relationships/image" Target="media/image414.png"/><Relationship Id="rId422" Type="http://schemas.openxmlformats.org/officeDocument/2006/relationships/image" Target="media/image415.png"/><Relationship Id="rId423" Type="http://schemas.openxmlformats.org/officeDocument/2006/relationships/image" Target="media/image416.png"/><Relationship Id="rId424" Type="http://schemas.openxmlformats.org/officeDocument/2006/relationships/image" Target="media/image417.png"/><Relationship Id="rId425" Type="http://schemas.openxmlformats.org/officeDocument/2006/relationships/image" Target="media/image418.png"/><Relationship Id="rId426" Type="http://schemas.openxmlformats.org/officeDocument/2006/relationships/image" Target="media/image419.png"/><Relationship Id="rId427" Type="http://schemas.openxmlformats.org/officeDocument/2006/relationships/image" Target="media/image420.png"/><Relationship Id="rId428" Type="http://schemas.openxmlformats.org/officeDocument/2006/relationships/image" Target="media/image421.png"/><Relationship Id="rId429" Type="http://schemas.openxmlformats.org/officeDocument/2006/relationships/image" Target="media/image422.png"/><Relationship Id="rId430" Type="http://schemas.openxmlformats.org/officeDocument/2006/relationships/image" Target="media/image423.png"/><Relationship Id="rId431" Type="http://schemas.openxmlformats.org/officeDocument/2006/relationships/image" Target="media/image424.png"/><Relationship Id="rId432" Type="http://schemas.openxmlformats.org/officeDocument/2006/relationships/image" Target="media/image425.png"/><Relationship Id="rId433" Type="http://schemas.openxmlformats.org/officeDocument/2006/relationships/image" Target="media/image426.png"/><Relationship Id="rId434" Type="http://schemas.openxmlformats.org/officeDocument/2006/relationships/image" Target="media/image427.png"/><Relationship Id="rId435" Type="http://schemas.openxmlformats.org/officeDocument/2006/relationships/image" Target="media/image428.png"/><Relationship Id="rId436" Type="http://schemas.openxmlformats.org/officeDocument/2006/relationships/image" Target="media/image429.png"/><Relationship Id="rId437" Type="http://schemas.openxmlformats.org/officeDocument/2006/relationships/image" Target="media/image430.png"/><Relationship Id="rId438" Type="http://schemas.openxmlformats.org/officeDocument/2006/relationships/image" Target="media/image431.png"/><Relationship Id="rId439" Type="http://schemas.openxmlformats.org/officeDocument/2006/relationships/image" Target="media/image432.png"/><Relationship Id="rId440" Type="http://schemas.openxmlformats.org/officeDocument/2006/relationships/image" Target="media/image433.png"/><Relationship Id="rId441" Type="http://schemas.openxmlformats.org/officeDocument/2006/relationships/image" Target="media/image434.png"/><Relationship Id="rId442" Type="http://schemas.openxmlformats.org/officeDocument/2006/relationships/image" Target="media/image435.png"/><Relationship Id="rId443" Type="http://schemas.openxmlformats.org/officeDocument/2006/relationships/image" Target="media/image436.png"/><Relationship Id="rId444" Type="http://schemas.openxmlformats.org/officeDocument/2006/relationships/image" Target="media/image437.png"/><Relationship Id="rId445" Type="http://schemas.openxmlformats.org/officeDocument/2006/relationships/image" Target="media/image438.png"/><Relationship Id="rId446" Type="http://schemas.openxmlformats.org/officeDocument/2006/relationships/image" Target="media/image439.png"/><Relationship Id="rId447" Type="http://schemas.openxmlformats.org/officeDocument/2006/relationships/image" Target="media/image440.png"/><Relationship Id="rId448" Type="http://schemas.openxmlformats.org/officeDocument/2006/relationships/image" Target="media/image441.png"/><Relationship Id="rId449" Type="http://schemas.openxmlformats.org/officeDocument/2006/relationships/image" Target="media/image442.png"/><Relationship Id="rId450" Type="http://schemas.openxmlformats.org/officeDocument/2006/relationships/image" Target="media/image443.png"/><Relationship Id="rId451" Type="http://schemas.openxmlformats.org/officeDocument/2006/relationships/image" Target="media/image444.png"/><Relationship Id="rId452" Type="http://schemas.openxmlformats.org/officeDocument/2006/relationships/image" Target="media/image445.png"/><Relationship Id="rId453" Type="http://schemas.openxmlformats.org/officeDocument/2006/relationships/image" Target="media/image446.png"/><Relationship Id="rId454" Type="http://schemas.openxmlformats.org/officeDocument/2006/relationships/image" Target="media/image447.png"/><Relationship Id="rId455" Type="http://schemas.openxmlformats.org/officeDocument/2006/relationships/image" Target="media/image448.png"/><Relationship Id="rId456" Type="http://schemas.openxmlformats.org/officeDocument/2006/relationships/image" Target="media/image449.png"/><Relationship Id="rId457" Type="http://schemas.openxmlformats.org/officeDocument/2006/relationships/image" Target="media/image450.png"/><Relationship Id="rId458" Type="http://schemas.openxmlformats.org/officeDocument/2006/relationships/image" Target="media/image451.png"/><Relationship Id="rId459" Type="http://schemas.openxmlformats.org/officeDocument/2006/relationships/image" Target="media/image452.png"/><Relationship Id="rId460" Type="http://schemas.openxmlformats.org/officeDocument/2006/relationships/image" Target="media/image453.png"/><Relationship Id="rId461" Type="http://schemas.openxmlformats.org/officeDocument/2006/relationships/image" Target="media/image454.png"/><Relationship Id="rId462" Type="http://schemas.openxmlformats.org/officeDocument/2006/relationships/image" Target="media/image455.png"/><Relationship Id="rId463" Type="http://schemas.openxmlformats.org/officeDocument/2006/relationships/image" Target="media/image456.png"/><Relationship Id="rId464" Type="http://schemas.openxmlformats.org/officeDocument/2006/relationships/image" Target="media/image457.png"/><Relationship Id="rId465" Type="http://schemas.openxmlformats.org/officeDocument/2006/relationships/image" Target="media/image458.png"/><Relationship Id="rId466" Type="http://schemas.openxmlformats.org/officeDocument/2006/relationships/image" Target="media/image459.png"/><Relationship Id="rId467" Type="http://schemas.openxmlformats.org/officeDocument/2006/relationships/image" Target="media/image460.png"/><Relationship Id="rId468" Type="http://schemas.openxmlformats.org/officeDocument/2006/relationships/image" Target="media/image461.png"/><Relationship Id="rId469" Type="http://schemas.openxmlformats.org/officeDocument/2006/relationships/image" Target="media/image462.png"/><Relationship Id="rId470" Type="http://schemas.openxmlformats.org/officeDocument/2006/relationships/image" Target="media/image463.png"/><Relationship Id="rId471" Type="http://schemas.openxmlformats.org/officeDocument/2006/relationships/image" Target="media/image464.png"/><Relationship Id="rId472" Type="http://schemas.openxmlformats.org/officeDocument/2006/relationships/image" Target="media/image465.png"/><Relationship Id="rId473" Type="http://schemas.openxmlformats.org/officeDocument/2006/relationships/image" Target="media/image466.png"/><Relationship Id="rId474" Type="http://schemas.openxmlformats.org/officeDocument/2006/relationships/image" Target="media/image467.png"/><Relationship Id="rId475" Type="http://schemas.openxmlformats.org/officeDocument/2006/relationships/image" Target="media/image468.png"/><Relationship Id="rId476" Type="http://schemas.openxmlformats.org/officeDocument/2006/relationships/image" Target="media/image469.png"/><Relationship Id="rId477" Type="http://schemas.openxmlformats.org/officeDocument/2006/relationships/image" Target="media/image470.png"/><Relationship Id="rId478" Type="http://schemas.openxmlformats.org/officeDocument/2006/relationships/image" Target="media/image471.png"/><Relationship Id="rId479" Type="http://schemas.openxmlformats.org/officeDocument/2006/relationships/image" Target="media/image472.png"/><Relationship Id="rId480" Type="http://schemas.openxmlformats.org/officeDocument/2006/relationships/image" Target="media/image473.png"/><Relationship Id="rId481" Type="http://schemas.openxmlformats.org/officeDocument/2006/relationships/image" Target="media/image474.png"/><Relationship Id="rId482" Type="http://schemas.openxmlformats.org/officeDocument/2006/relationships/image" Target="media/image475.png"/><Relationship Id="rId483" Type="http://schemas.openxmlformats.org/officeDocument/2006/relationships/image" Target="media/image476.png"/><Relationship Id="rId484" Type="http://schemas.openxmlformats.org/officeDocument/2006/relationships/image" Target="media/image477.png"/><Relationship Id="rId485" Type="http://schemas.openxmlformats.org/officeDocument/2006/relationships/image" Target="media/image478.png"/><Relationship Id="rId486" Type="http://schemas.openxmlformats.org/officeDocument/2006/relationships/image" Target="media/image479.png"/><Relationship Id="rId487" Type="http://schemas.openxmlformats.org/officeDocument/2006/relationships/image" Target="media/image480.png"/><Relationship Id="rId488" Type="http://schemas.openxmlformats.org/officeDocument/2006/relationships/image" Target="media/image481.png"/><Relationship Id="rId489" Type="http://schemas.openxmlformats.org/officeDocument/2006/relationships/image" Target="media/image482.png"/><Relationship Id="rId490" Type="http://schemas.openxmlformats.org/officeDocument/2006/relationships/image" Target="media/image483.png"/><Relationship Id="rId491" Type="http://schemas.openxmlformats.org/officeDocument/2006/relationships/image" Target="media/image484.png"/><Relationship Id="rId492" Type="http://schemas.openxmlformats.org/officeDocument/2006/relationships/image" Target="media/image485.png"/><Relationship Id="rId493" Type="http://schemas.openxmlformats.org/officeDocument/2006/relationships/image" Target="media/image486.png"/><Relationship Id="rId494" Type="http://schemas.openxmlformats.org/officeDocument/2006/relationships/image" Target="media/image487.png"/><Relationship Id="rId495" Type="http://schemas.openxmlformats.org/officeDocument/2006/relationships/image" Target="media/image488.png"/><Relationship Id="rId496" Type="http://schemas.openxmlformats.org/officeDocument/2006/relationships/image" Target="media/image489.png"/><Relationship Id="rId497" Type="http://schemas.openxmlformats.org/officeDocument/2006/relationships/image" Target="media/image490.png"/><Relationship Id="rId498" Type="http://schemas.openxmlformats.org/officeDocument/2006/relationships/image" Target="media/image491.png"/><Relationship Id="rId510" Type="http://schemas.openxmlformats.org/officeDocument/2006/relationships/image" Target="media/image492.png"/><Relationship Id="rId511" Type="http://schemas.openxmlformats.org/officeDocument/2006/relationships/image" Target="media/image493.png"/><Relationship Id="rId512" Type="http://schemas.openxmlformats.org/officeDocument/2006/relationships/image" Target="media/image494.png"/><Relationship Id="rId513" Type="http://schemas.openxmlformats.org/officeDocument/2006/relationships/image" Target="media/image495.png"/><Relationship Id="rId515" Type="http://schemas.openxmlformats.org/officeDocument/2006/relationships/image" Target="media/image496.png"/><Relationship Id="rId516" Type="http://schemas.openxmlformats.org/officeDocument/2006/relationships/image" Target="media/image497.png"/><Relationship Id="rId518" Type="http://schemas.openxmlformats.org/officeDocument/2006/relationships/image" Target="media/image498.png"/><Relationship Id="rId519" Type="http://schemas.openxmlformats.org/officeDocument/2006/relationships/image" Target="media/image499.png"/><Relationship Id="rId521" Type="http://schemas.openxmlformats.org/officeDocument/2006/relationships/image" Target="media/image500.png"/><Relationship Id="rId522" Type="http://schemas.openxmlformats.org/officeDocument/2006/relationships/image" Target="media/image501.png"/><Relationship Id="rId524" Type="http://schemas.openxmlformats.org/officeDocument/2006/relationships/image" Target="media/image502.png"/><Relationship Id="rId525" Type="http://schemas.openxmlformats.org/officeDocument/2006/relationships/image" Target="media/image503.png"/><Relationship Id="rId527" Type="http://schemas.openxmlformats.org/officeDocument/2006/relationships/image" Target="media/image504.png"/><Relationship Id="rId528" Type="http://schemas.openxmlformats.org/officeDocument/2006/relationships/image" Target="media/image505.png"/><Relationship Id="rId530" Type="http://schemas.openxmlformats.org/officeDocument/2006/relationships/image" Target="media/image506.png"/><Relationship Id="rId531" Type="http://schemas.openxmlformats.org/officeDocument/2006/relationships/image" Target="media/image507.png"/><Relationship Id="rId533" Type="http://schemas.openxmlformats.org/officeDocument/2006/relationships/image" Target="media/image508.png"/><Relationship Id="rId534" Type="http://schemas.openxmlformats.org/officeDocument/2006/relationships/image" Target="media/image509.png"/><Relationship Id="rId536" Type="http://schemas.openxmlformats.org/officeDocument/2006/relationships/image" Target="media/image510.png"/><Relationship Id="rId537" Type="http://schemas.openxmlformats.org/officeDocument/2006/relationships/image" Target="media/image511.png"/><Relationship Id="rId539" Type="http://schemas.openxmlformats.org/officeDocument/2006/relationships/image" Target="media/image512.png"/><Relationship Id="rId540" Type="http://schemas.openxmlformats.org/officeDocument/2006/relationships/image" Target="media/image513.png"/><Relationship Id="rId542" Type="http://schemas.openxmlformats.org/officeDocument/2006/relationships/image" Target="media/image514.png"/><Relationship Id="rId543" Type="http://schemas.openxmlformats.org/officeDocument/2006/relationships/image" Target="media/image515.png"/><Relationship Id="rId545" Type="http://schemas.openxmlformats.org/officeDocument/2006/relationships/image" Target="media/image516.png"/><Relationship Id="rId546" Type="http://schemas.openxmlformats.org/officeDocument/2006/relationships/image" Target="media/image517.png"/><Relationship Id="rId548" Type="http://schemas.openxmlformats.org/officeDocument/2006/relationships/image" Target="media/image518.png"/><Relationship Id="rId549" Type="http://schemas.openxmlformats.org/officeDocument/2006/relationships/image" Target="media/image519.png"/><Relationship Id="rId551" Type="http://schemas.openxmlformats.org/officeDocument/2006/relationships/image" Target="media/image520.png"/><Relationship Id="rId552" Type="http://schemas.openxmlformats.org/officeDocument/2006/relationships/image" Target="media/image521.png"/><Relationship Id="rId554" Type="http://schemas.openxmlformats.org/officeDocument/2006/relationships/image" Target="media/image522.png"/><Relationship Id="rId555" Type="http://schemas.openxmlformats.org/officeDocument/2006/relationships/image" Target="media/image523.png"/><Relationship Id="rId557" Type="http://schemas.openxmlformats.org/officeDocument/2006/relationships/image" Target="media/image524.png"/><Relationship Id="rId558" Type="http://schemas.openxmlformats.org/officeDocument/2006/relationships/image" Target="media/image525.png"/><Relationship Id="rId559" Type="http://schemas.openxmlformats.org/officeDocument/2006/relationships/image" Target="media/image526.png"/><Relationship Id="rId561" Type="http://schemas.openxmlformats.org/officeDocument/2006/relationships/image" Target="media/image527.png"/><Relationship Id="rId562" Type="http://schemas.openxmlformats.org/officeDocument/2006/relationships/image" Target="media/image528.png"/><Relationship Id="rId564" Type="http://schemas.openxmlformats.org/officeDocument/2006/relationships/image" Target="media/image529.png"/><Relationship Id="rId565" Type="http://schemas.openxmlformats.org/officeDocument/2006/relationships/image" Target="media/image530.png"/><Relationship Id="rId567" Type="http://schemas.openxmlformats.org/officeDocument/2006/relationships/image" Target="media/image531.png"/><Relationship Id="rId568" Type="http://schemas.openxmlformats.org/officeDocument/2006/relationships/image" Target="media/image532.png"/><Relationship Id="rId570" Type="http://schemas.openxmlformats.org/officeDocument/2006/relationships/image" Target="media/image533.png"/><Relationship Id="rId571" Type="http://schemas.openxmlformats.org/officeDocument/2006/relationships/image" Target="media/image534.png"/><Relationship Id="rId573" Type="http://schemas.openxmlformats.org/officeDocument/2006/relationships/image" Target="media/image535.png"/><Relationship Id="rId574" Type="http://schemas.openxmlformats.org/officeDocument/2006/relationships/image" Target="media/image536.png"/><Relationship Id="rId576" Type="http://schemas.openxmlformats.org/officeDocument/2006/relationships/image" Target="media/image537.png"/><Relationship Id="rId577" Type="http://schemas.openxmlformats.org/officeDocument/2006/relationships/image" Target="media/image538.png"/><Relationship Id="rId578" Type="http://schemas.openxmlformats.org/officeDocument/2006/relationships/image" Target="media/image539.png"/><Relationship Id="rId580" Type="http://schemas.openxmlformats.org/officeDocument/2006/relationships/image" Target="media/image540.png"/><Relationship Id="rId581" Type="http://schemas.openxmlformats.org/officeDocument/2006/relationships/image" Target="media/image541.png"/><Relationship Id="rId583" Type="http://schemas.openxmlformats.org/officeDocument/2006/relationships/image" Target="media/image542.png"/><Relationship Id="rId584" Type="http://schemas.openxmlformats.org/officeDocument/2006/relationships/image" Target="media/image543.png"/><Relationship Id="rId586" Type="http://schemas.openxmlformats.org/officeDocument/2006/relationships/image" Target="media/image544.png"/><Relationship Id="rId587" Type="http://schemas.openxmlformats.org/officeDocument/2006/relationships/image" Target="media/image545.png"/><Relationship Id="rId589" Type="http://schemas.openxmlformats.org/officeDocument/2006/relationships/image" Target="media/image546.png"/><Relationship Id="rId590" Type="http://schemas.openxmlformats.org/officeDocument/2006/relationships/image" Target="media/image547.png"/><Relationship Id="rId592" Type="http://schemas.openxmlformats.org/officeDocument/2006/relationships/image" Target="media/image548.png"/><Relationship Id="rId593" Type="http://schemas.openxmlformats.org/officeDocument/2006/relationships/image" Target="media/image549.png"/><Relationship Id="rId595" Type="http://schemas.openxmlformats.org/officeDocument/2006/relationships/image" Target="media/image550.png"/><Relationship Id="rId596" Type="http://schemas.openxmlformats.org/officeDocument/2006/relationships/image" Target="media/image551.png"/><Relationship Id="rId598" Type="http://schemas.openxmlformats.org/officeDocument/2006/relationships/image" Target="media/image552.png"/><Relationship Id="rId599" Type="http://schemas.openxmlformats.org/officeDocument/2006/relationships/image" Target="media/image553.png"/><Relationship Id="rId601" Type="http://schemas.openxmlformats.org/officeDocument/2006/relationships/image" Target="media/image554.png"/><Relationship Id="rId602" Type="http://schemas.openxmlformats.org/officeDocument/2006/relationships/image" Target="media/image555.png"/><Relationship Id="rId604" Type="http://schemas.openxmlformats.org/officeDocument/2006/relationships/image" Target="media/image556.png"/><Relationship Id="rId605" Type="http://schemas.openxmlformats.org/officeDocument/2006/relationships/image" Target="media/image557.png"/><Relationship Id="rId606" Type="http://schemas.openxmlformats.org/officeDocument/2006/relationships/image" Target="media/image558.png"/><Relationship Id="rId607" Type="http://schemas.openxmlformats.org/officeDocument/2006/relationships/image" Target="media/image559.png"/><Relationship Id="rId609" Type="http://schemas.openxmlformats.org/officeDocument/2006/relationships/image" Target="media/image560.png"/><Relationship Id="rId610" Type="http://schemas.openxmlformats.org/officeDocument/2006/relationships/image" Target="media/image561.png"/><Relationship Id="rId612" Type="http://schemas.openxmlformats.org/officeDocument/2006/relationships/image" Target="media/image562.png"/><Relationship Id="rId613" Type="http://schemas.openxmlformats.org/officeDocument/2006/relationships/image" Target="media/image563.png"/><Relationship Id="rId615" Type="http://schemas.openxmlformats.org/officeDocument/2006/relationships/image" Target="media/image564.png"/><Relationship Id="rId616" Type="http://schemas.openxmlformats.org/officeDocument/2006/relationships/image" Target="media/image565.png"/><Relationship Id="rId618" Type="http://schemas.openxmlformats.org/officeDocument/2006/relationships/image" Target="media/image566.png"/><Relationship Id="rId619" Type="http://schemas.openxmlformats.org/officeDocument/2006/relationships/image" Target="media/image567.png"/><Relationship Id="rId620" Type="http://schemas.openxmlformats.org/officeDocument/2006/relationships/image" Target="media/image568.png"/><Relationship Id="rId621" Type="http://schemas.openxmlformats.org/officeDocument/2006/relationships/image" Target="media/image569.png"/><Relationship Id="rId622" Type="http://schemas.openxmlformats.org/officeDocument/2006/relationships/image" Target="media/image570.png"/><Relationship Id="rId623" Type="http://schemas.openxmlformats.org/officeDocument/2006/relationships/image" Target="media/image571.png"/><Relationship Id="rId625" Type="http://schemas.openxmlformats.org/officeDocument/2006/relationships/image" Target="media/image572.png"/><Relationship Id="rId626" Type="http://schemas.openxmlformats.org/officeDocument/2006/relationships/image" Target="media/image573.png"/><Relationship Id="rId627" Type="http://schemas.openxmlformats.org/officeDocument/2006/relationships/image" Target="media/image574.png"/><Relationship Id="rId629" Type="http://schemas.openxmlformats.org/officeDocument/2006/relationships/image" Target="media/image575.png"/><Relationship Id="rId630" Type="http://schemas.openxmlformats.org/officeDocument/2006/relationships/image" Target="media/image576.png"/><Relationship Id="rId632" Type="http://schemas.openxmlformats.org/officeDocument/2006/relationships/image" Target="media/image577.png"/><Relationship Id="rId633" Type="http://schemas.openxmlformats.org/officeDocument/2006/relationships/image" Target="media/image578.png"/><Relationship Id="rId635" Type="http://schemas.openxmlformats.org/officeDocument/2006/relationships/image" Target="media/image579.png"/><Relationship Id="rId636" Type="http://schemas.openxmlformats.org/officeDocument/2006/relationships/image" Target="media/image580.png"/><Relationship Id="rId637" Type="http://schemas.openxmlformats.org/officeDocument/2006/relationships/image" Target="media/image581.png"/><Relationship Id="rId639" Type="http://schemas.openxmlformats.org/officeDocument/2006/relationships/image" Target="media/image582.png"/><Relationship Id="rId640" Type="http://schemas.openxmlformats.org/officeDocument/2006/relationships/image" Target="media/image583.png"/><Relationship Id="rId642" Type="http://schemas.openxmlformats.org/officeDocument/2006/relationships/image" Target="media/image584.png"/><Relationship Id="rId643" Type="http://schemas.openxmlformats.org/officeDocument/2006/relationships/image" Target="media/image585.png"/><Relationship Id="rId645" Type="http://schemas.openxmlformats.org/officeDocument/2006/relationships/image" Target="media/image586.png"/><Relationship Id="rId646" Type="http://schemas.openxmlformats.org/officeDocument/2006/relationships/image" Target="media/image587.png"/><Relationship Id="rId648" Type="http://schemas.openxmlformats.org/officeDocument/2006/relationships/image" Target="media/image588.png"/><Relationship Id="rId649" Type="http://schemas.openxmlformats.org/officeDocument/2006/relationships/image" Target="media/image589.png"/><Relationship Id="rId650" Type="http://schemas.openxmlformats.org/officeDocument/2006/relationships/image" Target="media/image590.png"/><Relationship Id="rId652" Type="http://schemas.openxmlformats.org/officeDocument/2006/relationships/image" Target="media/image591.png"/><Relationship Id="rId653" Type="http://schemas.openxmlformats.org/officeDocument/2006/relationships/image" Target="media/image592.png"/><Relationship Id="rId654" Type="http://schemas.openxmlformats.org/officeDocument/2006/relationships/image" Target="media/image593.png"/><Relationship Id="rId655" Type="http://schemas.openxmlformats.org/officeDocument/2006/relationships/image" Target="media/image594.png"/><Relationship Id="rId656" Type="http://schemas.openxmlformats.org/officeDocument/2006/relationships/image" Target="media/image595.png"/><Relationship Id="rId658" Type="http://schemas.openxmlformats.org/officeDocument/2006/relationships/image" Target="media/image596.png"/><Relationship Id="rId659" Type="http://schemas.openxmlformats.org/officeDocument/2006/relationships/image" Target="media/image597.png"/><Relationship Id="rId660" Type="http://schemas.openxmlformats.org/officeDocument/2006/relationships/image" Target="media/image598.png"/><Relationship Id="rId661" Type="http://schemas.openxmlformats.org/officeDocument/2006/relationships/image" Target="media/image599.png"/><Relationship Id="rId662" Type="http://schemas.openxmlformats.org/officeDocument/2006/relationships/image" Target="media/image600.png"/><Relationship Id="rId663" Type="http://schemas.openxmlformats.org/officeDocument/2006/relationships/image" Target="media/image601.png"/><Relationship Id="rId664" Type="http://schemas.openxmlformats.org/officeDocument/2006/relationships/image" Target="media/image602.png"/><Relationship Id="rId665" Type="http://schemas.openxmlformats.org/officeDocument/2006/relationships/image" Target="media/image603.png"/><Relationship Id="rId666" Type="http://schemas.openxmlformats.org/officeDocument/2006/relationships/image" Target="media/image604.png"/><Relationship Id="rId667" Type="http://schemas.openxmlformats.org/officeDocument/2006/relationships/image" Target="media/image605.png"/><Relationship Id="rId668" Type="http://schemas.openxmlformats.org/officeDocument/2006/relationships/image" Target="media/image606.png"/><Relationship Id="rId669" Type="http://schemas.openxmlformats.org/officeDocument/2006/relationships/image" Target="media/image607.png"/><Relationship Id="rId670" Type="http://schemas.openxmlformats.org/officeDocument/2006/relationships/image" Target="media/image608.png"/><Relationship Id="rId671" Type="http://schemas.openxmlformats.org/officeDocument/2006/relationships/image" Target="media/image609.png"/><Relationship Id="rId672" Type="http://schemas.openxmlformats.org/officeDocument/2006/relationships/image" Target="media/image610.png"/><Relationship Id="rId673" Type="http://schemas.openxmlformats.org/officeDocument/2006/relationships/image" Target="media/image611.png"/><Relationship Id="rId674" Type="http://schemas.openxmlformats.org/officeDocument/2006/relationships/image" Target="media/image612.png"/><Relationship Id="rId675" Type="http://schemas.openxmlformats.org/officeDocument/2006/relationships/image" Target="media/image613.png"/><Relationship Id="rId676" Type="http://schemas.openxmlformats.org/officeDocument/2006/relationships/image" Target="media/image614.png"/><Relationship Id="rId677" Type="http://schemas.openxmlformats.org/officeDocument/2006/relationships/image" Target="media/image615.png"/><Relationship Id="rId678" Type="http://schemas.openxmlformats.org/officeDocument/2006/relationships/image" Target="media/image616.png"/><Relationship Id="rId679" Type="http://schemas.openxmlformats.org/officeDocument/2006/relationships/image" Target="media/image617.png"/><Relationship Id="rId680" Type="http://schemas.openxmlformats.org/officeDocument/2006/relationships/image" Target="media/image618.png"/><Relationship Id="rId681" Type="http://schemas.openxmlformats.org/officeDocument/2006/relationships/image" Target="media/image619.png"/><Relationship Id="rId682" Type="http://schemas.openxmlformats.org/officeDocument/2006/relationships/image" Target="media/image620.png"/><Relationship Id="rId683" Type="http://schemas.openxmlformats.org/officeDocument/2006/relationships/image" Target="media/image621.png"/><Relationship Id="rId684" Type="http://schemas.openxmlformats.org/officeDocument/2006/relationships/image" Target="media/image622.png"/><Relationship Id="rId685" Type="http://schemas.openxmlformats.org/officeDocument/2006/relationships/image" Target="media/image623.png"/><Relationship Id="rId686" Type="http://schemas.openxmlformats.org/officeDocument/2006/relationships/image" Target="media/image624.png"/><Relationship Id="rId687" Type="http://schemas.openxmlformats.org/officeDocument/2006/relationships/image" Target="media/image625.png"/><Relationship Id="rId688" Type="http://schemas.openxmlformats.org/officeDocument/2006/relationships/image" Target="media/image626.png"/><Relationship Id="rId689" Type="http://schemas.openxmlformats.org/officeDocument/2006/relationships/image" Target="media/image627.png"/><Relationship Id="rId690" Type="http://schemas.openxmlformats.org/officeDocument/2006/relationships/image" Target="media/image628.jpeg"/><Relationship Id="rId691" Type="http://schemas.openxmlformats.org/officeDocument/2006/relationships/image" Target="media/image629.png"/><Relationship Id="rId692" Type="http://schemas.openxmlformats.org/officeDocument/2006/relationships/image" Target="media/image630.jpeg"/><Relationship Id="rId693" Type="http://schemas.openxmlformats.org/officeDocument/2006/relationships/image" Target="media/image631.png"/><Relationship Id="rId694" Type="http://schemas.openxmlformats.org/officeDocument/2006/relationships/image" Target="media/image632.jpeg"/><Relationship Id="rId695" Type="http://schemas.openxmlformats.org/officeDocument/2006/relationships/image" Target="media/image633.png"/><Relationship Id="rId696" Type="http://schemas.openxmlformats.org/officeDocument/2006/relationships/image" Target="media/image634.jpeg"/><Relationship Id="rId697" Type="http://schemas.openxmlformats.org/officeDocument/2006/relationships/image" Target="media/image635.jpeg"/><Relationship Id="rId698" Type="http://schemas.openxmlformats.org/officeDocument/2006/relationships/image" Target="media/image636.png"/><Relationship Id="rId699" Type="http://schemas.openxmlformats.org/officeDocument/2006/relationships/image" Target="media/image637.png"/><Relationship Id="rId700" Type="http://schemas.openxmlformats.org/officeDocument/2006/relationships/image" Target="media/image638.png"/><Relationship Id="rId701" Type="http://schemas.openxmlformats.org/officeDocument/2006/relationships/image" Target="media/image639.png"/><Relationship Id="rId702" Type="http://schemas.openxmlformats.org/officeDocument/2006/relationships/image" Target="media/image640.png"/><Relationship Id="rId703" Type="http://schemas.openxmlformats.org/officeDocument/2006/relationships/image" Target="media/image641.png"/><Relationship Id="rId704" Type="http://schemas.openxmlformats.org/officeDocument/2006/relationships/image" Target="media/image642.png"/><Relationship Id="rId705" Type="http://schemas.openxmlformats.org/officeDocument/2006/relationships/image" Target="media/image643.png"/><Relationship Id="rId706" Type="http://schemas.openxmlformats.org/officeDocument/2006/relationships/image" Target="media/image644.png"/><Relationship Id="rId707" Type="http://schemas.openxmlformats.org/officeDocument/2006/relationships/image" Target="media/image645.png"/><Relationship Id="rId708" Type="http://schemas.openxmlformats.org/officeDocument/2006/relationships/image" Target="media/image646.png"/><Relationship Id="rId709" Type="http://schemas.openxmlformats.org/officeDocument/2006/relationships/image" Target="media/image647.png"/><Relationship Id="rId710" Type="http://schemas.openxmlformats.org/officeDocument/2006/relationships/image" Target="media/image648.png"/><Relationship Id="rId711" Type="http://schemas.openxmlformats.org/officeDocument/2006/relationships/image" Target="media/image649.png"/><Relationship Id="rId712" Type="http://schemas.openxmlformats.org/officeDocument/2006/relationships/image" Target="media/image650.png"/><Relationship Id="rId713" Type="http://schemas.openxmlformats.org/officeDocument/2006/relationships/image" Target="media/image651.png"/><Relationship Id="rId714" Type="http://schemas.openxmlformats.org/officeDocument/2006/relationships/image" Target="media/image652.png"/><Relationship Id="rId715" Type="http://schemas.openxmlformats.org/officeDocument/2006/relationships/image" Target="media/image653.png"/><Relationship Id="rId716" Type="http://schemas.openxmlformats.org/officeDocument/2006/relationships/image" Target="media/image654.png"/><Relationship Id="rId717" Type="http://schemas.openxmlformats.org/officeDocument/2006/relationships/image" Target="media/image655.png"/><Relationship Id="rId718" Type="http://schemas.openxmlformats.org/officeDocument/2006/relationships/image" Target="media/image656.png"/><Relationship Id="rId719" Type="http://schemas.openxmlformats.org/officeDocument/2006/relationships/image" Target="media/image657.png"/><Relationship Id="rId720" Type="http://schemas.openxmlformats.org/officeDocument/2006/relationships/image" Target="media/image658.png"/><Relationship Id="rId721" Type="http://schemas.openxmlformats.org/officeDocument/2006/relationships/image" Target="media/image659.png"/><Relationship Id="rId722" Type="http://schemas.openxmlformats.org/officeDocument/2006/relationships/image" Target="media/image660.png"/><Relationship Id="rId723" Type="http://schemas.openxmlformats.org/officeDocument/2006/relationships/image" Target="media/image661.png"/><Relationship Id="rId724" Type="http://schemas.openxmlformats.org/officeDocument/2006/relationships/image" Target="media/image662.png"/><Relationship Id="rId725" Type="http://schemas.openxmlformats.org/officeDocument/2006/relationships/image" Target="media/image663.png"/><Relationship Id="rId726" Type="http://schemas.openxmlformats.org/officeDocument/2006/relationships/image" Target="media/image664.png"/><Relationship Id="rId727" Type="http://schemas.openxmlformats.org/officeDocument/2006/relationships/image" Target="media/image665.png"/><Relationship Id="rId728" Type="http://schemas.openxmlformats.org/officeDocument/2006/relationships/image" Target="media/image666.png"/><Relationship Id="rId729" Type="http://schemas.openxmlformats.org/officeDocument/2006/relationships/image" Target="media/image667.png"/><Relationship Id="rId730" Type="http://schemas.openxmlformats.org/officeDocument/2006/relationships/image" Target="media/image668.png"/><Relationship Id="rId731" Type="http://schemas.openxmlformats.org/officeDocument/2006/relationships/image" Target="media/image669.png"/><Relationship Id="rId732" Type="http://schemas.openxmlformats.org/officeDocument/2006/relationships/image" Target="media/image670.png"/><Relationship Id="rId733" Type="http://schemas.openxmlformats.org/officeDocument/2006/relationships/image" Target="media/image671.png"/><Relationship Id="rId734" Type="http://schemas.openxmlformats.org/officeDocument/2006/relationships/image" Target="media/image672.png"/><Relationship Id="rId735" Type="http://schemas.openxmlformats.org/officeDocument/2006/relationships/image" Target="media/image673.png"/><Relationship Id="rId736" Type="http://schemas.openxmlformats.org/officeDocument/2006/relationships/image" Target="media/image674.png"/><Relationship Id="rId737" Type="http://schemas.openxmlformats.org/officeDocument/2006/relationships/image" Target="media/image675.png"/><Relationship Id="rId738" Type="http://schemas.openxmlformats.org/officeDocument/2006/relationships/image" Target="media/image676.png"/><Relationship Id="rId739" Type="http://schemas.openxmlformats.org/officeDocument/2006/relationships/image" Target="media/image677.png"/><Relationship Id="rId740" Type="http://schemas.openxmlformats.org/officeDocument/2006/relationships/image" Target="media/image678.png"/><Relationship Id="rId741" Type="http://schemas.openxmlformats.org/officeDocument/2006/relationships/image" Target="media/image679.png"/><Relationship Id="rId742" Type="http://schemas.openxmlformats.org/officeDocument/2006/relationships/image" Target="media/image680.png"/><Relationship Id="rId743" Type="http://schemas.openxmlformats.org/officeDocument/2006/relationships/image" Target="media/image681.png"/><Relationship Id="rId744" Type="http://schemas.openxmlformats.org/officeDocument/2006/relationships/image" Target="media/image682.png"/><Relationship Id="rId745" Type="http://schemas.openxmlformats.org/officeDocument/2006/relationships/image" Target="media/image683.png"/><Relationship Id="rId746" Type="http://schemas.openxmlformats.org/officeDocument/2006/relationships/image" Target="media/image684.png"/><Relationship Id="rId747" Type="http://schemas.openxmlformats.org/officeDocument/2006/relationships/image" Target="media/image685.png"/><Relationship Id="rId748" Type="http://schemas.openxmlformats.org/officeDocument/2006/relationships/image" Target="media/image686.png"/><Relationship Id="rId749" Type="http://schemas.openxmlformats.org/officeDocument/2006/relationships/image" Target="media/image687.png"/><Relationship Id="rId750" Type="http://schemas.openxmlformats.org/officeDocument/2006/relationships/image" Target="media/image688.png"/><Relationship Id="rId751" Type="http://schemas.openxmlformats.org/officeDocument/2006/relationships/image" Target="media/image689.png"/><Relationship Id="rId752" Type="http://schemas.openxmlformats.org/officeDocument/2006/relationships/image" Target="media/image690.png"/><Relationship Id="rId753" Type="http://schemas.openxmlformats.org/officeDocument/2006/relationships/image" Target="media/image691.png"/><Relationship Id="rId754" Type="http://schemas.openxmlformats.org/officeDocument/2006/relationships/image" Target="media/image692.png"/><Relationship Id="rId755" Type="http://schemas.openxmlformats.org/officeDocument/2006/relationships/image" Target="media/image693.png"/><Relationship Id="rId756" Type="http://schemas.openxmlformats.org/officeDocument/2006/relationships/image" Target="media/image694.png"/><Relationship Id="rId757" Type="http://schemas.openxmlformats.org/officeDocument/2006/relationships/image" Target="media/image695.png"/><Relationship Id="rId758" Type="http://schemas.openxmlformats.org/officeDocument/2006/relationships/image" Target="media/image696.png"/><Relationship Id="rId759" Type="http://schemas.openxmlformats.org/officeDocument/2006/relationships/image" Target="media/image697.png"/><Relationship Id="rId760" Type="http://schemas.openxmlformats.org/officeDocument/2006/relationships/image" Target="media/image698.png"/><Relationship Id="rId499" Type="http://schemas.openxmlformats.org/officeDocument/2006/relationships/hyperlink" Target="https://www.sec.gov/Archives/edgar/data/1050446/000091664103001485/dex3.txt" TargetMode="External"/><Relationship Id="rId500" Type="http://schemas.openxmlformats.org/officeDocument/2006/relationships/hyperlink" Target="https://www.sec.gov/Archives/edgar/data/1050446/000119312525011455/d934980dex31.htm" TargetMode="External"/><Relationship Id="rId501" Type="http://schemas.openxmlformats.org/officeDocument/2006/relationships/hyperlink" Target="https://www.sec.gov/Archives/edgar/data/1050446/000119312515028053/d859827dex31.htm" TargetMode="External"/><Relationship Id="rId502" Type="http://schemas.openxmlformats.org/officeDocument/2006/relationships/hyperlink" Target="https://www.sec.gov/Archives/edgar/data/1050446/000119312525020868/d791994dex31.htm" TargetMode="External"/><Relationship Id="rId503" Type="http://schemas.openxmlformats.org/officeDocument/2006/relationships/hyperlink" Target="https://www.sec.gov/Archives/edgar/data/1050446/000095017024119263/mstr-ex4_1.htm" TargetMode="External"/><Relationship Id="rId504" Type="http://schemas.openxmlformats.org/officeDocument/2006/relationships/hyperlink" Target="https://www.sec.gov/Archives/edgar/data/1050446/000119312521048555/d130600dex41.htm" TargetMode="External"/><Relationship Id="rId505" Type="http://schemas.openxmlformats.org/officeDocument/2006/relationships/hyperlink" Target="https://www.sec.gov/Archives/edgar/data/1050446/000119312524064321/d749312dex41.htm" TargetMode="External"/><Relationship Id="rId506" Type="http://schemas.openxmlformats.org/officeDocument/2006/relationships/hyperlink" Target="https://www.sec.gov/Archives/edgar/data/1050446/000119312524070793/d792323dex41.htm" TargetMode="External"/><Relationship Id="rId507" Type="http://schemas.openxmlformats.org/officeDocument/2006/relationships/hyperlink" Target="https://www.sec.gov/Archives/edgar/data/1050446/000119312524164009/d857957dex41.htm" TargetMode="External"/><Relationship Id="rId508" Type="http://schemas.openxmlformats.org/officeDocument/2006/relationships/hyperlink" Target="https://www.sec.gov/Archives/edgar/data/1050446/000119312524222462/d887785dex41.htm" TargetMode="External"/><Relationship Id="rId509" Type="http://schemas.openxmlformats.org/officeDocument/2006/relationships/hyperlink" Target="https://www.sec.gov/Archives/edgar/data/1050446/000119312524263404/d905221dex41.htm" TargetMode="External"/><Relationship Id="rId514" Type="http://schemas.openxmlformats.org/officeDocument/2006/relationships/hyperlink" Target="https://www.sec.gov/Archives/edgar/data/1050446/000119312513361481/d593608dex101.htm" TargetMode="External"/><Relationship Id="rId517" Type="http://schemas.openxmlformats.org/officeDocument/2006/relationships/hyperlink" Target="https://www.sec.gov/Archives/edgar/data/1050446/000119312514161274/d717141dex101.htm" TargetMode="External"/><Relationship Id="rId520" Type="http://schemas.openxmlformats.org/officeDocument/2006/relationships/hyperlink" Target="https://www.sec.gov/Archives/edgar/data/1050446/000119312514280573/d761505dex993.htm" TargetMode="External"/><Relationship Id="rId523" Type="http://schemas.openxmlformats.org/officeDocument/2006/relationships/hyperlink" Target="https://www.sec.gov/Archives/edgar/data/1050446/000119312515353352/d56280dex101.htm" TargetMode="External"/><Relationship Id="rId526" Type="http://schemas.openxmlformats.org/officeDocument/2006/relationships/hyperlink" Target="https://www.sec.gov/Archives/edgar/data/1050446/000156459018017618/mstr-ex104_67.htm" TargetMode="External"/><Relationship Id="rId529" Type="http://schemas.openxmlformats.org/officeDocument/2006/relationships/hyperlink" Target="https://www.sec.gov/Archives/edgar/data/1050446/000119312521117745/d64521ddef14a.htm#rom64521_65" TargetMode="External"/><Relationship Id="rId532" Type="http://schemas.openxmlformats.org/officeDocument/2006/relationships/hyperlink" Target="https://www.sec.gov/Archives/edgar/data/1050446/000119312513361481/d593608dex102.htm" TargetMode="External"/><Relationship Id="rId535" Type="http://schemas.openxmlformats.org/officeDocument/2006/relationships/hyperlink" Target="https://www.sec.gov/Archives/edgar/data/1050446/000119312516662319/d215968dex101.htm" TargetMode="External"/><Relationship Id="rId538" Type="http://schemas.openxmlformats.org/officeDocument/2006/relationships/hyperlink" Target="https://www.sec.gov/Archives/edgar/data/1050446/000156459022005287/mstr-ex109_8.htm" TargetMode="External"/><Relationship Id="rId541" Type="http://schemas.openxmlformats.org/officeDocument/2006/relationships/hyperlink" Target="https://www.sec.gov/Archives/edgar/data/1050446/000156459022027479/mstr-ex101_175.htm" TargetMode="External"/><Relationship Id="rId544" Type="http://schemas.openxmlformats.org/officeDocument/2006/relationships/hyperlink" Target="https://www.sec.gov/Archives/edgar/data/1050446/000156459022005287/mstr-ex1011_6.htm" TargetMode="External"/><Relationship Id="rId547" Type="http://schemas.openxmlformats.org/officeDocument/2006/relationships/hyperlink" Target="https://www.sec.gov/Archives/edgar/data/1050446/000156459022005287/mstr-ex1012_7.htm" TargetMode="External"/><Relationship Id="rId550" Type="http://schemas.openxmlformats.org/officeDocument/2006/relationships/hyperlink" Target="https://www.sec.gov/Archives/edgar/data/1050446/000156459022027479/mstr-ex102_174.htm" TargetMode="External"/><Relationship Id="rId553" Type="http://schemas.openxmlformats.org/officeDocument/2006/relationships/hyperlink" Target="https://www.sec.gov/Archives/edgar/data/1050446/000156459022027479/mstr-ex103_173.htm" TargetMode="External"/><Relationship Id="rId556" Type="http://schemas.openxmlformats.org/officeDocument/2006/relationships/hyperlink" Target="https://www.sec.gov/Archives/edgar/data/1050446/000095017024015847/mstr-ex10_15.htm" TargetMode="External"/><Relationship Id="rId560" Type="http://schemas.openxmlformats.org/officeDocument/2006/relationships/hyperlink" Target="https://www.sec.gov/Archives/edgar/data/1050446/000119312523156662/d492817dex991.htm" TargetMode="External"/><Relationship Id="rId563" Type="http://schemas.openxmlformats.org/officeDocument/2006/relationships/hyperlink" Target="https://www.sec.gov/Archives/edgar/data/1050446/000119312523156662/d492817dex992.htm" TargetMode="External"/><Relationship Id="rId566" Type="http://schemas.openxmlformats.org/officeDocument/2006/relationships/hyperlink" Target="https://www.sec.gov/Archives/edgar/data/1050446/000095017023036448/mstr-ex10_4.htm" TargetMode="External"/><Relationship Id="rId569" Type="http://schemas.openxmlformats.org/officeDocument/2006/relationships/hyperlink" Target="https://www.sec.gov/Archives/edgar/data/1050446/000095017023036448/mstr-ex10_5.htm" TargetMode="External"/><Relationship Id="rId572" Type="http://schemas.openxmlformats.org/officeDocument/2006/relationships/hyperlink" Target="https://www.sec.gov/Archives/edgar/data/1050446/000095017023036448/mstr-ex10_6.htm" TargetMode="External"/><Relationship Id="rId575" Type="http://schemas.openxmlformats.org/officeDocument/2006/relationships/hyperlink" Target="https://www.sec.gov/Archives/edgar/data/1050446/000095017023036448/mstr-ex10_7.htm" TargetMode="External"/><Relationship Id="rId579" Type="http://schemas.openxmlformats.org/officeDocument/2006/relationships/hyperlink" Target="https://www.sec.gov/Archives/edgar/data/1050446/000095017023036448/mstr-ex10_8.htm" TargetMode="External"/><Relationship Id="rId582" Type="http://schemas.openxmlformats.org/officeDocument/2006/relationships/hyperlink" Target="https://www.sec.gov/Archives/edgar/data/1050446/000095017023036448/mstr-ex10_9.htm" TargetMode="External"/><Relationship Id="rId585" Type="http://schemas.openxmlformats.org/officeDocument/2006/relationships/hyperlink" Target="https://www.sec.gov/Archives/edgar/data/1050446/000095017024015847/mstr-ex10_24.htm" TargetMode="External"/><Relationship Id="rId588" Type="http://schemas.openxmlformats.org/officeDocument/2006/relationships/hyperlink" Target="https://www.sec.gov/Archives/edgar/data/1050446/000095017023036448/mstr-ex10_11.htm" TargetMode="External"/><Relationship Id="rId591" Type="http://schemas.openxmlformats.org/officeDocument/2006/relationships/hyperlink" Target="https://www.sec.gov/Archives/edgar/data/1050446/000095017023036448/mstr-ex10_12.htm" TargetMode="External"/><Relationship Id="rId594" Type="http://schemas.openxmlformats.org/officeDocument/2006/relationships/hyperlink" Target="https://www.sec.gov/Archives/edgar/data/1050446/000095017023036448/mstr-ex10_13.htm" TargetMode="External"/><Relationship Id="rId597" Type="http://schemas.openxmlformats.org/officeDocument/2006/relationships/hyperlink" Target="https://www.sec.gov/Archives/edgar/data/1050446/000119312523156662/d492817dex993.htm" TargetMode="External"/><Relationship Id="rId600" Type="http://schemas.openxmlformats.org/officeDocument/2006/relationships/hyperlink" Target="https://www.sec.gov/Archives/edgar/data/1050446/000095017024051230/mstr-ex10_1.htm" TargetMode="External"/><Relationship Id="rId603" Type="http://schemas.openxmlformats.org/officeDocument/2006/relationships/hyperlink" Target="https://www.sec.gov/Archives/edgar/data/1050446/000095017024091778/mstr-ex10_3.htm" TargetMode="External"/><Relationship Id="rId608" Type="http://schemas.openxmlformats.org/officeDocument/2006/relationships/hyperlink" Target="https://www.sec.gov/Archives/edgar/data/1050446/000095017024091778/mstr-ex10_5.htm" TargetMode="External"/><Relationship Id="rId611" Type="http://schemas.openxmlformats.org/officeDocument/2006/relationships/hyperlink" Target="https://www.sec.gov/Archives/edgar/data/1050446/000095017024091778/mstr-ex10_6.htm" TargetMode="External"/><Relationship Id="rId614" Type="http://schemas.openxmlformats.org/officeDocument/2006/relationships/hyperlink" Target="https://www.sec.gov/Archives/edgar/data/1050446/000095017024091778/mstr-ex10_7.htm" TargetMode="External"/><Relationship Id="rId617" Type="http://schemas.openxmlformats.org/officeDocument/2006/relationships/hyperlink" Target="https://www.sec.gov/Archives/edgar/data/1050446/000095017024091778/mstr-ex10_2.htm" TargetMode="External"/><Relationship Id="rId624" Type="http://schemas.openxmlformats.org/officeDocument/2006/relationships/hyperlink" Target="https://www.sec.gov/Archives/edgar/data/1050446/000119312511040481/dex1014.htm" TargetMode="External"/><Relationship Id="rId628" Type="http://schemas.openxmlformats.org/officeDocument/2006/relationships/hyperlink" Target="https://www.sec.gov/Archives/edgar/data/1050446/000119312507169643/dex101.htm" TargetMode="External"/><Relationship Id="rId631" Type="http://schemas.openxmlformats.org/officeDocument/2006/relationships/hyperlink" Target="https://www.sec.gov/Archives/edgar/data/1050446/000156459023002012/mstr-10k_20221231.htm#ITEM_9B_OR_INFORMATION" TargetMode="External"/><Relationship Id="rId634" Type="http://schemas.openxmlformats.org/officeDocument/2006/relationships/hyperlink" Target="https://www.sec.gov/Archives/edgar/data/1050446/000095017023016229/mstr-ex10_2.htm" TargetMode="External"/><Relationship Id="rId638" Type="http://schemas.openxmlformats.org/officeDocument/2006/relationships/hyperlink" Target="https://www.sec.gov/Archives/edgar/data/1050446/000119312521023850/d47025dex991.htm" TargetMode="External"/><Relationship Id="rId641" Type="http://schemas.openxmlformats.org/officeDocument/2006/relationships/hyperlink" Target="https://www.sec.gov/Archives/edgar/data/1050446/000095017023036448/mstr-ex10_1.htm" TargetMode="External"/><Relationship Id="rId644" Type="http://schemas.openxmlformats.org/officeDocument/2006/relationships/hyperlink" Target="https://www.sec.gov/Archives/edgar/data/1050446/000095017024091778/mstr-ex10_1.htm" TargetMode="External"/><Relationship Id="rId647" Type="http://schemas.openxmlformats.org/officeDocument/2006/relationships/hyperlink" Target="https://www.sec.gov/Archives/edgar/data/1050446/000119312524191523/d848460dex12.htm" TargetMode="External"/><Relationship Id="rId651" Type="http://schemas.openxmlformats.org/officeDocument/2006/relationships/hyperlink" Target="https://www.sec.gov/Archives/edgar/data/1050446/000119312524247543/d905175dex11.htm" TargetMode="External"/><Relationship Id="rId657" Type="http://schemas.openxmlformats.org/officeDocument/2006/relationships/hyperlink" Target="https://www.sec.gov/Archives/edgar/data/1050446/000095017024015847/mstr-ex97_1.htm"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2025-02-18T07:13:40Z</dcterms:created>
  <dcterms:modified xsi:type="dcterms:W3CDTF">2025-02-18T07:13:40Z</dcterms:modified>
</cp:coreProperties>
</file>